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Ādama ielā 17, Rīgā, nodošanu privatizācijai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09.04.2026. 17:10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Ādama ielā 17, Rīgā, nodošanu privatizācijai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rīkojuma projektu ar Ministru kabineta sēdes protokollēmuma projektu, ņemot vērā TAP portāla vadlīnijās noteikto (https://tai.mk.gov.lv/img/70baf510-aaf8-46cc-ae94-db8737b4da8c.pdf), ka visiem projektiem pievienojams protokollēmuma projekts, ja tajā nav paredzēti uzdevumi, iekļaujams standarta formulējums (piemēram, “Pieņemt iesniegto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Ādama ielā 17, Rīgā, nodošanu privatizācijai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teikts: </w:t>
            </w:r>
            <w:r w:rsidR="00000000" w:rsidRPr="00000000" w:rsidDel="00000000">
              <w:rPr>
                <w:i w:val="1"/>
                <w:rtl w:val="0"/>
              </w:rPr>
              <w:t xml:space="preserve">Ņemot vērā, ka saskaņā ar Privatizācijas likuma 7. panta sesto un septīto daļu pastāv Zemes vienības privatizācijas ierobežojums, jo uz tās daļēji atrodas privātpersonai piederošās būves ar kadastra apzīmējumu 01001010067001 daļa, pēc Nekustamā īpašuma ierakstīšanas zemesgrāmatā Possessor veiks visas nepieciešamās darbības šā ierobežojuma novēršanai un Dzīvojamās mājas privatizācijas nodrošināšanai kopā ar tai funkcionāli nepieciešamo zemesgabalu. Minēto darbību ietvaros Possessor organizēs Zemes vienības sadali, izstrādājot un īstenojot zemes ierīcības projektu normatīvajos aktos par zemes ierīcību noteiktajā kārtībā, nodalot Zemes vienības daļu, uz kuras atrodas privātpersonai piederošās būves ar kadastra apzīmējumu 01001010067001 daļa, </w:t>
            </w:r>
            <w:r w:rsidR="00000000" w:rsidRPr="00000000" w:rsidDel="00000000">
              <w:rPr>
                <w:i w:val="1"/>
                <w:u w:val="single"/>
                <w:rtl w:val="0"/>
              </w:rPr>
              <w:t xml:space="preserve">kā arī nodrošinās šīs atdalītās zemesgabala daļas atsavināšanu Publiskas personas mantas atsavināšanas likumā noteiktajā kārtībā</w:t>
            </w:r>
            <w:r w:rsidR="00000000" w:rsidRPr="00000000" w:rsidDel="00000000">
              <w:rPr>
                <w:i w:val="1"/>
                <w:rtl w:val="0"/>
              </w:rPr>
              <w:t xml:space="preserve">, pievienojot to attiecīgajai privātpersonai piederošajai zemes vienībai ar kadastra apzīmējumu 01001010067.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kādas darbības tiks veiktas saistībā ar  frāzi: </w:t>
            </w:r>
            <w:r w:rsidR="00000000" w:rsidRPr="00000000" w:rsidDel="00000000">
              <w:rPr>
                <w:i w:val="1"/>
                <w:rtl w:val="0"/>
              </w:rPr>
              <w:t xml:space="preserve"> nodrošinās šīs atdalītās zemesgabala daļas atsavināšanu Publiskas personas mantas atsavināšanas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 "Atdalītās zemesgabala daļas atsavināšana tiks veikta Publiskas personas mantas atsavināšanas likumā noteiktajā kārtībā, tostarp piemērojot šā likuma 37. panta pirmās daļas 4. punktu, paredzot atdalītās zemesgabala daļas atsavināšanu par atlīdzību personai, kurai pieder uz tās esošā būve, kā arī, ievērojot šā likuma 44. panta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tiks noteikta atsavināmās zemesgabala daļas nosacītā cena (tirgus vērtība) atbilstoši normatīvajiem aktiem, un ar attiecīgo personu tiks slēgts pirkuma līgums, nodrošinot īpašuma tiesību nostiprināšanu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26-TA-732</w:t>
    </w:r>
    <w:r>
      <w:br/>
    </w:r>
    <w:r w:rsidR="00000000" w:rsidRPr="00000000" w:rsidDel="00000000">
      <w:rPr>
        <w:rtl w:val="0"/>
      </w:rPr>
      <w:t xml:space="preserve">27.04.2026. 17.07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26-TA-732</w:t>
    </w:r>
    <w:r>
      <w:br/>
    </w:r>
    <w:r w:rsidR="00000000" w:rsidRPr="00000000" w:rsidDel="00000000">
      <w:rPr>
        <w:rtl w:val="0"/>
      </w:rPr>
      <w:t xml:space="preserve">27.04.2026. 17.07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Izziņa_26-TA-732.docx</dc:title>
</cp:coreProperties>
</file>

<file path=docProps/custom.xml><?xml version="1.0" encoding="utf-8"?>
<Properties xmlns="http://schemas.openxmlformats.org/officeDocument/2006/custom-properties" xmlns:vt="http://schemas.openxmlformats.org/officeDocument/2006/docPropsVTypes"/>
</file>