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20. aprīļa noteikumos Nr. 250 "Kārtība, kādā Latvijas Neredzīgo biedrība un Latvijas Nedzirdīgo savienība sniedz sociālās rehabilitācijas pakalpojumus un nodrošina tehniskos palīglīdzekļus – tiflotehniku un surdotehniku"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1.6.apakšpunkts paredz, ka Latvijas Nedzirdīgo savienība personai ar dzirdes invaliditāti nodrošina surdotulka pakalpojumu līdz 960 stundām individuāli vai izglītojamo grupā viena mācību gada laikā. Anotācijas 1.3.sadaļas apakšsadaļā “Risinājuma apraksts” norādīts, ka personas, kuras saņem izglītības pakalpojumu, varēs saņemt pakalpojumu līdz 960 stundām gadā līdzšinējo 480 stundu vietā. Ņemot vērā minēto, lūdzam papildināt anotāciju ar informāciju, skaidrojot nepieciešamību palielināt surdotulka pakalpojumu stundu apjomu līdz 960 stundām, vienlaikus norādot finansējuma avotu, kura ietvaros tiks nodrošināts pakalpojuma stundu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savienībai deleģētā valsts pārvaldes uzdevuma – nodrošināt izglītības programmas apguvei un saskarsmes nodrošināšanai ar citām fiziskajām un juridiskajām personām noteiktā surdotulka pakalpojuma (turpmāk – surdotulka pakalpojums) sniegšanu – apjomu, izpildes nosacījumus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2022.gada 1.jūlija Invaliditātes likuma 12.panta pirmās daļas 6.punkts noteiks, ka invaliditātes sekas personām ar invaliditāti mazina, nodrošinot tiesības saņemt surdotulka pakalpojumu saskarsmes nodrošināšanai ar citām fiziskajām un juridiskajām personām un paredzot, ka Ministru kabinets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pakalpojuma piešķiršanas kārtību,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13. panta trešajā daļā paredzētā uzdevuma izpildes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norādi uz noteikumu izdošanas tiesisko pamatu ar minēto likuma pilnvarojumu un attiecīgi korekti papildināt noteikuma 1.punkta redakcijas. Vienlaikus svītrot no projekta 1.4.apakšpunkta redakcijas vārdu "apjomu", jo tas attiecināms uz tiesībām saņemt noteiktu surdotulka pakalpojuma apjomu (projekta 1.5.apakšpunktu) nevis uz valsts pārvaldes uzdevuma apjomu (projekta 1.4.apakšpunktu).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Sociālo pakalpojumu un sociālās palīdzības likuma 3.panta otrās daļas likuma pilnvarojuma kontekstā "saņemšanas kārtība" ietver arī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savienībai deleģētā valsts pārvaldes uzdevuma – nodrošināt izglītības programmas apguvei un saskarsmes nodrošināšanai ar citām fiziskajām un juridiskajām personām noteiktā surdotulka pakalpojuma (turpmāk – surdotulka pakalpojums) sniegšanu – izpildes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 vai savienība, saņemot personas iesniegumu šo noteikumu 1. punktā minēto pakalpojumu saņemšanai, pārliecinās par pakalpojuma saņemšanai nepieciešamo informāciju Veselības un darbspēju ekspertīzes ārstu valsts komisijas (turpmāk – valsts komisija) uzturētajā Invaliditātes informatīvajā sistēmā (turpmāk – Invaliditātes informācijas sistēma). Ja Invaliditātes informācijas sistēmā nav pakalpojuma saņemšanai nepieciešamās informācijas par personu, biedrība vai savienība pakalpojuma saņemšanai nepieciešamo informāciju iegūst, sazinoties ar valsts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likuma 3.</w:t>
            </w:r>
            <w:r w:rsidR="00000000" w:rsidRPr="00000000" w:rsidDel="00000000">
              <w:rPr>
                <w:vertAlign w:val="superscript"/>
                <w:rtl w:val="0"/>
              </w:rPr>
              <w:t xml:space="preserve">1</w:t>
            </w:r>
            <w:r w:rsidR="00000000" w:rsidRPr="00000000" w:rsidDel="00000000">
              <w:rPr>
                <w:rtl w:val="0"/>
              </w:rPr>
              <w:t xml:space="preserve"> panta pirmā daļa noteic, ka Invaliditātes </w:t>
            </w:r>
            <w:r w:rsidR="00000000" w:rsidRPr="00000000" w:rsidDel="00000000">
              <w:rPr>
                <w:u w:val="single"/>
                <w:rtl w:val="0"/>
              </w:rPr>
              <w:t xml:space="preserve">informatīvā</w:t>
            </w:r>
            <w:r w:rsidR="00000000" w:rsidRPr="00000000" w:rsidDel="00000000">
              <w:rPr>
                <w:rtl w:val="0"/>
              </w:rPr>
              <w:t xml:space="preserve"> sistēma (turpmāk —</w:t>
            </w:r>
            <w:r w:rsidR="00000000" w:rsidRPr="00000000" w:rsidDel="00000000">
              <w:rPr>
                <w:u w:val="single"/>
                <w:rtl w:val="0"/>
              </w:rPr>
              <w:t xml:space="preserve"> informācijas sistēma</w:t>
            </w:r>
            <w:r w:rsidR="00000000" w:rsidRPr="00000000" w:rsidDel="00000000">
              <w:rPr>
                <w:rtl w:val="0"/>
              </w:rPr>
              <w:t xml:space="preserve">) ir valsts informācijas sistēma, kurā iekļauj datus par prognozējamas invaliditātes un invaliditātes ekspertīzēm, kā arī par personām ar prognozējamu invaliditāti un personām ar invaliditāti, tostarp personas datus. Informācijas sistēmas </w:t>
            </w:r>
            <w:r w:rsidR="00000000" w:rsidRPr="00000000" w:rsidDel="00000000">
              <w:rPr>
                <w:u w:val="single"/>
                <w:rtl w:val="0"/>
              </w:rPr>
              <w:t xml:space="preserve">pārzinis ir Veselības un darbspēju ekspertīzes ārstu valsts komisija</w:t>
            </w:r>
            <w:r w:rsidR="00000000" w:rsidRPr="00000000" w:rsidDel="00000000">
              <w:rPr>
                <w:rtl w:val="0"/>
              </w:rPr>
              <w:t xml:space="preserve"> (2022.gada 1.jūlija redakcijā - tiešās valsts pārvaldes iestāde "Veselības un darbspēju ekspertīzes ārstu valsts komisija" (2022. gada 24. marta likums "Grozījumi Invaliditātes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noteikumu 4.punkta redakcijā svītrot vārdus "Veselības un darbspēju ekspertīzes ārstu valsts komisijas (turpmāk – valsts komisija) uzturētajā", jo tie dublē likumā jau noteikto un šiem vārdiem normā nav juridiskās slodzes. Vienlaikus nepieciešams pārnest vārdkopas saīsinājuma veidošanas tekstu uz punkta otro teikumu, kur minēta "valsts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neveidot Invaliditātes informatīvās sistēmas saīsinājumu un to svītrot, tā vietā turpmākā tekstā lietot pilnu sistēmas nosaukumu (proti, grozot visā tekstā informācijas sistēmas nosaukumā vārdu "informācijas" ar  "informatīvā") vai arī veidot informācijas sistēmas nosaukuma saīsinājumu tā kā tas veidots augstākminētajā likumā (proti, turpmāk - informācijas sistēma) (pēdējais paņēmiens gan nebūtu piemērojams, ja regulējums paredz vai tuvākā nākotnē paredzēs citu informācijas sistēmu lietošanu un termina "informācijas sistēma"  lietošanu vispārējā nozīmē).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 vai savienība, saņemot personas iesniegumu šo noteikumu 1. punktā minēto pakalpojumu saņemšanai, pārliecinās par pakalpojuma saņemšanai nepieciešamo informāciju Invaliditātes informatīvajā sistēmā. Ja Invaliditātes informatīvajā sistēmā nav pakalpojuma saņemšanai nepieciešamās informācijas par personu, biedrība vai savienība pakalpojuma saņemšanai nepieciešamo informāciju iegūst, sazinoties ar Veselības un darbspēju ekspertīzes ārstu valsts komisiju (turpmāk – valsts komisija).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tiesību akta izdošanas pamatojuma norādi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salikt starp vārdiem nepieciešamās atstarpes.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pieturzīmju lietošana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pamatojuma aprakstā norādīt </w:t>
            </w:r>
            <w:r w:rsidR="00000000" w:rsidRPr="00000000" w:rsidDel="00000000">
              <w:rPr>
                <w:u w:val="single"/>
                <w:rtl w:val="0"/>
              </w:rPr>
              <w:t xml:space="preserve">atsauci </w:t>
            </w:r>
            <w:r w:rsidR="00000000" w:rsidRPr="00000000" w:rsidDel="00000000">
              <w:rPr>
                <w:rtl w:val="0"/>
              </w:rPr>
              <w:t xml:space="preserve">uz Deklarāciju par Ministru kabineta iecerēto darbību, attīstības plānošanas dokumentiem vai tiesību aktiem, no kuriem izriet nepieciešamība izstrādāt projektu vai kuru īstenošanu veicinās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pamatojuma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ailē "Pamatojums" detalizētāk skaidrot Invaliditātes likuma pārejas noteikumu (tie ir 14 punkti) regulējumu, kas attiecas uz projekta spēkā stāšanās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skaidrots, ka projekta 10., 19., 46.punkta grozījumi paredzēti pakalpojumu nodrošināšanas uzlabošanai, ja </w:t>
            </w:r>
            <w:r w:rsidR="00000000" w:rsidRPr="00000000" w:rsidDel="00000000">
              <w:rPr>
                <w:u w:val="single"/>
                <w:rtl w:val="0"/>
              </w:rPr>
              <w:t xml:space="preserve">tām</w:t>
            </w:r>
            <w:r w:rsidR="00000000" w:rsidRPr="00000000" w:rsidDel="00000000">
              <w:rPr>
                <w:rtl w:val="0"/>
              </w:rPr>
              <w:t xml:space="preserve"> nav piešķirta invaliditāte (pārsvarā senioriem), bet kuru funkcionālie traucējumi atbilst </w:t>
            </w:r>
            <w:r w:rsidR="00000000" w:rsidRPr="00000000" w:rsidDel="00000000">
              <w:rPr>
                <w:u w:val="single"/>
                <w:rtl w:val="0"/>
              </w:rPr>
              <w:t xml:space="preserve">MK noteikumu Nr. 250</w:t>
            </w:r>
            <w:r w:rsidR="00000000" w:rsidRPr="00000000" w:rsidDel="00000000">
              <w:rPr>
                <w:rtl w:val="0"/>
              </w:rPr>
              <w:t xml:space="preserve"> 17.1 un 17.2.punkta nosacījumiem un tos Latvijas Nedzirdīgo savienība (turpmāk – LNS) vai Latviajs Neredzīgo biedrība (turpmāk – LNB) fiksējusi iepriekš, izsniedzot citus tehniskos palīglīdzekļus (piemēram, dzirdes aparātu).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uz ko norāda vārds "tām", tiek lietots neatrunāts noteikumu nosaukuma saīsinājums, kļūda vārda "Latvijas" rakstībā un neskaidras apakšpunktu atsauces.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1.problēmas aprakstā skaidrots, ka projekta 41.punkta grozījums paredz palielināt surdotulka pakalpojumu apmēru personām, kuras saņem izglītības pakalpojumu atbilstoši grozījumiem Invaliditātes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kādi tieši grozījumi Invaliditātes likumā paredz palielināt surdotulka pakalpojumu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problēmu aprakstā Veselības un darbspēju ekspertīzes ārstu valsts komisijas nosaukuma saīsinājumu -  (turpmāk - VSEĀVK), jo turpmāk tekstā tiek lietots VDEĀVK.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izstrādē iesaistītas nevalstiskās organizācijas, tāpēc “Projekta izstrādē iesaistītās institūcijas“ - jāizvēlas no saraksta konkrētās nevalstiskās organizācijas, kuras bija iesaistītas TA projekta izstrādē. Ja  nevalstisko institūciju sarakstā nav atrodama kāda institūcija, to var ierakstīt logā “Citas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sadaļā “Projekta izstrādē iesaistītās institūcijas un sabiedrības līdzdalības process”, projekta autoram sākumā jāatzīmē, vai TA projektam ir jānodrošina sabiedrības līdzdalība. Projektam atzīmēts, ka "nē".  Ja tiek norādīts, ka sabiedrības līdzdalība nav jānodrošina, šī izvēle ir jāpaskaidro iznirstošā logā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minēto sadaļu, jo regulējuma izpildi nodrošinās Latvijas Neredzīgo biedrība, Latvijas Nedzirdīgo savienība un arī Labklājības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6.punkta “Detalizēts ieņēmumu un izdevumu aprēķins” 1.tabulā pakalpojuma izmaksas vidēji uz 1 personu 2021.gadam norādītas 974,66 </w:t>
            </w:r>
            <w:r w:rsidR="00000000" w:rsidRPr="00000000" w:rsidDel="00000000">
              <w:rPr>
                <w:i w:val="1"/>
                <w:rtl w:val="0"/>
              </w:rPr>
              <w:t xml:space="preserve">euro</w:t>
            </w:r>
            <w:r w:rsidR="00000000" w:rsidRPr="00000000" w:rsidDel="00000000">
              <w:rPr>
                <w:rtl w:val="0"/>
              </w:rPr>
              <w:t xml:space="preserve"> un 2022.gadam un turpmāk ik gadu 1 816,28 </w:t>
            </w:r>
            <w:r w:rsidR="00000000" w:rsidRPr="00000000" w:rsidDel="00000000">
              <w:rPr>
                <w:i w:val="1"/>
                <w:rtl w:val="0"/>
              </w:rPr>
              <w:t xml:space="preserve">euro</w:t>
            </w:r>
            <w:r w:rsidR="00000000" w:rsidRPr="00000000" w:rsidDel="00000000">
              <w:rPr>
                <w:rtl w:val="0"/>
              </w:rPr>
              <w:t xml:space="preserve">, kas ietver arī transporta izmaksas vidēji uz 1 personu (tabulas 8.n.p.k.). Līdz ar to lūdzam precizēt  minētajā tabulā surdotulka pakalpojuma izmaksas vidēji uz 1 personu (tabulas 7.n.p.k.), norādot, ka tajā skaitā iekļautas arī transporta izmaksas vidēji uz 1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savienībai deleģētā valsts pārvaldes uzdevuma – nodrošināt izglītības programmas apguvei un saskarsmes nodrošināšanai ar citām fiziskajām un juridiskajām personām noteiktā surdotulka pakalpojuma (turpmāk – surdotulka pakalpojums) sniegšanu – apjomu, izpildes nosacījumus un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jau iepriekš izteikto iebildumu par šo apakšpunktu, aicinām no projekta 1.4.apakšpunkta svītrot vārdu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savienībai deleģētā valsts pārvaldes uzdevuma – nodrošināt izglītības programmas apguvei un saskarsmes nodrošināšanai ar citām fiziskajām un juridiskajām personām noteiktā surdotulka pakalpojuma (turpmāk – surdotulka pakalpojums) sniegšanu – izpildes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persona trīs mēnešu laikā pēc biedrības vai savienības lēmuma saņemšanas par tehniskā palīglīdzekļa iegādes izdevumu segšanu iesniedz biedrībā vai savienībā tehniskā palīglīdzekļa iegādi un ar to saistītos izdevumus apliecinoša dokumenta kopiju un uzrāda oriģinālu.  Ja persona noteiktajā termiņā neiesniedz dokumenta kopiju, biedrība vai savienība nosūta personai šo noteiktumu 30.punktā minēto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 "noteiktumu" vai vārdu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persona trīs mēnešu laikā pēc biedrības vai savienības lēmuma saņemšanas par tehniskā palīglīdzekļa iegādes izdevumu segšanu iesniedz biedrībā vai savienībā tehniskā palīglīdzekļa iegādi un ar to saistītos izdevumus apliecinoša dokumenta kopiju un uzrāda oriģinālu.  Ja persona noteiktajā termiņā neiesniedz dokumenta kopiju, biedrība vai savienība nosūta personai šo noteikumu 30.punktā minēto uzaicinājumu.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persona trīs mēnešu laikā pēc biedrības vai savienības lēmuma saņemšanas par tehniskā palīglīdzekļa iegādes izdevumu segšanu iesniedz biedrībā vai savienībā tehniskā palīglīdzekļa iegādi un ar to saistītos izdevumus apliecinoša dokumenta kopiju un uzrāda oriģinālu.  Ja persona noteiktajā termiņā neiesniedz dokumenta kopiju, biedrība vai savienība nosūta personai šo noteikumu 30.punktā minēto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22-TA-1251</w:t>
    </w:r>
    <w:r>
      <w:br/>
    </w:r>
    <w:r w:rsidR="00000000" w:rsidRPr="00000000" w:rsidDel="00000000">
      <w:rPr>
        <w:rtl w:val="0"/>
      </w:rPr>
      <w:t xml:space="preserve">21.06.2022. 12.00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22-TA-1251</w:t>
    </w:r>
    <w:r>
      <w:br/>
    </w:r>
    <w:r w:rsidR="00000000" w:rsidRPr="00000000" w:rsidDel="00000000">
      <w:rPr>
        <w:rtl w:val="0"/>
      </w:rPr>
      <w:t xml:space="preserve">21.06.2022. 12.00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Izziņa_22-TA-1251.docx</dc:title>
</cp:coreProperties>
</file>

<file path=docProps/custom.xml><?xml version="1.0" encoding="utf-8"?>
<Properties xmlns="http://schemas.openxmlformats.org/officeDocument/2006/custom-properties" xmlns:vt="http://schemas.openxmlformats.org/officeDocument/2006/docPropsVTypes"/>
</file>