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25-TA-2133: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(24.01.2025.)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21.11.2025. 20:03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Veselības ministrijai saistībā ar šā protokollēmuma 6. punktā noteiktajām izmaiņām Atveseļošanas fonda plāna investīciju finansējumā veikt grozījumus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un nevirzīt papildinošu informatīvo ziņojumu Ministru kabineta 2024. gada 5. novembra sēdē (prot. Nr. 47 38. §) izskatītajam informatīvajam ziņojumam "Par Eiropas Savienības Atveseļošanas un noturības mehānisma plāna 4. komponentes "Veselība" 4.2. reformu un investīciju virziena "Cilvēkresursu nodrošinājums un prasmju pilnveide" 4.2.1.1.i. investīcijas "Atbalsts cilvēkresursu attīstības sistēmas ieviešanai" projektu atlases īstenošanu", kopā ar citiem būtiskiem grozījumiem īstenošanas nosacījumos.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vai precizēt lēmuma projekta 7. punktu. Ja tas tiešām ir nepieciešams un konkrētās izmaiņas pieejamajā finansējumā neietekmē attiecīgo Ministru kabineta noteikumu finansējuma saņēmēju tiesības un pienākumus, ierosinām lēmuma projekta 7. punktā, ievērojot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punktā minēto, paredzēt pieņemšanu zināšanai, ka attiecīgos grozījumus sagatavos vienlaikus ar attiecīgo normatīvo aktu grozījumiem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tehniski precizēt vārdu "nevirzīt", norādot uz papildinošā informatīvā ziņojuma virzīšanu kopā ar citiem būtiskiem grozījumiem īstenošanas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protokollēmuma 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Veselības ministrija saistībā ar šā protokollēmuma 6. punktā noteiktajām izmaiņām Atveseļošanas fonda plāna investīciju finansējumā veiks grozījumus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vienlaikus ar attiecīgo normatīvo aktu grozījumiem pēc būtības un virzīs papildinošu informatīvo ziņojumu Ministru kabineta 2024. gada 5. novembra sēdē (prot. Nr. 47 38. §) izskatītajam informatīvajam ziņojumam "Par Eiropas Savienības Atveseļošanas un noturības mehānisma plāna 4. komponentes "Veselība" 4.2. reformu un investīciju virziena "Cilvēkresursu nodrošinājums un prasmju pilnveide" 4.2.1.1.i. investīcijas "Atbalsts cilvēkresursu attīstības sistēmas ieviešanai" projektu atlases īstenošanu" kopā ar citām būtiskām izmaiņām īstenošanas nosacījumos.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aizpildot šo noteikumu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minētās definētās projekta sadaļas, projektam pievieno vispārējas tautsaimnieciskas nozīmes pakalpojuma sniegšanas pilnvarojuma uzlicēja apliecinājumu, ka tas kontrolēs un pārskatīs šo noteikumu </w:t>
            </w:r>
            <w:r w:rsidR="00000000" w:rsidRPr="00000000" w:rsidDel="00000000">
              <w:rPr>
                <w:rtl w:val="0"/>
              </w:rPr>
              <w:t xml:space="preserve">25.6.</w:t>
            </w:r>
            <w:r w:rsidR="00000000" w:rsidRPr="00000000" w:rsidDel="00000000">
              <w:rPr>
                <w:rtl w:val="0"/>
              </w:rPr>
              <w:t xml:space="preserve"> apakšpunktā</w:t>
            </w:r>
            <w:r w:rsidR="00000000" w:rsidRPr="00000000" w:rsidDel="00000000">
              <w:rPr>
                <w:rtl w:val="0"/>
              </w:rPr>
              <w:t xml:space="preserve"> minētos deleģēšanas līgumā paredzētos atlīdzības (kompensācijas) maksājumus, kā arī novērsīs un atgūs deleģēšanas līgumā paredzēto atlīdzības (kompensācijas) maksājumu pārmaksu, ievērojot </w:t>
            </w:r>
            <w:r w:rsidR="00000000" w:rsidRPr="00000000" w:rsidDel="00000000">
              <w:rPr>
                <w:rtl w:val="0"/>
              </w:rPr>
              <w:t xml:space="preserve">Eiropas Komisijas lēmumā Nr. 2012/21/ES</w:t>
            </w:r>
            <w:r w:rsidR="00000000" w:rsidRPr="00000000" w:rsidDel="00000000">
              <w:rPr>
                <w:rtl w:val="0"/>
              </w:rPr>
              <w:t xml:space="preserve"> noteikto pārbaužu regularitāti, bet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iniciatīvas kontekstā CFLA rosina atteikties no prasības projekta iesniedzējam iesniegt vispārējas tautsaimnieciskas nozīmes pakalpojuma sniegšanas pilnvarojuma uzlicēja apliecinājumu par MK noteikumos 26.punktā norādītajiem apstākļiem. Papildus, CFLA neparedzēs šāda apliecinājuma iesniegšanu projekta īstenošanas un pēcuzraudzības periodā. Vienlaikus norādām, ka funkcijas uzlicēja pienākums attiecībā uz pārkompensācijas kontroļu veikšanu saglabājas normatīvajos aktos noteiktajā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gandrīz visas projektu atlases jau ir noslēgušās, prasība par vispārējas tautsaimnieciskas nozīmes pakalpojuma sniegšanas pilnvarojuma uzlicēja apliecinājuma iesniegšanu atcelšana šajā brīdī radītu atšķirīgu attieksmi starp projektu iesniedzējiem. Visi projektu iesniedzēji apliecinājumu jau ir iesnieguši, tādēļ prasības saglabāšana nodrošina vienlīdzīgu pieeju visiem.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aizpildot šo noteikumu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minētās definētās projekta sadaļas, projektam pievieno vispārējas tautsaimnieciskas nozīmes pakalpojuma sniegšanas pilnvarojuma uzlicēja apliecinājumu, ka tas kontrolēs un pārskatīs šo noteikumu </w:t>
            </w:r>
            <w:r w:rsidR="00000000" w:rsidRPr="00000000" w:rsidDel="00000000">
              <w:rPr>
                <w:rtl w:val="0"/>
              </w:rPr>
              <w:t xml:space="preserve">25.6.</w:t>
            </w:r>
            <w:r w:rsidR="00000000" w:rsidRPr="00000000" w:rsidDel="00000000">
              <w:rPr>
                <w:rtl w:val="0"/>
              </w:rPr>
              <w:t xml:space="preserve"> apakšpunktā</w:t>
            </w:r>
            <w:r w:rsidR="00000000" w:rsidRPr="00000000" w:rsidDel="00000000">
              <w:rPr>
                <w:rtl w:val="0"/>
              </w:rPr>
              <w:t xml:space="preserve"> minētos deleģēšanas līgumā paredzētos atlīdzības (kompensācijas) maksājumus, kā arī novērsīs un atgūs deleģēšanas līgumā paredzēto atlīdzības (kompensācijas) maksājumu pārmaksu, ievērojot </w:t>
            </w:r>
            <w:r w:rsidR="00000000" w:rsidRPr="00000000" w:rsidDel="00000000">
              <w:rPr>
                <w:rtl w:val="0"/>
              </w:rPr>
              <w:t xml:space="preserve">Eiropas Komisijas lēmumā Nr. 2012/21/ES</w:t>
            </w:r>
            <w:r w:rsidR="00000000" w:rsidRPr="00000000" w:rsidDel="00000000">
              <w:rPr>
                <w:rtl w:val="0"/>
              </w:rPr>
              <w:t xml:space="preserve"> noteikto pārbaužu regularitāti, bet ne retāk kā reizi trijos gados un pilnvarojuma akta darbības perioda beigās.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23.10.2025. 12:15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nodrošināt, ka noteikumu projekta anotācijā ir sniegts skaidrojums par visu būtisko grozījumu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 (turpmāk - noteikumi Nr. 254) nepieciešamību un mērķi, tostarp precizējumiem šo noteikumu 16. punktā, 43.4.2.2. un 48.7.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anotācija ar šo noteikumu 16.punktā un 48.7. apakšpunktā grozījumu nepieciešamību un mērķi. Grozījumi MK not. 43.4.2.2. apakšpunktā netiek veikti.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Atļaut Veselības ministrijai saistībā ar šā protokollēmuma 5. punktā noteiktajām izmaiņām Atveseļošanas fonda plāna investīciju un Eiropas Reģionālās attīstības fonda projekta finansējumā neveikt grozījumus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un nevirzīt papildinošu informatīvo ziņojumu Ministru kabineta 2024. gada 5. novembra sēdē (prot. Nr. 47 38. §) izskatītajam informatīvajam ziņojumam "Par Eiropas Savienības Atveseļošanas un noturības mehānisma plāna 4. komponentes "Veselība" 4.2. reformu un investīciju virziena "Cilvēkresursu nodrošinājums un prasmju pilnveide" 4.2.1.1.i. investīcijas "Atbalsts cilvēkresursu attīstības sistēmas ieviešanai" projektu atlases īstenošanu", lai šīs izmaiņas fiksētu, ja vien nav nepieciešami citi grozījumi īstenošanas nosacījumos.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lēmuma projekta 6. punktu. Vēršam uzmanību, ja izmaiņas saistībā ar finansējuma pārdalēm ir būtiskas, piemērojot Ministru kabineta 2023. gada 20. jūnija noteikumus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pēc būtības (kādas tās, iespējams, varētu būt, jo paredz precizēt pieejamo finansējumu), tad nav saskatāms pamatojums grozījumus neveikt, savukārt, ja minētos noteikumus nav nepieciešams grozīt pēc būtības, tad šādā gadījumā piemērojams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punkts, ko nav pieļaujams lēmuma projektā dublēt.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sēdes protokollēmuma 6. un 7.punkts, papildināts anotācijas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ņemot vērā, ka pēc katra 4.1.1.3.i. investīcijas projekta pabeigšanas (infrastruktūras izmantošanas proporcijas valsts apmaksāto veselības aprūpes pakalpojumu sniegšanai aprēķināšanas rezultātā) var rasties Atveseļošanas fonda (AF) finansējuma atlikums, nav racionāli veikt grozījumus katru reizi, kad tiek noslēgts kāds projekts. Šādos gadījumos lietderīgi paredzēt grozījumus pēc būtisku izmaiņu iestāšanās vai pēc visa projektu kopuma pabeigšanas, lai nodrošinātu efektīvu un administratīvu līdzekļu pārvaldību.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Veselības ministrija saistībā ar šā protokollēmuma 6. punktā noteiktajām izmaiņām Atveseļošanas fonda plāna investīciju finansējumā veiks grozījumus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vienlaikus ar attiecīgo normatīvo aktu grozījumiem pēc būtības un virzīs papildinošu informatīvo ziņojumu Ministru kabineta 2024. gada 5. novembra sēdē (prot. Nr. 47 38. §) izskatītajam informatīvajam ziņojumam "Par Eiropas Savienības Atveseļošanas un noturības mehānisma plāna 4. komponentes "Veselība" 4.2. reformu un investīciju virziena "Cilvēkresursu nodrošinājums un prasmju pilnveide" 4.2.1.1.i. investīcijas "Atbalsts cilvēkresursu attīstības sistēmas ieviešanai" projektu atlases īstenošanu" kopā ar citām būtiskām izmaiņām īstenošanas nosacījumos.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līdz 2026. gada 31. augustam – slimnīcu infrastuktūra.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norādot konkrētu un izmērāmu (konkrētā skaitlī izteiktu) rādītāju atbilstoši atbalsta mērķim. Vēršam uzmanību, ka atbalsta mērķis ir stiprināt universitātes, reģionālo un specializēto slimnīcu veselības aprūpes pakalpojumu sniegšanas infrastruktūru, savukārt rādītājs - slimnīcu infrastruktūra - nesniedz priekšstatu par šī mērķa faktisku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aktuālajiem Eiropas Komisijas priekšlikumiem par Atveseļošanas plāna CID grozījumiem, kā arī ņemot vērā 140. rādītāja aprakstu “Centrālās finanšu un līgumu aģentūras vēstules par projektu pabeigšanu 15 slimnīcās attiecībā uz infrastruktūru vai aprīkojumu, kas atbilst līgumiem, kurus finansē Atveseļošanas fonds”, MK noteikumu 8.3. apakšpunktā precizēts sasniedzamā rādītāja apjoms – 15 slimnīcas.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līdz 2026. gada 31. augustam – slimnīcu infrastruktūra vai aprīkojums – 15 slimnīcas.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49.1.1.3. administratīvo vai normatīvo procedūru kavējumi, kas radušies iestāžu darbības vai normatīvo aktu grozījumu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49.1. apakšpunkta tālākās apakšvienības, jo īpaši 49.1.1.2 un 49.1.1.3. apakšpunktu, nepieciešams izvērtēt un precizēt vai svītrot, kā arī sniegt atbilstošu skaidrojumu noteikumu projekta anotācijā. Vēršam uzmanību, ka no abiem minētajiem apakšpunktiem neizriet to sasaiste ar citu, 49.1.1.4. apakšpunktā paredzēto nepārvaramas varas pazīmi, proti, ka konkrētie kavējumi nav atkarīgi no finansējuma saņēmēja (49.1.1.2. apakšpunkta gadījumā - vai finansējuma saņēmējam bija jāparedz attiecīgie apstākļi), kā arī nav gūstama pārliecība par to, vai priekšnoteikums, ka būtiski jābūt ietekmētam projekta īstenošanas termiņam, ir piemērojams visos gadījumos vai vienīgi 49.1.1.4. apakšpunktā minētajiem apstākļiem. Savukārt 49.1.1.3. apakšpunkts neatbilst juridiskās tehnikas prasībām, jo no tā un anotācijas neizriet, kas ir domāts ar administratīvo vai normatīvo procedūru kavējumiem, jo īpaši, kādi tieši </w:t>
            </w:r>
            <w:r w:rsidR="00000000" w:rsidRPr="00000000" w:rsidDel="00000000">
              <w:rPr>
                <w:u w:val="single"/>
                <w:rtl w:val="0"/>
              </w:rPr>
              <w:t xml:space="preserve">normatīvo</w:t>
            </w:r>
            <w:r w:rsidR="00000000" w:rsidRPr="00000000" w:rsidDel="00000000">
              <w:rPr>
                <w:rtl w:val="0"/>
              </w:rPr>
              <w:t xml:space="preserve"> procedūru kavējumi var rasties </w:t>
            </w:r>
            <w:r w:rsidR="00000000" w:rsidRPr="00000000" w:rsidDel="00000000">
              <w:rPr>
                <w:u w:val="single"/>
                <w:rtl w:val="0"/>
              </w:rPr>
              <w:t xml:space="preserve">normatīvo</w:t>
            </w:r>
            <w:r w:rsidR="00000000" w:rsidRPr="00000000" w:rsidDel="00000000">
              <w:rPr>
                <w:rtl w:val="0"/>
              </w:rPr>
              <w:t xml:space="preserve"> aktu grozījumu dēļ, tostarp minētais apakšpunkts varētu būt pārāk plaši konstruēts, jo iestāžu darbība vai normatīvo aktu grozījumi (piemēram, ja grozījumi nostiprina tiesu judikatūru) var būt paredzami un pamatoti, savukārt administratīvo vai normatīvo procedūru kavējumi - nepamatoti.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 49.1.1. un 49.1.1.4. apakšpunkts, dzēsti 49.1.1.2 un 49.1.1.3.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49.1.1.4. citi objektīvi un dokumentēti apstākļi, kas nav atkarīgi no finansējuma saņēmēja un būtiski ietekmējuši projekta īstenošanas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vai tā anotācijā skaidrot, kādos gadījumos konstatējama būtiska ietekme uz projekta īstenošanas termiņu. Vēršam uzmanību, ka norāde uz būtiskumu ir subjektīva un var būt apgrūtinoši piemērojama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MK noteikumu 49.1.1.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49.1.1.2. citi objektīvi un dokumentēti apstākļi, kas nav atkarīgi no finansējuma saņēmēja.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Grozījumi šo noteikumu investīcijas nosaukumā, </w:t>
            </w:r>
            <w:r w:rsidR="00000000" w:rsidRPr="00000000" w:rsidDel="00000000">
              <w:rPr>
                <w:rtl w:val="0"/>
              </w:rPr>
              <w:t xml:space="preserve">8.2.</w:t>
            </w:r>
            <w:r w:rsidR="00000000" w:rsidRPr="00000000" w:rsidDel="00000000">
              <w:rPr>
                <w:rtl w:val="0"/>
              </w:rPr>
              <w:t xml:space="preserve"> un </w:t>
            </w:r>
            <w:r w:rsidR="00000000" w:rsidRPr="00000000" w:rsidDel="00000000">
              <w:rPr>
                <w:rtl w:val="0"/>
              </w:rPr>
              <w:t xml:space="preserve">8.3. </w:t>
            </w:r>
            <w:r w:rsidR="00000000" w:rsidRPr="00000000" w:rsidDel="00000000">
              <w:rPr>
                <w:rtl w:val="0"/>
              </w:rPr>
              <w:t xml:space="preserve">apakšpunktos</w:t>
            </w:r>
            <w:r w:rsidR="00000000" w:rsidRPr="00000000" w:rsidDel="00000000">
              <w:rPr>
                <w:rtl w:val="0"/>
              </w:rPr>
              <w:t xml:space="preserve"> ar izmaiņām pasākuma ietvaros sasniedzamo mērķrādītāju vērtībās stājas spēkā vienlaikus ar Eiropas Komisijas lēmumu par attiecīgajiem Atveseļošanas fonda plāna grozījumu priekšlikumiem. Veselības ministrija pēc tam, kad Eiropas Komisija pieņēmusi lēmumu par Atveseļošanas fonda plāna grozījumu priekšlikumiem,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norādi ("Grozījumi šo noteikumu (..) 8.2. un 8.3. apakšpunktos </w:t>
            </w:r>
            <w:r w:rsidR="00000000" w:rsidRPr="00000000" w:rsidDel="00000000">
              <w:rPr>
                <w:b w:val="1"/>
                <w:rtl w:val="0"/>
              </w:rPr>
              <w:t xml:space="preserve">ar</w:t>
            </w:r>
            <w:r w:rsidR="00000000" w:rsidRPr="00000000" w:rsidDel="00000000">
              <w:rPr>
                <w:rtl w:val="0"/>
              </w:rPr>
              <w:t xml:space="preserve"> izmaiņām pasākuma ietvaros sasniedzamo mērķrādītāju vērtībās"). Norādām, ka izmaiņas saistībā  ar pasākuma ietvaros sasniedzamo mērķrādītāju vērtībām paredz ne vien 8.2. un 8.3. apakšpunkts, bet arī citi grozījumi, piemēram, noteikumu Nr. 254 15. un 43. punktā, 21., 21.</w:t>
            </w:r>
            <w:r w:rsidR="00000000" w:rsidRPr="00000000" w:rsidDel="00000000">
              <w:rPr>
                <w:vertAlign w:val="superscript"/>
                <w:rtl w:val="0"/>
              </w:rPr>
              <w:t xml:space="preserve">1</w:t>
            </w:r>
            <w:r w:rsidR="00000000" w:rsidRPr="00000000" w:rsidDel="00000000">
              <w:rPr>
                <w:rtl w:val="0"/>
              </w:rPr>
              <w:t xml:space="preserve"> un 21.</w:t>
            </w:r>
            <w:r w:rsidR="00000000" w:rsidRPr="00000000" w:rsidDel="00000000">
              <w:rPr>
                <w:vertAlign w:val="superscript"/>
                <w:rtl w:val="0"/>
              </w:rPr>
              <w:t xml:space="preserve">2</w:t>
            </w:r>
            <w:r w:rsidR="00000000" w:rsidRPr="00000000" w:rsidDel="00000000">
              <w:rPr>
                <w:rtl w:val="0"/>
              </w:rPr>
              <w:t xml:space="preserve"> punkta svītrošana, kā arī grozījumi šo noteikumu nosaukumā saistīti arī ar citām izmaiņām noteikumos Nr. 254, tostarp 1. punkta ievaddaļā, 11.1. apakšpunktā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55.punkts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Grozījumi šo noteikumu 4.1.1.2.i. investīcijas nosaukumā "Atbalsts slimnīcu infrastruktūrai vai aprīkojumam", </w:t>
            </w:r>
            <w:r w:rsidR="00000000" w:rsidRPr="00000000" w:rsidDel="00000000">
              <w:rPr>
                <w:rtl w:val="0"/>
              </w:rPr>
              <w:t xml:space="preserve">1. </w:t>
            </w:r>
            <w:r w:rsidR="00000000" w:rsidRPr="00000000" w:rsidDel="00000000">
              <w:rPr>
                <w:rtl w:val="0"/>
              </w:rPr>
              <w:t xml:space="preserve">punkta</w:t>
            </w:r>
            <w:r w:rsidR="00000000" w:rsidRPr="00000000" w:rsidDel="00000000">
              <w:rPr>
                <w:rtl w:val="0"/>
              </w:rPr>
              <w:t xml:space="preserve"> ievaddaļā,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w:t>
            </w:r>
            <w:r w:rsidR="00000000" w:rsidRPr="00000000" w:rsidDel="00000000">
              <w:rPr>
                <w:rtl w:val="0"/>
              </w:rPr>
              <w:t xml:space="preserve">8.3. </w:t>
            </w:r>
            <w:r w:rsidR="00000000" w:rsidRPr="00000000" w:rsidDel="00000000">
              <w:rPr>
                <w:rtl w:val="0"/>
              </w:rPr>
              <w:t xml:space="preserve">apakšpunktā</w:t>
            </w:r>
            <w:r w:rsidR="00000000" w:rsidRPr="00000000" w:rsidDel="00000000">
              <w:rPr>
                <w:rtl w:val="0"/>
              </w:rPr>
              <w:t xml:space="preserve"> par izmaiņām investīcijas ietvaros sasniedzamajā rādītājā,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43.4. </w:t>
            </w:r>
            <w:r w:rsidR="00000000" w:rsidRPr="00000000" w:rsidDel="00000000">
              <w:rPr>
                <w:rtl w:val="0"/>
              </w:rPr>
              <w:t xml:space="preserve">apakšpunktā</w:t>
            </w:r>
            <w:r w:rsidR="00000000" w:rsidRPr="00000000" w:rsidDel="00000000">
              <w:rPr>
                <w:rtl w:val="0"/>
              </w:rPr>
              <w:t xml:space="preserve">,  kā arī </w:t>
            </w:r>
            <w:r w:rsidR="00000000" w:rsidRPr="00000000" w:rsidDel="00000000">
              <w:rPr>
                <w:rtl w:val="0"/>
              </w:rPr>
              <w:t xml:space="preserve">8.2. </w:t>
            </w:r>
            <w:r w:rsidR="00000000" w:rsidRPr="00000000" w:rsidDel="00000000">
              <w:rPr>
                <w:rtl w:val="0"/>
              </w:rPr>
              <w:t xml:space="preserve">apakšpunkta</w:t>
            </w:r>
            <w:r w:rsidR="00000000" w:rsidRPr="00000000" w:rsidDel="00000000">
              <w:rPr>
                <w:rtl w:val="0"/>
              </w:rPr>
              <w:t xml:space="preserve">, </w:t>
            </w:r>
            <w:r w:rsidR="00000000" w:rsidRPr="00000000" w:rsidDel="00000000">
              <w:rPr>
                <w:rtl w:val="0"/>
              </w:rPr>
              <w:t xml:space="preserve">21. </w:t>
            </w:r>
            <w:r w:rsidR="00000000" w:rsidRPr="00000000" w:rsidDel="00000000">
              <w:rPr>
                <w:rtl w:val="0"/>
              </w:rPr>
              <w:t xml:space="preserve">punkta</w:t>
            </w:r>
            <w:r w:rsidR="00000000" w:rsidRPr="00000000" w:rsidDel="00000000">
              <w:rPr>
                <w:rtl w:val="0"/>
              </w:rPr>
              <w:t xml:space="preserve">, </w:t>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w:t>
            </w:r>
            <w:r w:rsidR="00000000" w:rsidRPr="00000000" w:rsidDel="00000000">
              <w:rPr>
                <w:rtl w:val="0"/>
              </w:rPr>
              <w:t xml:space="preserve">21.</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w:t>
            </w:r>
            <w:r w:rsidR="00000000" w:rsidRPr="00000000" w:rsidDel="00000000">
              <w:rPr>
                <w:rtl w:val="0"/>
              </w:rPr>
              <w:t xml:space="preserve">svītrošana, stājas spēkā vienlaikus ar dienu, kad stājas spēkā Eiropas Komisijas lēmums par attiecīgajiem Atveseļošanas fonda plāna grozījumu priekšlikumiem. Veselības ministrija pēc tam, kad ir stājies spēkā Eiropas Komisijas lēmums par Atveseļošanas fonda plāna grozījumu priekšlikumiem, nosūta attiecīgu paziņojumu publicēšanai oficiālajā izdevumā "Latvijas Vēstnesis".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anotācijas 1.3. sadaļas "Pašreizējā situācija, problēmas un risinājumi" apakšsadaļā "Problēmas un risinājumi" ceturto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2) finansējums, kas tiek ietaupīts 4.1.1.2.i. investīcijas RAKUS,PSKUS, SIA "Daugavpils Reģionālā slimnīca", 4.1.1.3.i. investīcijas un 4.2.1.1.i. investīcijas projektu ietvaros tiek novirzīts LIC 2.posma 1.kārtas īstenošanai 7 093 190 euro ar PVN apmērā (no kura 5 862 140 euro ir AF finansējums un 1 231 050 euro PVN segšanai) (skatīt anotācijas tabulu Nr.1 "Finansējuma sadalījums"). Minētie līdzekļi izmantojami kā AF finansējuma atlikums RAKUS, kā AF 3.kārtas finansējuma saņēmējam, iesniedzot jaunu projektu LIC būvniecības 2.posma 1.kārtas īstenošanai ar īstenošanas termiņu  līdz 2026.gada 31.decembrim.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kārtas projekta līdzekļiem, bet ar šiem grozījumiem MK noteikumos Nr.254, šis ERAF finansējums tiek atbrīvots pārvirzīšanai RAKUS Latvijas Onkoloģijas centra renovācijai. Īstenojamie darbi - būvdarbi un autoruzraudzība, būvuzraudzība, projektēšana, zemes darbi, ārējo inženiertīklu un pievadceļu izbūves 2.posma uzsākšana, pamatu sagatavošana, lielgabarīta iekārtu iegāde, kopņu un pārsegumu izbūve, kā arī dzelzsbetona konstrukciju darbi;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sēdes protokollēmuma projekta 3. un 4. punktā norādīto, lūdzam papildināt anotācijas 1.3. sadaļas “Pašreizējā situācija, problēmas un risinājumi” punktu “Problēmas apraksts”, norādot finansējuma ietaupījuma apmēru RAKUS 4.1.1.2.i. investīcijas “Atbalsts slimnīcu infrastruktūrai vai aprīkojumam” projekta ietvaros un VSIA "Paula Stradiņa klīniskā universitātes slimnīca" 4.1.1.2.i investīcijas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Veselības ministriju un Centrālo finanšu un līgumu aģentūru no juridisko personu saraksta, ņemot vērā to, ka tiesību akta izpildes nodrošināšanas iestādes ir jānorāda anotācijas 7.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veiktas izmaiņas noteikumu Nr. 254 vienībās (25. un 26. punkts), ar kurām iepriekš pārņemtas Komisijas 2011. gada 20. decembra Lēmuma 2012/21/ES par Līguma par Eiropas Savienības darbību 106. panta 2. punkta piemērošanu valsts atbalstam attiecībā uz kompensāciju par sabiedriskajiem pakalpojumiem dažiem uzņēmumiem, kuriem uzticēts sniegt pakalpojumus ar vispārēju tautsaimniecisku nozīmi, prasības, lūdzam aizpildīt noteikumu projekta 5.4. apakšsadaļas 1. tabulu, skaidrojot šo prasību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Savienības saistības – lēmumi un regulas – ir ieviestas ar sākotnējo Ministru kabineta 2022. gada 19. aprīļa noteikumu Nr. 254 projektu. Ar veiktajiem grozījumiem tiek saglabātas iepriekš minētās saistības, un netiek ieviestas jaunas prasības attiecībā uz Latvijas Republikas starptautiskajām saistībām.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ārstniecības iestādes ir juridiskas personas, lūdzu, pārcelt administratīvo izmaksu aprēķinu ārstniecības iestādēm uz anotācijas 2. sadaļu. Lūdzu ņemt vērā, ka aprēķini veicami par katru ārstniecības iestādi atsevišķi (par ārstniecības iestādēm, kurām ir ietekme uz administratīvo slogu), kā arī to, ka subjektu skaits ir iestāde, nevis informācijas sniegšanā iesaistīto personu skaits. Tādējādi aprēķinā jānorāda subjektu skaits "1 iestāde", bet patērēto stundu skaits - kopējais iesaistīto darbinieku patērētais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anotācijas 2.sadaļa un 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Eiropas Savienības Atveseļošanas un noturības mehānisma plāna investīciju 4.1.1.2.i. "Atbalsts slimnīcu infrastruktūrai vai aprīkojumam"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pielikumā “Eiropas Savienības Atveseļošanas un noturības mehānisma plāna investīcijas 4.1.1.2.i. "Atbalsts infrastruktūrai vai aprīkojumam" finansējuma saņēmēji un finansējuma sadalījums” norādīto VSIA "Paula Stradiņa klīniskā universitātes slimnīca" maksimālo valsts budžeta finansējuma apmēru PVN segšanai ar blakus esošo informāciju kolonnā “PVN”.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Eiropas Savienības Atveseļošanas un noturības mehānisma plāna investīciju 4.1.1.2.i. "Atbalsts slimnīcu infrastruktūrai vai aprīkojumam"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mērķis ir stiprināt universitātes, reģionālo un specializēto slimnīcu veselības aprūpes pakalpojumu sniegšanas infrastruktūru, nodrošinot visaptverošu, ilgtspējīgu un integrētu veselības pakalpojumu sniegšanu, lai mazinātu infekciju slimību izplatību un veicinātu epidemioloģisko prasību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2022. gada 19. aprīļa noteikumu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 (turpmāk - MK noteikumi Nr. 254 ) 5. punktu atbilstoši Eiropas Savienības Atveseļošanas un noturības mehānisma plāna grozījumu priekšlikumiem.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5.punkts atbilstoši Eiropas Savienības Atveseļošanas un noturības mehānisma plāna grozījumu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mērķis ir palielināt veselības nozares noturību un pakalpojumu pieejamību, veicot ieguldījumus universitātes, reģionālo un specializēto slimnīcu veselības aprūpes pakalpojumu sniegšanas infrastruktūrā vai aprīkojumā.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līdz 2026. gada 31. augustam – slimnīcu infrastuktūra.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Līdzam papildināt noteikumu projekta 4. punktu, norādot cik slimnīcām tiks uzlabota infrastruktūra, t.i. 15 slimnīcām.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4.punkts.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līdz 2026. gada 31. augustam – slimnīcu infrastruktūra vai aprīkojums – 15 slimnīcas.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kopējais attiecināmais finansējums ir 181 042 625 </w:t>
            </w:r>
            <w:r w:rsidR="00000000" w:rsidRPr="00000000" w:rsidDel="00000000">
              <w:rPr>
                <w:i w:val="1"/>
                <w:rtl w:val="0"/>
              </w:rPr>
              <w:t xml:space="preserve">euro</w:t>
            </w:r>
            <w:r w:rsidR="00000000" w:rsidRPr="00000000" w:rsidDel="00000000">
              <w:rPr>
                <w:rtl w:val="0"/>
              </w:rPr>
              <w:t xml:space="preserve">, tai skaitā Atveseļošanas fonda finansējums ir 149 622 005 </w:t>
            </w:r>
            <w:r w:rsidR="00000000" w:rsidRPr="00000000" w:rsidDel="00000000">
              <w:rPr>
                <w:i w:val="1"/>
                <w:rtl w:val="0"/>
              </w:rPr>
              <w:t xml:space="preserve">euro </w:t>
            </w:r>
            <w:r w:rsidR="00000000" w:rsidRPr="00000000" w:rsidDel="00000000">
              <w:rPr>
                <w:rtl w:val="0"/>
              </w:rPr>
              <w:t xml:space="preserve">un valsts budžeta finansējums PVN segšanai – ne vairāk kā 31 420 620 </w:t>
            </w:r>
            <w:r w:rsidR="00000000" w:rsidRPr="00000000" w:rsidDel="00000000">
              <w:rPr>
                <w:i w:val="1"/>
                <w:rtl w:val="0"/>
              </w:rPr>
              <w:t xml:space="preserve">euro </w:t>
            </w:r>
            <w:r w:rsidR="00000000" w:rsidRPr="00000000" w:rsidDel="00000000">
              <w:rPr>
                <w:rtl w:val="0"/>
              </w:rPr>
              <w:t xml:space="preserve">(tai skaitā saskaņā ar šo noteikumu </w:t>
            </w:r>
            <w:r w:rsidR="00000000" w:rsidRPr="00000000" w:rsidDel="00000000">
              <w:rPr>
                <w:rtl w:val="0"/>
              </w:rPr>
              <w:t xml:space="preserve">37. </w:t>
            </w:r>
            <w:r w:rsidR="00000000" w:rsidRPr="00000000" w:rsidDel="00000000">
              <w:rPr>
                <w:rtl w:val="0"/>
              </w:rPr>
              <w:t xml:space="preserve">punktu</w:t>
            </w:r>
            <w:r w:rsidR="00000000" w:rsidRPr="00000000" w:rsidDel="00000000">
              <w:rPr>
                <w:rtl w:val="0"/>
              </w:rPr>
              <w:t xml:space="preserve"> noteiktais privātais finansējums, par kuru samazināts valsts budžeta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10. punktu ar papildu informāciju, cik no attiecināmā finansējuma ir papildu finansējums no Atveseļošanas un noturības mehānisma finansējuma ietaupījuma.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kopējais attiecināmais finansējums ir 181 042 625 euro (tai skaitā finansējums no Atveseļošanas fonda finansējuma ietaupījuma 147 626 euro), tai skaitā Atveseļošanas fonda finansējums ir 149 622 005 euro (tai skaitā finansējums no Atveseļošanas fonda finansējuma ietaupījuma 122 005 euro) un valsts budžeta finansējums PVN segšanai – ne vairāk kā 31 420 620 euro (tai skaitā finansējums no Atveseļošanas fonda finansējuma ietaupījuma 25 621 euro) (tai skaitā saskaņā ar šo noteikumu 37. punktu noteiktais privātais finansējums, par kuru samazināts valsts budžeta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16.punkts.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kopējais attiecināmais finansējums ir 181 042 625 </w:t>
            </w:r>
            <w:r w:rsidR="00000000" w:rsidRPr="00000000" w:rsidDel="00000000">
              <w:rPr>
                <w:i w:val="1"/>
                <w:rtl w:val="0"/>
              </w:rPr>
              <w:t xml:space="preserve">euro </w:t>
            </w:r>
            <w:r w:rsidR="00000000" w:rsidRPr="00000000" w:rsidDel="00000000">
              <w:rPr>
                <w:rtl w:val="0"/>
              </w:rPr>
              <w:t xml:space="preserve">(tai skaitā finansējums no ietaupījuma 147 626 </w:t>
            </w:r>
            <w:r w:rsidR="00000000" w:rsidRPr="00000000" w:rsidDel="00000000">
              <w:rPr>
                <w:i w:val="1"/>
                <w:rtl w:val="0"/>
              </w:rPr>
              <w:t xml:space="preserve">euro</w:t>
            </w:r>
            <w:r w:rsidR="00000000" w:rsidRPr="00000000" w:rsidDel="00000000">
              <w:rPr>
                <w:rtl w:val="0"/>
              </w:rPr>
              <w:t xml:space="preserve">), tai skaitā Atveseļošanas fonda finansējums ir 149 622 005 </w:t>
            </w:r>
            <w:r w:rsidR="00000000" w:rsidRPr="00000000" w:rsidDel="00000000">
              <w:rPr>
                <w:i w:val="1"/>
                <w:rtl w:val="0"/>
              </w:rPr>
              <w:t xml:space="preserve">euro </w:t>
            </w:r>
            <w:r w:rsidR="00000000" w:rsidRPr="00000000" w:rsidDel="00000000">
              <w:rPr>
                <w:rtl w:val="0"/>
              </w:rPr>
              <w:t xml:space="preserve">(tai skaitā finansējums no Atveseļošanas fonda finansējuma ietaupījuma 122 005 </w:t>
            </w:r>
            <w:r w:rsidR="00000000" w:rsidRPr="00000000" w:rsidDel="00000000">
              <w:rPr>
                <w:i w:val="1"/>
                <w:rtl w:val="0"/>
              </w:rPr>
              <w:t xml:space="preserve">euro</w:t>
            </w:r>
            <w:r w:rsidR="00000000" w:rsidRPr="00000000" w:rsidDel="00000000">
              <w:rPr>
                <w:rtl w:val="0"/>
              </w:rPr>
              <w:t xml:space="preserve">) un valsts budžeta finansējums PVN segšanai – ne vairāk kā 31 420 620 </w:t>
            </w:r>
            <w:r w:rsidR="00000000" w:rsidRPr="00000000" w:rsidDel="00000000">
              <w:rPr>
                <w:i w:val="1"/>
                <w:rtl w:val="0"/>
              </w:rPr>
              <w:t xml:space="preserve">euro</w:t>
            </w:r>
            <w:r w:rsidR="00000000" w:rsidRPr="00000000" w:rsidDel="00000000">
              <w:rPr>
                <w:rtl w:val="0"/>
              </w:rPr>
              <w:t xml:space="preserve"> (tai skaitā finansējums no ietaupījuma 25 621 </w:t>
            </w:r>
            <w:r w:rsidR="00000000" w:rsidRPr="00000000" w:rsidDel="00000000">
              <w:rPr>
                <w:i w:val="1"/>
                <w:rtl w:val="0"/>
              </w:rPr>
              <w:t xml:space="preserve">euro</w:t>
            </w:r>
            <w:r w:rsidR="00000000" w:rsidRPr="00000000" w:rsidDel="00000000">
              <w:rPr>
                <w:rtl w:val="0"/>
              </w:rPr>
              <w:t xml:space="preserve">) (tai skaitā saskaņā ar šo noteikumu </w:t>
            </w:r>
            <w:r w:rsidR="00000000" w:rsidRPr="00000000" w:rsidDel="00000000">
              <w:rPr>
                <w:rtl w:val="0"/>
              </w:rPr>
              <w:t xml:space="preserve">37. </w:t>
            </w:r>
            <w:r w:rsidR="00000000" w:rsidRPr="00000000" w:rsidDel="00000000">
              <w:rPr>
                <w:rtl w:val="0"/>
              </w:rPr>
              <w:t xml:space="preserve">punktu</w:t>
            </w:r>
            <w:r w:rsidR="00000000" w:rsidRPr="00000000" w:rsidDel="00000000">
              <w:rPr>
                <w:rtl w:val="0"/>
              </w:rPr>
              <w:t xml:space="preserve"> noteiktais privātais finansējums, par kuru samazināts valsts budžeta finansējums).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šo noteikumu </w:t>
            </w:r>
            <w:r w:rsidR="00000000" w:rsidRPr="00000000" w:rsidDel="00000000">
              <w:rPr>
                <w:rtl w:val="0"/>
              </w:rPr>
              <w:t xml:space="preserve">10.</w:t>
            </w:r>
            <w:r w:rsidR="00000000" w:rsidRPr="00000000" w:rsidDel="00000000">
              <w:rPr>
                <w:rtl w:val="0"/>
              </w:rPr>
              <w:t xml:space="preserve"> un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punktā</w:t>
            </w:r>
            <w:r w:rsidR="00000000" w:rsidRPr="00000000" w:rsidDel="00000000">
              <w:rPr>
                <w:rtl w:val="0"/>
              </w:rPr>
              <w:t xml:space="preserve"> minētajā kārtībā, iesniedzot projektu vadības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jāpapildina MK noteikumu Nr. 254 39.1. un 43.5. apakšpunkts ar atsaucēm uz 4.1.1.2.i. investīcijas "Atbalsts universitātes un reģionālo slimnīcu veselības aprūpes infrastruktūras stiprināšanai, lai nodrošinātu visaptverošu ilgtspējīgu integrētu veselības pakalpojumu, mazinātu infekciju slimību izplatību, epidemioloģisko prasību nodrošināšanā” trešo projektu atlases 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39.1. apakšpunkts un 43.5.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arī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šo noteikumu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minētajā kārtībā, iesniedzot projektu vadības informācijas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Finansējuma saņēmējs nodrošina informācijas un publicitātes pasākumus saskaņā ar </w:t>
            </w:r>
            <w:r w:rsidR="00000000" w:rsidRPr="00000000" w:rsidDel="00000000">
              <w:rPr>
                <w:rtl w:val="0"/>
              </w:rPr>
              <w:t xml:space="preserve">regulas Nr. 2021/241</w:t>
            </w:r>
            <w:r w:rsidR="00000000" w:rsidRPr="00000000" w:rsidDel="00000000">
              <w:rPr>
                <w:rtl w:val="0"/>
              </w:rPr>
              <w:t xml:space="preserve"> 34.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Nr. 254 45. punktu aiz skaitļa un vārda "34. pantu" ar vārdiem un skaitļiem "un Eiropas Komisijas un Latvijas Republikas Atveseļošanas un noturības mehānisma finansēšanas nolīguma 10. pantu", kā arī papildināt anotāciju ar norādi par nepieciešamību nodrošināt informācijas un publicitātes pasākumus atbilstoši arī ES fondu 2021.-2027. gada plānošanas perioda un Atveseļošanas fonda komunikācijas un dizaina vadlīnijās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45.punkts un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Finansējuma saņēmējs nodrošina informācijas un publicitātes pasākumus saskaņā ar </w:t>
            </w:r>
            <w:r w:rsidR="00000000" w:rsidRPr="00000000" w:rsidDel="00000000">
              <w:rPr>
                <w:rtl w:val="0"/>
              </w:rPr>
              <w:t xml:space="preserve">regulas Nr. 2021/241</w:t>
            </w:r>
            <w:r w:rsidR="00000000" w:rsidRPr="00000000" w:rsidDel="00000000">
              <w:rPr>
                <w:rtl w:val="0"/>
              </w:rPr>
              <w:t xml:space="preserve"> 34. pantu un Eiropas Komisijas un Latvijas Republikas Atveseļošanas un noturības mehānisma finansēšanas nolīguma 10.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48.7. nodrošina, ka iepirkumu, kas nepieciešams atbalstāmo darbību īstenošanai, var veikt kā sociāli atbildīgu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254 48.7. apakšpunkts paredz, ka, īstenojot projektu, finansējuma saņēmējs “nodrošina, ka iepirkumu, kas nepieciešams atbalstāmo darbību īstenošanai, var veikt kā sociāli atbildīgu iepirkumu”. Skaidrojam, ka, lai izslēgtu ekonomiskās priekšrocības preču piegādātājiem un pakalpojumu sniedzējiem, tādējādi novēršot tiem komercdarbības atbalsta piešķiršanu, tie būtu jāizraugās atklātā, pārredzamā, nediskriminējošā un konkurenci nodrošinošā procedūrā. Līdz ar to aicinām precizēt MK noteikumu Nr. 254 48.7. apakšpunktu, paredzot, ka, īstenojot projektu, finansējuma saņēmējs izvēlas pakalpojuma sniedzējus saskaņā ar normatīvajiem aktiem publisko iepirkumu jomā, </w:t>
            </w:r>
            <w:r w:rsidR="00000000" w:rsidRPr="00000000" w:rsidDel="00000000">
              <w:rPr>
                <w:u w:val="single"/>
                <w:rtl w:val="0"/>
              </w:rPr>
              <w:t xml:space="preserve">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48.7. apakšpunkts un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48.7. nodrošina, ka iepirkumu, kas nepieciešams atbalstāmo darbību īstenošanai, var veikt kā sociāli atbildīgu iepirkumu un pakalpojuma sniedzējus izvēlas saskaņā ar normatīvajiem aktiem publisko iepirkumu jomā, īstenojot atklātu, pārredzamu, nediskriminējošu un konkurenci nodrošinošu procedūru;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pirmās un otrās kārtas finansējuma saņēmējs izdevumus var veikt līdz 2026. gada 30. jūnijam, trešās kārtas finansējuma saņēmējs izdevumus var veikt līdz 2026.gada 11.decembrim (izņēmuma gadījumos, pirmās un otrās kārtas finansējuma saņēmējs, saskaņojot ar nozares ministriju un līgumslēdzēju, izdevumu veikšanas termiņu var pagarināt līdz 2026. gada 15. jūlijam).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pieturzīmi iekavas, jo tās nav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49.1.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pirmās un otrās kārtas finansējuma saņēmējs izdevumus var veikt līdz 2026. gada 30. jūnijam, trešās kārtas finansējuma saņēmējs izdevumus var veikt līdz 2026.gada 11.decembrim (izņēmuma gadījumos, pirmās un otrās kārtas finansējuma saņēmējs, saskaņojot ar nozares ministriju un līgumslēdzēju, izdevumu veikšanas termiņu var pagarināt līdz 2026. gada 15. jūlijam).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49.1.1.3. administratīvo vai normatīvo procedūru kavējumi, kas radušies iestāžu darbības vai normatīvo aktu grozījumu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regulējuma interpretāciju, lūdzam paskaidrot anotācijā, kas ir saprotams ar MK noteikumu Nr. 254 plānotajā 49.1.1.3. apakšpunktā minēto izņēmuma gadījumu, kādā var tikt pagarināts izdevumu veikšanas termiņš - </w:t>
            </w:r>
            <w:r w:rsidR="00000000" w:rsidRPr="00000000" w:rsidDel="00000000">
              <w:rPr>
                <w:i w:val="1"/>
                <w:rtl w:val="0"/>
              </w:rPr>
              <w:t xml:space="preserve">administratīvo vai normatīvo procedūru kavējumi, kas radušies iestāžu darbības vai normatīvo aktu grozījumu dēļ</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49.1.1.3. apakšpunkts dzēsts, precizēts 49.1.1. apakšpunkts un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Grozījumi šo noteikumu investīcijas nosaukumā, </w:t>
            </w:r>
            <w:r w:rsidR="00000000" w:rsidRPr="00000000" w:rsidDel="00000000">
              <w:rPr>
                <w:rtl w:val="0"/>
              </w:rPr>
              <w:t xml:space="preserve">8.2.</w:t>
            </w:r>
            <w:r w:rsidR="00000000" w:rsidRPr="00000000" w:rsidDel="00000000">
              <w:rPr>
                <w:rtl w:val="0"/>
              </w:rPr>
              <w:t xml:space="preserve"> un </w:t>
            </w:r>
            <w:r w:rsidR="00000000" w:rsidRPr="00000000" w:rsidDel="00000000">
              <w:rPr>
                <w:rtl w:val="0"/>
              </w:rPr>
              <w:t xml:space="preserve">8.3. </w:t>
            </w:r>
            <w:r w:rsidR="00000000" w:rsidRPr="00000000" w:rsidDel="00000000">
              <w:rPr>
                <w:rtl w:val="0"/>
              </w:rPr>
              <w:t xml:space="preserve">apakšpunktos</w:t>
            </w:r>
            <w:r w:rsidR="00000000" w:rsidRPr="00000000" w:rsidDel="00000000">
              <w:rPr>
                <w:rtl w:val="0"/>
              </w:rPr>
              <w:t xml:space="preserve"> ar izmaiņām pasākuma ietvaros sasniedzamo mērķrādītāju vērtībās stājas spēkā vienlaikus ar Eiropas Komisijas lēmumu par attiecīgajiem Atveseļošanas fonda plāna grozījumu priekšlikumiem. Veselības ministrija pēc tam, kad Eiropas Komisija pieņēmusi lēmumu par Atveseļošanas fonda plāna grozījumu priekšlikumiem,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norādot konkrētāku attiecīgo normu spēkā stāšanās laiku, proti, vai domāta spēkā stāšanās vienlaikus ar Eiropas Komisijas lēmuma pieņemšanu vai lēmuma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55.punkts.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Grozījumi šo noteikumu 4.1.1.2.i. investīcijas nosaukumā "Atbalsts slimnīcu infrastruktūrai vai aprīkojumam", </w:t>
            </w:r>
            <w:r w:rsidR="00000000" w:rsidRPr="00000000" w:rsidDel="00000000">
              <w:rPr>
                <w:rtl w:val="0"/>
              </w:rPr>
              <w:t xml:space="preserve">1. </w:t>
            </w:r>
            <w:r w:rsidR="00000000" w:rsidRPr="00000000" w:rsidDel="00000000">
              <w:rPr>
                <w:rtl w:val="0"/>
              </w:rPr>
              <w:t xml:space="preserve">punkta</w:t>
            </w:r>
            <w:r w:rsidR="00000000" w:rsidRPr="00000000" w:rsidDel="00000000">
              <w:rPr>
                <w:rtl w:val="0"/>
              </w:rPr>
              <w:t xml:space="preserve"> ievaddaļā,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w:t>
            </w:r>
            <w:r w:rsidR="00000000" w:rsidRPr="00000000" w:rsidDel="00000000">
              <w:rPr>
                <w:rtl w:val="0"/>
              </w:rPr>
              <w:t xml:space="preserve">8.3. </w:t>
            </w:r>
            <w:r w:rsidR="00000000" w:rsidRPr="00000000" w:rsidDel="00000000">
              <w:rPr>
                <w:rtl w:val="0"/>
              </w:rPr>
              <w:t xml:space="preserve">apakšpunktā</w:t>
            </w:r>
            <w:r w:rsidR="00000000" w:rsidRPr="00000000" w:rsidDel="00000000">
              <w:rPr>
                <w:rtl w:val="0"/>
              </w:rPr>
              <w:t xml:space="preserve"> par izmaiņām investīcijas ietvaros sasniedzamajā rādītājā,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43.4. </w:t>
            </w:r>
            <w:r w:rsidR="00000000" w:rsidRPr="00000000" w:rsidDel="00000000">
              <w:rPr>
                <w:rtl w:val="0"/>
              </w:rPr>
              <w:t xml:space="preserve">apakšpunktā</w:t>
            </w:r>
            <w:r w:rsidR="00000000" w:rsidRPr="00000000" w:rsidDel="00000000">
              <w:rPr>
                <w:rtl w:val="0"/>
              </w:rPr>
              <w:t xml:space="preserve">,  kā arī </w:t>
            </w:r>
            <w:r w:rsidR="00000000" w:rsidRPr="00000000" w:rsidDel="00000000">
              <w:rPr>
                <w:rtl w:val="0"/>
              </w:rPr>
              <w:t xml:space="preserve">8.2. </w:t>
            </w:r>
            <w:r w:rsidR="00000000" w:rsidRPr="00000000" w:rsidDel="00000000">
              <w:rPr>
                <w:rtl w:val="0"/>
              </w:rPr>
              <w:t xml:space="preserve">apakšpunkta</w:t>
            </w:r>
            <w:r w:rsidR="00000000" w:rsidRPr="00000000" w:rsidDel="00000000">
              <w:rPr>
                <w:rtl w:val="0"/>
              </w:rPr>
              <w:t xml:space="preserve">, </w:t>
            </w:r>
            <w:r w:rsidR="00000000" w:rsidRPr="00000000" w:rsidDel="00000000">
              <w:rPr>
                <w:rtl w:val="0"/>
              </w:rPr>
              <w:t xml:space="preserve">21. </w:t>
            </w:r>
            <w:r w:rsidR="00000000" w:rsidRPr="00000000" w:rsidDel="00000000">
              <w:rPr>
                <w:rtl w:val="0"/>
              </w:rPr>
              <w:t xml:space="preserve">punkta</w:t>
            </w:r>
            <w:r w:rsidR="00000000" w:rsidRPr="00000000" w:rsidDel="00000000">
              <w:rPr>
                <w:rtl w:val="0"/>
              </w:rPr>
              <w:t xml:space="preserve">, </w:t>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w:t>
            </w:r>
            <w:r w:rsidR="00000000" w:rsidRPr="00000000" w:rsidDel="00000000">
              <w:rPr>
                <w:rtl w:val="0"/>
              </w:rPr>
              <w:t xml:space="preserve">21.</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w:t>
            </w:r>
            <w:r w:rsidR="00000000" w:rsidRPr="00000000" w:rsidDel="00000000">
              <w:rPr>
                <w:rtl w:val="0"/>
              </w:rPr>
              <w:t xml:space="preserve">svītrošana, stājas spēkā vienlaikus ar dienu, kad stājas spēkā Eiropas Komisijas lēmums par attiecīgajiem Atveseļošanas fonda plāna grozījumu priekšlikumiem. Veselības ministrija pēc tam, kad ir stājies spēkā Eiropas Komisijas lēmums par Atveseļošanas fonda plāna grozījumu priekšlikumiem, nosūta attiecīgu paziņojumu publicēšanai oficiālajā izdevumā "Latvijas Vēstnesis".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25-TA-2133</w:t>
    </w:r>
    <w:r>
      <w:br/>
    </w:r>
    <w:r w:rsidR="00000000" w:rsidRPr="00000000" w:rsidDel="00000000">
      <w:rPr>
        <w:rtl w:val="0"/>
      </w:rPr>
      <w:t xml:space="preserve">03.12.2025. 09.37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25-TA-2133</w:t>
    </w:r>
    <w:r>
      <w:br/>
    </w:r>
    <w:r w:rsidR="00000000" w:rsidRPr="00000000" w:rsidDel="00000000">
      <w:rPr>
        <w:rtl w:val="0"/>
      </w:rPr>
      <w:t xml:space="preserve">03.12.2025. 09.37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Izziņa_25-TA-2133.docx</dc:title>
</cp:coreProperties>
</file>

<file path=docProps/custom.xml><?xml version="1.0" encoding="utf-8"?>
<Properties xmlns="http://schemas.openxmlformats.org/officeDocument/2006/custom-properties" xmlns:vt="http://schemas.openxmlformats.org/officeDocument/2006/docPropsVTypes"/>
</file>