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24-TA-2506: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 vēja elektrostacija, ietverot vēja ģeneratoru un invertoru, ar pieslēgumu kopējam elektroapgādes tīklam vai bez šāda pieslēguma;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(Rudzātu pagasta zemnieku saimniecība Byumani - 26.10.2024.)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elektrostacijām atbalsta likmes ir neatbilstoši zemas un nenosedz paredzētos 70% no iegādes un uzstādīšanas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 vēja elektrostacija, ietverot vēja ģeneratoru, tā kāju (stabu, torni) un invertoru, ar pieslēgumu kopējam elektroapgādes tīklam vai bez šāda pieslēguma;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Maksimālais atbalsta apmērs finanšu instrumenta ietvaros vēja elektrostaciju (ietverot vēja ģeneratoru un invertoru)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ražošanas iekārtas nominālā jauda (mazākais parametrs no saules paneļu nominālās jaudas vai invertora nominālās vai invertora iestatītās jaudas), kWMaksimālais atbalsta apmērs elektroenerģijas ražošanas iekārtas un invertora iegādei,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 (neieskaitot)2 000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 līdz 2 (neieskaitot)4 000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 līdz 3 (neieskaitot)6 000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 līdz 4 (neieskaitot)8 000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 līdz 5 (neieskaitot)10 000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5 līdz 6 (neieskaitot)12 000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6 līdz 7 (neieskaitot)14 000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7 līdz 8 (neieskaitot)16 000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8 līdz 9 (neieskaitot)18 000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9 līdz 10 (neieskaitot)20 000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10      22 000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pateicas par Rudzātu pagasta zemnieku saimniecības Byumani iesaisti MK noteikumu projekta izstrādē. Vēršam uzmanību, ka šo MK noteikumu projekta mērķis nav mainīt projektu konkursa ietvaros pieļaujamā atbalsta intensitāti nevienā no atbalstāmajām aktivitātēm. Informējam, ka atbalsta apjoms visām atjaunīgo energoresursu iekārtām tika noteikts balstoties uz veikto tirgus izpēti un komersantu aptauju. Saskaņā ar veikto tirgus tendenču izvērtējumu tika noteikts atbalsta apjoms atkarībā no konkrētās atjaunīgo energoresursu iekārtas un tās jaudas parametriem. Līdz ar to finansējuma saņēmējs var saņemt atbalstu konkursa ietvaros, atbilstoši nosakot konkrētās iekārtas jaudu un iespējamo izmaksu apjomu, kas būtu maksimāli saņemams kā atbalsts konkursa ietvaros pēc atjaunīgās energoresursu iekārtas iegādes un uzstādīšanas. Ministrija izvērtēs iespēju 2025.gadā pārskatīt maksimālo atbalsta apmēru siltumenerģijas un elektroenerģijas ražošanas iekārtu iegādei, kā arī mājsaimniecības pieslēguma izveidei pie centralizētās siltumapgādes sistēmas. Uz 11.11.2024. projektu konkursā atbalsts ir sniegts 5 vēja ģeneratoru iegādei ar kopējo jaudu 19 kW un Emisijas kvotu izsolīšanas instrumenta atbalsta intensitāti 65%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 vēja elektrostacija, ietverot vēja ģeneratoru un invertoru, ar pieslēgumu kopējam elektroapgādes tīklam vai bez šāda pieslēguma;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izveidojot divas tabulas (viena par rādītājiem līdz 2024.g. un otra par rādītājiem no 2025.g. līdz 2029.g.), apvienojot anotācijā esošo tabulu “Projektu finansējums un atbalsta intensitāte” un  “Projektos indikatīvi plānotais oglekļa dioksīda (turpmāk - CO2) emisiju samazinājums”, rādītājus, papildus norādot aktivitāšu efektivitāti, kā arī iekļaujot pārējās EKII finansētās aktivitātes (uz ko tieši neattiecās šie grozījumi) un to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tiks nosūtīta e-pastā tiesību akta sagatavotājam un līdzizpildītājam no KEM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sākotnējais izvērtējums (anotācija) papildināts, pilnveidojot tabulu par rādītājiem līdz 2024.gadam, apvienojot anotācijā esošo tabulu “Projektu finansējums un atbalsta intensitāte” un  “Projektos indikatīvi plānotais oglekļa dioksīda  emisiju samazinājums”, rādītājus. Dati par rādītājiem no 2025. - 2029. gadam sniegti kopsavilkuma formātā, jo detalizētas informācijas sniegšanai būtu nepieciešami papildu sociāli ekonomiskie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netiek iekļauta informācija, kas nav saistīta ar konkrēto atbalsta programmu, t.i. informācija par Emisijas kvotu izsolīšanas instrumenta ietvaros īstenoto projektu konkursu datiem un jauniem projektu konkursiem tiks ietverta Emisijas kvotu izsolīšanas instrumenta darbības stratēģijā, kas tiek izstrādāta un tiks iesniegta izskatīšanai Ministru kabineta sēdē sešu mēnešu laikā pēc likumprojekta "Klimata likums" spēkā stāšanās (indikatīvi 2025.gada vidus).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plānotās atbalsta programmas sinerģiju un demarkāciju ar Eiropas Savienības kohēzijas politikas programmas 2021.-2027.gadam ietvaros plānotajiem specifiskajiem atbalsta mērķiem un pasākumiem, piemēram 2.2.3.6. pasākumu “Individuālo siltumapgādes sistēmu uzlabošana mājsaimniecībām”.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projekts paredz veikt grozījumus Ministru kabineta 2022. gada 1. marta noteikumos Nr. 150 “Emisijas kvotu izsolīšanas instrumenta finansēto projektu atklāta konkursa “Siltumnīcefekta gāzu emisiju samazināšana mājsaimniecībās – atbalsts atjaunojamo energoresursu izmantošanai” nolikums” (turpmāk -  MK noteikumi Nr.150), pagarinot projektu konkursa īstenošanas termiņu, palielinot kopējo finansējuma apjomu, vienlaikus nodrošinot atbalsta īstenošanas aktivitāšu nepārtrauktību. Tādējādi anotācija sadaļa "Risinājuma apraksts" ir papildināta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īstenojot projektus tiks nodrošināta atbalstāmo darbību sinerģija un demarkācija ar Eiropas Savienības un citiem atbalsta instrumentiem. Kā vienu no demarkācijas instrumentiem iespējams izmantot FM izstrādāto dubultfinansējuma riska kontroles matricu (pieejama: https://matrica.fm.gov.lv/). Piemēram, Eiropas Savienības kohēzijas politikas programmas 2021.–2027.gadam 2.2.3. specifiskā atbalsta mērķa “Uzlabot dabas aizsardzību un bioloģisko daudzveidību, “zaļo” infrastruktūru, it īpaši pilsētvidē, un samazināt piesārņojumu” 2.2.3.6. specifiskā atbalsta mērķa pasākums “Gaisa piesārņojumu mazinošu pasākumu īstenošana, uzlabojot mājsaimniecību siltumapgādes sistēmas” (turpmāk - 2.2.3.6. pasākums) paredz atbalstu pieslēgumiem centralizētajām siltumapgādes sistēmām, siltumsūkņu iegādei mājsaimniecībām un granulu apkures katlu iegādei mājsaimniecībām. Izmaksu pozīcijas ietver koksnes biomasas apkures katla iegādes izmaksas, siltumsūkņa iegādes izmaksas. Savukārt MK noteikumi Nr.150 paredz plašāku atbalstu atjaunīgo energoresursu iekārtu iegādei, piemēram, vēja ģeneratoriem, saules kolektoru sistēmām un elektroenerģijas uzkrāšanas iekārtām. Viena no būtiskākajām atšķirībām ir tāda, ka atbalsts iedzīvotājiem MK noteikumu Nr.150 ietvaros tiek sniegts pēc atjaunīgo energoresursu iekārtas iegādes, uzstādīšanas un nodošanas ekspluatācijas, t.i. iedzīvotājam nav jāgatavo projekta iesniegums, lai atklātā projektu konkursa ietvaros konkurētu ar citiem projektu iesniedzējiem, t.i. projekts tiek īstenots, kad iedzīvotājs pats to vēlas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starp MK noteikumiem Nr.150 un 2.2.3.6.pasākumu jau tiek nodrošināta kopš atbalsta programmu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paskaidrot anotācijas sadaļā "Pašreizējā situācija" tabulas "Projektos indikatīvi plānotais oglekļa dioksīda (turpmāk - CO2) emisiju samazinājums" formulu loģiku. Piemēram, ja dabasgāzes iekārtas daļēji tiek aizvietotas ar siltumsūkņiem, kuru darbībai izmanto elektrību, nav saprotams, kāpēc "indikatīvo CO2 emisijas samazinājumu aprēķinā" ir izmantots tikai "SEG emisijas faktors dabas gāzei" un tiek ignorēts "SEG emisijas faktors elektrībai", kas ir minēts zem "SEG emisijas faktors elektrībai".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atsauces izmantošanu tabulā "Projektos indikatīvi plānotais oglekļa dioksīda (turpmāk - CO2) emisiju samazinājums". Lūdzam skaidrot, kādā veidā "pieslēgums centralizētajai siltumapgādes sistēmai" ir saistīts ar "uzstādītās elektrostacijas jauda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"Pašreizējā situācija". Projektos indikatīvi plānotais oglekļa dioksīda (turpmāk - CO</w:t>
            </w:r>
            <w:r w:rsidR="00000000" w:rsidRPr="00000000" w:rsidDel="00000000">
              <w:rPr>
                <w:vertAlign w:val="subscript"/>
                <w:rtl w:val="0"/>
              </w:rPr>
              <w:t xml:space="preserve">2</w:t>
            </w:r>
            <w:r w:rsidR="00000000" w:rsidRPr="00000000" w:rsidDel="00000000">
              <w:rPr>
                <w:rtl w:val="0"/>
              </w:rPr>
              <w:t xml:space="preserve">) emisiju samazinājums ir indikatīva un vienkāršoti aprēķināta informācija, ko balstoties uz datiem par īstenotajiem projektiem, aprēķina SIA "Vides investīciju fonds". Informācija ir precizēta, ņemot vērā fosilo energoresursu dažādo CO</w:t>
            </w:r>
            <w:r w:rsidR="00000000" w:rsidRPr="00000000" w:rsidDel="00000000">
              <w:rPr>
                <w:vertAlign w:val="subscript"/>
                <w:rtl w:val="0"/>
              </w:rPr>
              <w:t xml:space="preserve">2</w:t>
            </w:r>
            <w:r w:rsidR="00000000" w:rsidRPr="00000000" w:rsidDel="00000000">
              <w:rPr>
                <w:rtl w:val="0"/>
              </w:rPr>
              <w:t xml:space="preserve"> emisijas faktoru un vidējo elektroenerģijas CO</w:t>
            </w:r>
            <w:r w:rsidR="00000000" w:rsidRPr="00000000" w:rsidDel="00000000">
              <w:rPr>
                <w:vertAlign w:val="subscript"/>
                <w:rtl w:val="0"/>
              </w:rPr>
              <w:t xml:space="preserve">2</w:t>
            </w:r>
            <w:r w:rsidR="00000000" w:rsidRPr="00000000" w:rsidDel="00000000">
              <w:rPr>
                <w:rtl w:val="0"/>
              </w:rPr>
              <w:t xml:space="preserve"> emisijas faktoru projektos, kuros ir iegādāti un uzstādīti siltumsūkņi.  Atbilstoši MK noteikumu Nr.150 nosacījumiem atbalsts atjaunīgo energoresursu iekārtu iegādei tiek sniegts, ja pilnībā tiek nomainīta esoša fosilos energoresursus (piemēram, dabasgāze, akmeņogles) izmantojoša iekārta (apkures katls).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informāciju par KEM budžeta apakšprogrammā 33.02.00 “Emisijas kvotu izsolīšanas instrumenta projekti” jau šobrīd piešķirto finansējumu EKII konkursa “Siltumnīcefekta gāzu emisiju samazināšana mājsaimniecībās – atbalsts atjaunojamo energoresursu izmantošanai” īstenošanai, aizpildot aili “saskaņā 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6.sadaļā punktā “Skaidrojums” norādīto informāciju, jo šobrīd tās saturs neatbilst noteikumu projektā paredzētajam (šobrīd sniegtā informācija ir saistoša TA lietai Nr.24-TA-2507 nevis Nr.24-TA-2506).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6.sadaļas punktā “Skaidrojums”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8</w:t>
            </w:r>
            <w:r w:rsidR="00000000" w:rsidRPr="00000000" w:rsidDel="00000000">
              <w:rPr>
                <w:rtl w:val="0"/>
              </w:rPr>
              <w:t xml:space="preserve"> Vides investīciju fonds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01.07.2024. stājās spēkā grozījumi MK noteikumos Nr.715, ar kuriem tiek mainīts MK noteikumu Nr.715 nosaukums, proti, "De minimis atbalsta uzskaites un piešķiršanas kārtība". Līdz ar to lūdzam Noteikumu 16.</w:t>
            </w:r>
            <w:r w:rsidR="00000000" w:rsidRPr="00000000" w:rsidDel="00000000">
              <w:rPr>
                <w:vertAlign w:val="superscript"/>
                <w:rtl w:val="0"/>
              </w:rPr>
              <w:t xml:space="preserve">8</w:t>
            </w:r>
            <w:r w:rsidR="00000000" w:rsidRPr="00000000" w:rsidDel="00000000">
              <w:rPr>
                <w:rtl w:val="0"/>
              </w:rPr>
              <w:t xml:space="preserve">.punktā un 24.14.</w:t>
            </w:r>
            <w:r w:rsidR="00000000" w:rsidRPr="00000000" w:rsidDel="00000000">
              <w:rPr>
                <w:vertAlign w:val="superscript"/>
                <w:rtl w:val="0"/>
              </w:rPr>
              <w:t xml:space="preserve">1</w:t>
            </w:r>
            <w:r w:rsidR="00000000" w:rsidRPr="00000000" w:rsidDel="00000000">
              <w:rPr>
                <w:rtl w:val="0"/>
              </w:rPr>
              <w:t xml:space="preserve">.punktā svītrot vārdus "un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w:t>
            </w:r>
            <w:r w:rsidR="00000000" w:rsidRPr="00000000" w:rsidDel="00000000">
              <w:rPr>
                <w:vertAlign w:val="superscript"/>
                <w:rtl w:val="0"/>
              </w:rPr>
              <w:t xml:space="preserve">8</w:t>
            </w:r>
            <w:r w:rsidR="00000000" w:rsidRPr="00000000" w:rsidDel="00000000">
              <w:rPr>
                <w:rtl w:val="0"/>
              </w:rPr>
              <w:t xml:space="preserve">.punktā un 24.14.</w:t>
            </w:r>
            <w:r w:rsidR="00000000" w:rsidRPr="00000000" w:rsidDel="00000000">
              <w:rPr>
                <w:vertAlign w:val="superscript"/>
                <w:rtl w:val="0"/>
              </w:rPr>
              <w:t xml:space="preserve">1</w:t>
            </w:r>
            <w:r w:rsidR="00000000" w:rsidRPr="00000000" w:rsidDel="00000000">
              <w:rPr>
                <w:rtl w:val="0"/>
              </w:rPr>
              <w:t xml:space="preserve">.punktā svītroti vārdi "un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8</w:t>
            </w:r>
            <w:r w:rsidR="00000000" w:rsidRPr="00000000" w:rsidDel="00000000">
              <w:rPr>
                <w:rtl w:val="0"/>
              </w:rPr>
              <w:t xml:space="preserve"> Vides investīciju fonds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Projektu iesniegumu iesniegšanas termiņš ir 2029. gada 31. decembris vai brīdis, kad beidzas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2022. gada 1. marta noteikumos Nr.150 “Emisijas kvotu izsolīšanas instrumenta finansēto projektu atklāta konkursa “Siltumnīcefekta gāzu emisiju samazināšana mājsaimniecībās – atbalsts atjaunojamo energoresursu izmantošanai” nolikums””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paredzēto Ministru kabineta 2022. gada 1. marta noteikumu Nr.150 “Emisijas kvotu izsolīšanas instrumenta finansēto projektu atklāta konkursa “Siltumnīcefekta gāzu emisiju samazināšana mājsaimniecībās – atbalsts atjaunojamo energoresursu izmantošanai” nolikums” (turpmāk – noteikumi) 5. punktu un projekta 11. punktā paredzēto noteikumu 23. punktu par atbalsta konkursu beigu termiņiem piedāvājam savstarpēji izvērtēt un precizēt. Vēršam uzmanību, ka noteikumu 5. punkts paredzēs, ka konkursa ietvaros aktivitātes, kas iekļautas apstiprinātajos projektu iesniegumos, īsteno līdz 2029. gada 31. decembrim. Šāds regulējums nosaka, ka konkursi tiek īstenoti noteiktā kalendāra un attiecīgi arī budžeta gada ietvaros. Savukārt noteikumu 23. punkts paredzēs, ka projektu iesniegumu iesniegšanas termiņš ir 2029. gada 31. decembris un šāds regulējums pieļaus, ka konkursu īstenošana (iesniegumu izskatīšana, finansējuma piešķiršana) varēs notikt arī 2030.gadā. Ievērojot minēto, piedāvājam precizēt un savstarpēji saskaņot minētās normas un par to piemērošanu izvērstu skaidrojumu sniegt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papildināts ar skaidrojumu par normām par konkursa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Projektu iesniegumu iesniegšanas termiņš ir ne ilgāk kā līdz 2029. gada 31. decembrim vai brīdim, kad beidzas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minētais finansējums.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24-TA-2506</w:t>
    </w:r>
    <w:r>
      <w:br/>
    </w:r>
    <w:r w:rsidR="00000000" w:rsidRPr="00000000" w:rsidDel="00000000">
      <w:rPr>
        <w:rtl w:val="0"/>
      </w:rPr>
      <w:t xml:space="preserve">20.11.2024. 07.46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24-TA-2506</w:t>
    </w:r>
    <w:r>
      <w:br/>
    </w:r>
    <w:r w:rsidR="00000000" w:rsidRPr="00000000" w:rsidDel="00000000">
      <w:rPr>
        <w:rtl w:val="0"/>
      </w:rPr>
      <w:t xml:space="preserve">20.11.2024. 07.46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Izziņa_24-TA-2506.docx</dc:title>
</cp:coreProperties>
</file>

<file path=docProps/custom.xml><?xml version="1.0" encoding="utf-8"?>
<Properties xmlns="http://schemas.openxmlformats.org/officeDocument/2006/custom-properties" xmlns:vt="http://schemas.openxmlformats.org/officeDocument/2006/docPropsVTypes"/>
</file>