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23-TA-1856: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Atsevišķu bīstamas ķīmiskas vielas saturošu iekārtu un produktu lietošanas un marķēšanas prasības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12.08.2025. 15:04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vides dienests reizi gadā apkopo šo noteikumu 5. un 6. punktā minēto informāciju par iepriekšējo gadu un nosūta valsts sabiedrībai ar ierobežotu atbildību "Latvijas Vides, ģeoloģijas un meteoroloģijas centrs" (turpmāk - centrs). Centrs apkopo saņemto informāciju un nodrošina tās pieejamību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papildus 6.punktā noteiktajam pienākumam informēt Valsts vides dienestu noteikumu projekts paredz virkni citu prasību, noteikumu projektā jāparedz ne tikai iestādes, kas apkopo informāciju un nodrošina tās pieejamību sabiedrībai, bet arī jāparedz iestāde vai iestādes, kas nodrošina visu noteikto prasību izpildes uzraudzību. Ja noteikumu projekta izstrādātāja ieskatā tas ir secināms no citā regulējumā noteiktā, tad pietiekami detalizēta informācija par to ir atspoguļojuma vismaz anotācijā, kur šobrīd tāda nav atrodama.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vides dienests reizi gadā apkopo šo noteikumu 5. un 6. punktā minēto informāciju par iepriekšējo gadu un nosūta valsts sabiedrībai ar ierobežotu atbildību "Latvijas Vides, ģeoloģijas un meteoroloģijas centrs" (turpmāk - centrs). Centrs apkopo saņemto informāciju un nodrošina tās pieejamību sabiedrībai.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Ražotāji konstruē iekārtas tādā veidā, lai lietotājs, kurš lietos iekārtas, var viegli izņemt izlietotās baterijas un akumulatorus. Ja lietotājam, kurš lietos iekārtas, nav iespējams viegli izņemt izlietotās baterijas un akumulatorus no iekārtām, ražotāji konstruē iekārtas tā, ka izlietotās baterijas un akumulatorus var viegli izņemt kvalificēti speciālisti, kuri ir neatkarīgi no ražotāja. Iekārtām, kurās ir iestrādātas baterijas un akumulatori, pievieno instrukcijas par to, kā minētās baterijas un akumulatorus var droši izņemt vai nu lietotājs, kurš lietos iekārtas, vai neatkarīgi kvalificēti speciālisti. Instrukcijās var ietvert arī informāciju lietotājam, kurš lietos iekārtas, par iekārtā iestrādāto bateriju vai akumulatoru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w:t>
            </w:r>
            <w:r w:rsidR="00000000" w:rsidRPr="00000000" w:rsidDel="00000000">
              <w:rPr>
                <w:rtl w:val="0"/>
              </w:rPr>
              <w:t xml:space="preserve"> pret </w:t>
            </w:r>
            <w:r w:rsidR="00000000" w:rsidRPr="00000000" w:rsidDel="00000000">
              <w:rPr>
                <w:i w:val="1"/>
                <w:rtl w:val="0"/>
              </w:rPr>
              <w:t xml:space="preserve">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w:t>
            </w:r>
            <w:r w:rsidR="00000000" w:rsidRPr="00000000" w:rsidDel="00000000">
              <w:rPr>
                <w:u w:val="single"/>
                <w:rtl w:val="0"/>
              </w:rPr>
              <w:t xml:space="preserve">tikai gadījumos</w:t>
            </w:r>
            <w:r w:rsidR="00000000" w:rsidRPr="00000000" w:rsidDel="00000000">
              <w:rPr>
                <w:rtl w:val="0"/>
              </w:rPr>
              <w:t xml:space="preserve">, </w:t>
            </w:r>
            <w:r w:rsidR="00000000" w:rsidRPr="00000000" w:rsidDel="00000000">
              <w:rPr>
                <w:u w:val="single"/>
                <w:rtl w:val="0"/>
              </w:rPr>
              <w:t xml:space="preserve">ja regulā ir tieši paredzēts dalībvalstij kāds konkrēts pienākums</w:t>
            </w:r>
            <w:r w:rsidR="00000000" w:rsidRPr="00000000" w:rsidDel="00000000">
              <w:rPr>
                <w:rtl w:val="0"/>
              </w:rPr>
              <w:t xml:space="preserve">,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piemēram, noteikumu projekta 25. punktā iekļautais formulējums pārraksta </w:t>
            </w:r>
            <w:r w:rsidR="00000000" w:rsidRPr="00000000" w:rsidDel="00000000">
              <w:rPr>
                <w:i w:val="1"/>
                <w:rtl w:val="0"/>
              </w:rPr>
              <w:t xml:space="preserve">Eiropas Parlamenta un Padomes 2023. gada 12. jūlija Regula (ES) 2023/1542  par baterijām un bateriju atkritumiem, ar ko groza Direktīvu 2008/98/EK un Regulu (ES) 2019/1020 un atceļ Direktīvu 2006/66/EK</w:t>
            </w:r>
            <w:r w:rsidR="00000000" w:rsidRPr="00000000" w:rsidDel="00000000">
              <w:rPr>
                <w:rtl w:val="0"/>
              </w:rPr>
              <w:t xml:space="preserve"> 11. panta 1. punktā noteikto, kas ir pretrunā regulas tiešās piemērojamības principam. Ievērojot minēto, lūdzam precizēt noteikumu projektu un tā vietā, lai noteikumu projektā pārrakstītu regulas normas, tajā ietvert atsauci uz attiecīgo regulas normu atbilstoši Ministru kabineta 2009. gada 3. februāra noteikumu Nr. 108 "Normatīvo aktu projektu sagatavošanas noteikumi" 172.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Jebkura fiziska vai juridiska persona, kas laiž tirgū produktus ar iestrādātam pārnēsājamām baterijām vai vieglo pārvietošanās līdzekļu baterijām, nodrošina Bateriju regulas 11.pantā noteikto pienākumu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15., 16., 17., 18., 20., 21., 22., 23., 24. punkts, un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ir spēkā līdz 2025.gada 17.augustam.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27. punktā paredzētais noteikumu projekta attiecīgo normu spēkā esamības termiņš, proti, 2025. gada 17. augusts, ir pagājis, kā arī noteikumi vēl tikai stāsies spēkā vispārējā kārtībā, līdz ar to lūdzam noteikumu projektā neietvert normas ar atpakaļvērstu spēku, jo tas neatbilst tiesiskās paļāvības principam un paredzēt noteikumu projektā paredzēto pārejas noteikumu (skat. Ministru kabineta 2006. gada 14. februāra noteikumus Nr. 139 “Noteikumi par atsevišķu bīstamas ķīmiskas vielas saturošu iekārtu un produktu lietošanas un marķēšanas prasībām un par videi kaitīgo preču sarakstu”), papildus anotācijas 5. sadaļā skaidrojot, ka saskaņā ar </w:t>
            </w:r>
            <w:r w:rsidR="00000000" w:rsidRPr="00000000" w:rsidDel="00000000">
              <w:rPr>
                <w:i w:val="1"/>
                <w:rtl w:val="0"/>
              </w:rPr>
              <w:t xml:space="preserve">Eiropas Parlamenta un Padomes 2023. gada 12. jūlija Regula (ES) 2023/1542  par baterijām un bateriju atkritumiem, ar ko groza Direktīvu 2008/98/EK un Regulu (ES) 2019/1020 un atceļ Direktīvu 2006/66/EK</w:t>
            </w:r>
            <w:r w:rsidR="00000000" w:rsidRPr="00000000" w:rsidDel="00000000">
              <w:rPr>
                <w:rtl w:val="0"/>
              </w:rPr>
              <w:t xml:space="preserve"> 95. pantu atceļ Direktīvu 2006/66/EK atceļ no 2025. gada 18.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2008. gada 19. novembra Direktīvas 2008/103/EK, ar ko Direktīvu 2006/66/EK par baterijām un akumulatoriem un bateriju un akumulatoru atkritumiem groza attiecībā uz bateriju un akumulatoru laišanu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r w:rsidR="00000000" w:rsidRPr="00000000" w:rsidDel="00000000">
              <w:rPr>
                <w:i w:val="1"/>
                <w:rtl w:val="0"/>
              </w:rPr>
              <w:t xml:space="preserve"> Eiropas Parlamenta un Padomes 2008. gada 19. novembra Direktīva 2008/103/EK, ar ko Direktīvu 2006/66/EK par baterijām un akumulatoriem un bateriju un akumulatoru atkritumiem groza attiecībā uz bateriju un akumulatoru laišanu tirgū</w:t>
            </w:r>
            <w:r w:rsidR="00000000" w:rsidRPr="00000000" w:rsidDel="00000000">
              <w:rPr>
                <w:rtl w:val="0"/>
              </w:rPr>
              <w:t xml:space="preserve"> un </w:t>
            </w:r>
            <w:r w:rsidR="00000000" w:rsidRPr="00000000" w:rsidDel="00000000">
              <w:rPr>
                <w:i w:val="1"/>
                <w:rtl w:val="0"/>
              </w:rPr>
              <w:t xml:space="preserve">Eiropas Parlamenta un Padomes 2013. gada 20. novembra Direktīvas 2013/56/ES, ar ko groza Eiropas Parlamenta un Padomes Direktīvu 2006/66/EK, ar ko groza Eiropas Parlamenta un Padomes Direktīvu 2006/66/EK par baterijām un akumulatoriem, un bateriju un akumulatoru atkritumiem attiecībā uz tādu kadmiju saturošu pārnēsājamu bateriju un akumulatoru laišanu tirgū, kurus paredzēts izmantot bezvada elektriskajos instrumentos, kā arī attiecībā uz podziņelementu ar nelielu dzīvsudraba saturu laišanu tirgū un ar ko atceļ Komisijas Lēmumu 2009/603/EK, </w:t>
            </w:r>
            <w:r w:rsidR="00000000" w:rsidRPr="00000000" w:rsidDel="00000000">
              <w:rPr>
                <w:rtl w:val="0"/>
              </w:rPr>
              <w:t xml:space="preserve">no 2025. gada 17. augusta vairs nav spēkā. Ievērojot minēto, lūdzam svītrot atsauces uz šo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atsauce uz Eiropas Savienības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 sadaļu, sniedzot skaidrojumu par noteikuma projekta atbilstību 2001. gada 22. maija Stokholmas konvencijai par noturīgajiem organiskajiem piesārņotājiem, kas stājās spēkā 2005. gada 26.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5.sadaļa.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atsevišķu bīstamas ķīmiskas vielas saturošu iekārtu un produktu lietošanas un marķēšanas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92. punktam, kurā noteikts, ka vārdu savienojumu "Noteikumi par" lieto tikai izņēmuma gadījumos. Tā kā šajā gadījumā izņēmuma situācija nav konstatējama, aicinām precizēt noteikumu projekta nosaukumu, izsakot to, piemēram, šādā redakcijā: "Atsevišķu bīstamas ķīmiskas vielas saturošu iekārtu un produktu lietošanas un marķēšanas prasības" vai līdzīgā formulējumā.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Precizēts noteikumu projekta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Atsevišķu bīstamas ķīmiskas vielas saturošu iekārtu un produktu lietošanas un marķēšanas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vides dienests reizi gadā apkopo šo noteikumu 5. un 6. punktā minēto informāciju par iepriekšējo gadu un nosūta valsts sabiedrībai ar ierobežotu atbildību "Latvijas Vides, ģeoloģijas un meteoroloģijas centrs" (turpmāk - centrs). Centrs apkopo saņemto informāciju un nodrošina tās pieejamību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noteikumu projekta 8. punktu vai papildināt anotāciju, norādot, kur sabiedrība varēs piekļūt centra vāktajai informācijai, piemēram, centra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vides dienests reizi gadā apkopo šo noteikumu 5. un 6. punktā minēto informāciju par iepriekšējo gadu un nosūta valsts sabiedrībai ar ierobežotu atbildību "Latvijas Vides, ģeoloģijas un meteoroloģijas centrs" (turpmāk - centrs). Centrs apkopo saņemto informāciju un nodrošina tās pieejamību sabiedrībai.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23-TA-1856</w:t>
    </w:r>
    <w:r>
      <w:br/>
    </w:r>
    <w:r w:rsidR="00000000" w:rsidRPr="00000000" w:rsidDel="00000000">
      <w:rPr>
        <w:rtl w:val="0"/>
      </w:rPr>
      <w:t xml:space="preserve">08.11.2025. 17.16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23-TA-1856</w:t>
    </w:r>
    <w:r>
      <w:br/>
    </w:r>
    <w:r w:rsidR="00000000" w:rsidRPr="00000000" w:rsidDel="00000000">
      <w:rPr>
        <w:rtl w:val="0"/>
      </w:rPr>
      <w:t xml:space="preserve">08.11.2025. 17.16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Izziņa_23-TA-1856.docx</dc:title>
</cp:coreProperties>
</file>

<file path=docProps/custom.xml><?xml version="1.0" encoding="utf-8"?>
<Properties xmlns="http://schemas.openxmlformats.org/officeDocument/2006/custom-properties" xmlns:vt="http://schemas.openxmlformats.org/officeDocument/2006/docPropsVTypes"/>
</file>