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skaidrojumam par projektu posmošanu starp Eiropas Savienības (turpmāk – ES) fondu 2014.-2020. gada un 2021.-2027.gada plānošanas periodiem, lūdzam papildināt noteikumu projektu ar jaunu punktu, kurš noteiktu kādi rādītāji jāsasniedz posmotajiem projektiem no ES fondu 2014.-2020. gada plānošanas perioda darbības programmas "Izaugsme un nodarbinātība" noteiktajiem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rādītāja vērtību, kas jāsasniedz posmotajiem projektiem no ES fondu 2014.-2020. gada plānošanas perioda darbības programmas "Izaugsme un nodarbinātība" noteiktajiem rādītājiem (sk. noteikumu projekta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skaidrojumam par projektu posmošanu starp ES fondu 2014.-2020. gada un 2021.-2027.gada plānošanas periodiem, lūdzam papildināt anotāciju ar informāciju, kad un kā tiks pārbaudīta finansējuma saņēmēja atbilstība ES fondu izslēgšanas kritēriju un sankciju nosacījumu neesamībai posmotajos projektos, Ja plānots, ka to darīs sadarbības iestāde pie posmoto projektu grozījumiem, tad lūdzam to anotācijā aprakstīt.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par noteikumu projekta 1., 2. un 3.punktu, t.i. kāpēc tiek veiktas izmaiņas 4.1.1.1. pasākuma "Ārstniecības iestāžu infrastruktūras attīstība" 1. kārtas sasniedzamajos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noteikumu projekta 4. punktā norādīto nacionālo finansējumu, par vienu eiro, attiecīgi palielinot kopējo pieejamo finansējumu par vienu euro, ņemot vērā, ka Eiropas Reģionālās attīstības fonda finansējuma intensitāte pārsniedz 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4.1.1.1. pasākuma pirmās kārtas ietvaros plānotais un pieejamais kopējais finansējums ir 164 310 962 euro, tai skaitā Eiropas Reģionālās attīstības fonda finansējums ir 139 664 317 euro un nacionālais finansējums, kas iekļauj valsts budžeta un privāto finansējumu, ir 24 646 645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skaidrojumam par projektu posmošanu starp ES fondu 2014.-2020. gada un 2021.-2027.gada plānošanas periodiem, lūdzam izdalīt posmotos projektus atsevišķā kārtā, t.i. izveidojot 5. kārtu. Norādām, ka tas būtiski mazinātu administratīvo slogu nodalot divus ES fondu plānošanas periodus.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veiktas finansējuma pārdales starp 4.1.1.specifiskā atbalsta mērķa "Nodrošināt vienlīdzīgu piekļuvi veselības aprūpei un stiprināt veselības sistēmu, tostarp primārās veselības aprūpes noturību" (turpmāk - 4.1.1.SAM) pasākumiem un to kārtām, lūdzam papildināt anotāciju ar 4.1.1.SAM pasākumiem un to kārtām paredzēto finansējumu pēc pārdalēm, kā arī iesniegt vadošajai iestādei precizētu programmas papildinājumu.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precizētais programmas papildinājums tiks nosūtīts tuvākajā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sadaļu "Mērķis" ar informāciju, ka noteikumu projekta mērķis ir palielināt 4.1.1.1. pasākuma "Ārstniecības iestāžu infrastruktūras attīstība" pirmās kārtas ietvaros pieejamo kopējo finansējumu saistībā arī ar VSIA "Paula Stradiņa klīniskā universitātes slimnīca" A ēkas otrās kārtas attīstībai papildus nepieciešamo finansējumu no 4.1.1.2. pasākuma “P.Stradiņa klīniskās universitātes slimnīcas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grozījumu anotācijas sadaļu "Risinājuma apraksts" ar noteikumu 8. un 10. punktā noteikto 4.1.1.1. pasākuma pirmās kārtas projektu sasniedzamo rādītāju atšifrējumu, norādot katra projekta sasniedzamos rādītājus.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pirmās kārtas projektu sasniedzamo rādītāju atšifrējums tiks nosūtīts elektroniski 4.1.1.1. pasākuma pirmās kārtas projektu iesniegumu vērtēšanas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4.2 punktā minētais piesaistītais papildus finansējums projektam Nr. 4.1.1.1/1/24/I/006 “SIA "Rīgas Austrumu klīniskā universitātes slimnīca" ir 14 919 757 euro, bet anotācijas situācijas aprakstā rakstīts, ka slimnīcai nepieciešami papildu līdzekļi 14 862 916 euro apmērā. Lūdzam precizēt, lai abos dokumentos ir vienāda korektā summa nepieciešamajiem papildus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 un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pie apakšsadaļas "Situācijas apraksts VSIA „Traumatoloģijas un ortopēdijas slimnīca”" ar informāciju, kādas investīcijas paliatīvajā aprūpē, kas tika plānotas no Eiropas Savienības kohēzijas politikas programmas 2021.–2027. gadam 4.1.1.6.pasākuma “Hroniski slimo un nedziedināmi slimo pacientu aprūpei nepieciešamās infrastruktūras attīstība” ietvaros tiks finansētas no valsts budžeta, t.sk. norādot, ar kādu lēmumu un kādā apjomā valsts budžets tika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1.3.sadaļas punktu “Risinājuma apraksts”, norādot 4.1.1.1. pasākuma “Ārstniecības iestāžu infrastruktūras attīstība” un 4.1.1.5. pasākuma “Neatliekamās medicīniskās palīdzības dienesta attīstība” kopējo finansējuma apmēru, attiecīgi papildinot arī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ES fondu finansējums pirms un pēc grozījumiem norādīts anotācijas 1.3.sadaļā, savukārt kopējais pieejamais finansējums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punkta “Problēmas un risinājumi” apakšsadaļā “Situācijas apraksts VSIA „Traumatoloģijas un ortopēdijas slimnīca”” norādīt VSIA „Traumatoloģijas un ortopēdijas slimnīca”” nepieciešamo papildu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 gada 14. decembrī tika pieņemtas Eiropas Komisijas vadlīnijas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kuras aizstāja Eiropas Komisijas iepriekšējās vadlīnijas “Vadlīnijas par to darbības programmu slēgšanu, kuras pieņemtas atbalsta saņemšanai no Eiropas Reģionālās attīstības fonda, Eiropas Sociālā fonda, Kohēzijas fonda un Eiropas Jūrlietu un zivsaimniecības fonda (2014.-2020. gada periodā) (2021/C 417/01)", rosinām atbilstoši precizēt anotācijas 1.3. sadaļas apakšsadaļā “Risinājuma apraksts” ietverto norādi uz vadlīnijām, lai nodrošinātu viennozīmīgu izpratni par projekta īstenošanai piemērojamām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sadaļu, tās apakšsadaļā “Juridiskās personas” uzskaitot finansējuma saņēmējus, kurus skars noteikumu projektā ietvertie grozījumi, un norādot atbilstošu informāciju apakšsadaļā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3.sadalas 6.punkta 4.rindkopā precizēt apakšprogrammas numuru, uz kuru tiks pārdalīts finansējums no 74. resora “Gadskārtējā valsts budžeta izpildes procesā pārdalāmais finansējums” 80.00.00. programmas “Nesadalītais finansējums Eiropas Savienības politiku instrumentu un pārējās ārvalstu finanšu palīdzības līdzfinansēto projektu un pasākumu īstenošanai”. Vienlaikus nepieciešams norādīt, ka finansējums plānots Veselības ministrijas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6.4.apakšpunktā norādītā informācija ietver skaidrojumu, kāpēc noteikumu projekta izstrādē netika iesaistīta sabiedrība, rosinām šo informāciju pārcelt uz 6.sadaļas ievaddaļu "Skaidrojums".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4.1.1.1. pasākuma pirmās kārtas ietvaros sasniedzamais iznākuma rādītājs ir "jaunu vai modernizētu veselības aprūpes iestāžu kapacitāte", nodrošinot, ka līdz 2029. gada 31. decembrim pasākuma ietvaros izveidotās vai uzlabotās veselības aprūpes iestādes vismaz vienu reizi gada laikā apmeklē 2 320 755 iedzīvotāji. 4.1.1.1. pasākuma piektās kārtas ietvaros sasniedzamais iznākuma rādītājs ir uzlaboto ārstniecības iestāžu skaits, kurās attīstīta infrastruktūra veselības aprūpes pakalpojumu sniegšanai, - 2 ārstniecības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punktā norādītos 4.1.1.1. pasākuma piektās kārtas ietvaros sasniedzamos iznākuma rādītājus un to sasniedzamās vērtības, ņemot vērā 1. posma projektos nesasniegtās rādītāju i.9.3.2.a "Atbalstīto ārstniecības iestāžu skaits, kurās veikti ieguldījumi veselības aprūpes pakalpojumu sniegšanas uzlabošanai" un i.9.3.2.b (CO36) "Iedzīvotāju skaits, kuriem ir pieejami uzlaboti veselības aprūpes pakalpojumi"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4.1.1.1. pasākuma pirmās kārtas ietvaros sasniedzamais iznākuma rādītājs ir "jaunu vai modernizētu veselības aprūpes iestāžu kapacitāte", nodrošinot, ka līdz 2029. gada 31. decembrim pasākuma ietvaros izveidotās vai uzlabotās veselības aprūpes iestādes vismaz vienu reizi gada laikā apmeklē 2 320 755 iedzīvotāji. 4.1.1.1. pasākuma piektās kārtas ietvaros sasniedzamie iznākuma rādītāji ir "uzlaboto ārstniecības iestāžu skaits, kurās attīstīta infrastruktūra veselības aprūpes pakalpojumu sniegšanai", - 4 ārstniecības iestādes un “iedzīvotāju skaits, kuriem ir pieejami uzlaboti veselības aprūpes pakalpojumi”, - 1 839 598 iedzīvotāji.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4.1.1.1. pasākuma pirmās kārtas ietvaros par komercdarbības atbalsta piešķiršanas dienu ir uzskatāma diena, kad sadarbības iestāde sniedz atzinumu par projekta apstiprināšanu vai projekta apstiprināšanu ar nosacījumu. 4.1.1.1. pasākuma piektās kārtas ietvaros komercdarbības atbalsta piešķiršanas brīdis ir diena, kad tika pieņemts sadarbības iestādes lēmums par Eiropas Savienības fondu 2014.-2020.gada plānošanas perioda darbības programmas "Izaugsme un nodarbinātība" prioritārā virziena "Sociālā iekļaušana un nabadzības apkarošana" 9.3.2. specifiskā atbalsta mērķa "Uzlabot kvalitatīvu veselības aprūpes pakalpojumu pieejamību, jo īpaši sociālās, teritoriālās atstumtības un nabadzības riskam pakļautajiem iedzīvotājiem, attīstot veselības aprūpes infrastruktūru" projekta iesnieguma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21.punktu pēc būtības,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4.1.1.1. 1.kārtas projektiem atbalstu piešķir dienā, kad sadarbības iestāde sniedz lēmumu par projekta apstiprināšanu vai sniedz atzinumu par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4.1.1.1. 5.kārtas projektiem tikai daļa no izmaksām ir jau piešķirta 9.3.2. specifiskā atbalsta mērķa projektos, bet daļa ir papildu finansējums, tāpēc šajos projektos daļa finansējuma tiks piešķirta arī ar līguma grozījumiem, attiecīgi - atbalsts tiks piešķirts līguma parakstīšanas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4.1.1.1. 1.kārtas projektos pielikuma 1.1. un 1.8. projektos daļa no izmaksām tiks piešķirta ar šiem grozījumiem, un atbilstoši SAM MK noteikumu 55.punktam arī šo atbalstu piešķirs ar līguma grozījumiem, attiecīgi atbalsts tiks piešķirts līguma parakstīšanas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komercdarbības atbalsta piešķiršanas dienu ir uzskatāma 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4.1.1.1. pasākuma pirmās kārtas ietvaros, kad sadarbības iestāde sniedz lēmumu par projekta apstiprināšanu vai sniedz atzinumu par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4.1.1.1. pasākuma piektās kārtas ietvaros, kad tika pieņemts sadarbības iestādes lēmums par Eiropas Savienības fondu 2014.-2020.gada plānošanas perioda darbības programmas "Izaugsme un nodarbinātība" prioritārā virziena "Sociālā iekļaušana un nabadzības apkarošana" 9.3.2. specifiskā atbalsta mērķa "Uzlabot kvalitatīvu veselības aprūpes pakalpojumu pieejamību, jo īpaši sociālās, teritoriālās atstumtības un nabadzības riskam pakļautajiem iedzīvotājiem, attīstot veselības aprūpes infrastruktūru"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ja pēc līguma noslēgšanas 4.1.1.1. pasākuma pirmās kārtas ietvaros šo noteikumu ​pielikuma 1.1. un 1.8. ailēs minētie finansējuma saņēmēji un 4.1.1.1. pasākuma piektās kārtas finansējuma saņēmēji iesniedz priekšlikumus par grozījumiem līguma nosacījumos, palielinot attiecināmās izmaksas atbilstoši šo noteikumu 55.punktam - līguma grozījumu parakstīšanas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komercdarbības atbalsta piešķiršanas dienu ir uzskatāma diena: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nodrošina šo noteikumu </w:t>
            </w:r>
            <w:r w:rsidR="00000000" w:rsidRPr="00000000" w:rsidDel="00000000">
              <w:rPr>
                <w:rtl w:val="0"/>
              </w:rPr>
              <w:t xml:space="preserve">33.4.</w:t>
            </w:r>
            <w:r w:rsidR="00000000" w:rsidRPr="00000000" w:rsidDel="00000000">
              <w:rPr>
                <w:rtl w:val="0"/>
              </w:rPr>
              <w:t xml:space="preserve"> apakšpunktā minētos komunikācijas un vizuālās identitātes prasību nodrošināšanas pasākumus saskaņā ar Regulas Nr. 2021/1060 47. un 50. pantu un normatīvajiem aktiem par kārtību, kādā Eiropas Savienības struktūrfondu un Kohēzijas fonda ieviešanā 2021.–2027. gada plānošanas periodā nodrošināma komunikācijas un vizuālās identitātes prasību ievērošana,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kādi specifiski nosacījumi šī apakšpunkta piemērošanai 4.1.1.1. pasākuma 5. kārtas projektiem un nepieciešamības gadījumā papildināt noteikumu grozījumu projektu vai noteikumu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4.1.1.1. pasākuma piektās kārtas finansējuma saņēmējiem ir piemērojami vispārējie nosacījumi attiecībā uz komunikācijas un vizuālās identitātes prasību nodrošināšanu Eiropas Savienības struktūrfondu un Kohēzijas fonda ieviešanā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nodrošina šo noteikumu </w:t>
            </w:r>
            <w:r w:rsidR="00000000" w:rsidRPr="00000000" w:rsidDel="00000000">
              <w:rPr>
                <w:rtl w:val="0"/>
              </w:rPr>
              <w:t xml:space="preserve">33.4.</w:t>
            </w:r>
            <w:r w:rsidR="00000000" w:rsidRPr="00000000" w:rsidDel="00000000">
              <w:rPr>
                <w:rtl w:val="0"/>
              </w:rPr>
              <w:t xml:space="preserve"> apakšpunktā minētos komunikācijas un vizuālās identitātes prasību nodrošināšanas pasākumus saskaņā ar Regulas Nr. 2021/1060 47. un 50. pantu un normatīvajiem aktiem par kārtību, kādā Eiropas Savienības struktūrfondu un Kohēzijas fonda ieviešanā 2021.–2027. gada plānošanas periodā nodrošināma komunikācijas un vizuālās identitātes prasību ievērošana, kā arī ievēro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uzkrāj datus par faktiski sasniegtajiem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apakšpunkta redakciju, ņemot vērā, ka 4.1.1.1. pasākuma 5. kārtas projektos netiks uzkrāti dati par noteikumu 10. un 11. apakšpunktā norādītajiem rādītājiem, bet būs nepieciešams uzkrāt datus par noteikumu 8. punktā norādītājiem rādītājiem.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50.5.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uzkrāj datus par projekta ietekmi uz šajos noteikumos minētajiem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 atbilstoši Regulas Nr.  </w:t>
            </w:r>
            <w:r w:rsidR="00000000" w:rsidRPr="00000000" w:rsidDel="00000000">
              <w:rPr>
                <w:rtl w:val="0"/>
              </w:rPr>
              <w:t xml:space="preserve">2021/1060</w:t>
            </w:r>
            <w:r w:rsidR="00000000" w:rsidRPr="00000000" w:rsidDel="00000000">
              <w:rPr>
                <w:rtl w:val="0"/>
              </w:rPr>
              <w:t xml:space="preserve"> 9. panta 4. punktam un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kuru groza Regulu (ES)  </w:t>
            </w:r>
            <w:r w:rsidR="00000000" w:rsidRPr="00000000" w:rsidDel="00000000">
              <w:rPr>
                <w:rtl w:val="0"/>
              </w:rPr>
              <w:t xml:space="preserve">2019/2088</w:t>
            </w:r>
            <w:r w:rsidR="00000000" w:rsidRPr="00000000" w:rsidDel="00000000">
              <w:rPr>
                <w:rtl w:val="0"/>
              </w:rPr>
              <w:t xml:space="preserve">, 17. pantam nodrošina, ka tiek ievēroti šādi principa "Nenodarīt būtisku kaitējumu" vides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apakšpunkta prasības ir piemērojamas 4.1.1.1. pasākuma 5. kārtas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50.7.apakšpunkts.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 atbilstoši Regulas Nr. </w:t>
            </w:r>
            <w:r w:rsidR="00000000" w:rsidRPr="00000000" w:rsidDel="00000000">
              <w:rPr>
                <w:rtl w:val="0"/>
              </w:rPr>
              <w:t xml:space="preserve">2021/1060</w:t>
            </w:r>
            <w:r w:rsidR="00000000" w:rsidRPr="00000000" w:rsidDel="00000000">
              <w:rPr>
                <w:rtl w:val="0"/>
              </w:rPr>
              <w:t xml:space="preserve"> 9. panta 4. punktam un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kuru groza Regulu (ES) </w:t>
            </w:r>
            <w:r w:rsidR="00000000" w:rsidRPr="00000000" w:rsidDel="00000000">
              <w:rPr>
                <w:rtl w:val="0"/>
              </w:rPr>
              <w:t xml:space="preserve">2019/2088</w:t>
            </w:r>
            <w:r w:rsidR="00000000" w:rsidRPr="00000000" w:rsidDel="00000000">
              <w:rPr>
                <w:rtl w:val="0"/>
              </w:rPr>
              <w:t xml:space="preserve">, 17. pantam nodrošina, ka tiek ievēroti šādi principa "Nenodarīt būtisku kaitējumu" vides mērķi (šis nosacījums neattiecas uz 4.1.1.1. pasākuma piektās kārtas finansējuma saņēmējiem):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veicina, ka atbalsts ne mazāk kā 30 procentu apmērā tiek ieguldīts infrastruktūras attīstībai, kurā tiek nodrošināti sekundārie ambulatorie veselības aprūpes pakalpojumi, izņemot šo noteikumu ​pielikuma 1.8., 1.9., 1.10. un 1.13. ailē minētos 4.1.1.1. pasākuma finansējuma saņēmējus un 4.1.1.5. pasākuma finansējuma saņēmējus, kā arī attiecīgi nodrošina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punkta prasības ir piemērojamas 4.1.1.1. pasākuma 5. kārtas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veicina, ka atbalsts ne mazāk kā 30 procentu apmērā tiek ieguldīts infrastruktūras attīstībai, kurā tiek nodrošināti sekundārie ambulatorie veselības aprūpes pakalpojumi, izņemot šo noteikumu ​pielikuma 1.8., 1.9., 1.10. un 1.13. ailē minētos 4.1.1.1. pasākuma finansējuma saņēmējus, 4.1.1.1. pasākuma piektās kārtas finansējuma saņēmējus un 4.1.1.5. pasākuma finansējuma saņēmēju, kā arī attiecīgi nodrošina uzskaiti.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4.1.1.1. pasākuma pirmās projektu iesniegumu atlases kārtas ietvaros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1.8. un 1.14. ailēs minētie finansējuma saņēmēji var iesniegt priekšlikumus par grozījumiem līguma nosacījumos, paredzot palielināt attiecināmo izmaksu kopsummu par finansējumu, kas nepārsniedz šo noteikumu pielikuma 1.1., 1.8. un 1.14. ailēs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pārpratumus, lūdzam precizēt teksta redakciju noteikumu projekta 6. punktā, norādot, ka finansējuma saņēmēji var iesniegt priekšlikumus par grozījumiem līguma nosacījumos, paredzot palielināt attiecināmās izmaksas, nepārsniedzot šo noteikumu pielikuma 1.1., 1.8., un 1.14.ailēs norādīto summu. Esošā redakcijā saprotams, ka piedāvāta iespēja palielināt izmaksas par šo summu, kas norādīta 1.1., 1.8., un 1.14. ailēs, bet vajag būt, lai galarezultāts nepārsniegtu to summu, kas ierakstīta šajās ailēs.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pirmās projektu iesniegumu atlases kārtas ietvaros šo noteikumu pielikuma 1.1., 1.8. un 1.14. ailēs finansējuma saņēmēji var iesniegt priekšlikumus par grozījumiem līguma nosacījumos, paredzot palielināt attiecināmās izmaksas, nepārsniedzot šo noteikumu pielikuma 1.1., 1.8., un 1.14.ailēs norādīto kopējo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4.1.1.1. pasākuma pirmās projektu iesniegumu atlases kārtas ietvaros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un 1.8. ailēs minētie finansējuma saņēmēji un 4.1.1.1. pasākuma piektās kārtas finansējuma saņēmēji var iesniegt priekšlikumus par grozījumiem līguma nosacījumos, paredzot palielināt attiecināmās izmaksas, nepārsniedzot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1.8., 2.1. un 2.2. ailēs norādīto.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24-TA-81</w:t>
    </w:r>
    <w:r>
      <w:br/>
    </w:r>
    <w:r w:rsidR="00000000" w:rsidRPr="00000000" w:rsidDel="00000000">
      <w:rPr>
        <w:rtl w:val="0"/>
      </w:rPr>
      <w:t xml:space="preserve">15.03.2024. 15.15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24-TA-81</w:t>
    </w:r>
    <w:r>
      <w:br/>
    </w:r>
    <w:r w:rsidR="00000000" w:rsidRPr="00000000" w:rsidDel="00000000">
      <w:rPr>
        <w:rtl w:val="0"/>
      </w:rPr>
      <w:t xml:space="preserve">15.03.2024. 15.15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Izziņa_24-TA-81.docx</dc:title>
</cp:coreProperties>
</file>

<file path=docProps/custom.xml><?xml version="1.0" encoding="utf-8"?>
<Properties xmlns="http://schemas.openxmlformats.org/officeDocument/2006/custom-properties" xmlns:vt="http://schemas.openxmlformats.org/officeDocument/2006/docPropsVTypes"/>
</file>