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23-TA-168: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Valsts un Eiropas Savienības atbalsta piešķiršanas kārtība Eiropas Lauksaimniecības fonda lauku attīstībai intervencē "Atbalsts ieguldījumiem mazajās lauku saimniecībās" 2023.-2027.gadam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gada kopējais neto apgrozījums iepriekšējā noslēgtajā gadā pirms projekta iesniegšanas – ne vairāk kā 15 000 </w:t>
            </w:r>
            <w:r w:rsidR="00000000" w:rsidRPr="00000000" w:rsidDel="00000000">
              <w:rPr>
                <w:i w:val="1"/>
                <w:rtl w:val="0"/>
              </w:rPr>
              <w:t xml:space="preserve">euro</w:t>
            </w:r>
            <w:r w:rsidR="00000000" w:rsidRPr="00000000" w:rsidDel="00000000">
              <w:rPr>
                <w:rtl w:val="0"/>
              </w:rPr>
              <w:t xml:space="preserve">, ņemot vērā saistītās personas (tostarp vienu vienotu uzņēmumu);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jēdziena “viens vienots uzņēmums”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atsauci uz definīciju.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gada kopējais neto apgrozījums iepriekšējā noslēgtajā gadā pirms projekta iesniegšanas – ne vairāk kā 15 000 </w:t>
            </w:r>
            <w:r w:rsidR="00000000" w:rsidRPr="00000000" w:rsidDel="00000000">
              <w:rPr>
                <w:i w:val="1"/>
                <w:rtl w:val="0"/>
              </w:rPr>
              <w:t xml:space="preserve">euro</w:t>
            </w:r>
            <w:r w:rsidR="00000000" w:rsidRPr="00000000" w:rsidDel="00000000">
              <w:rPr>
                <w:rtl w:val="0"/>
              </w:rPr>
              <w:t xml:space="preserve">, ņemot vērā saistītās personas (tostarp vienu vienotu uzņēmumu, kurš atbilst definīcijai, kas noteikta normatīvajos aktos par valsts un Eiropas Savienības atbalsta piešķiršanu, administrēšanu un uzraudzību lauku un zivsaimniecības attīstībai);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tāda pamatlīdzekļa iegādi, kurš būtiski maina ražošanas vai tehnoloģiju raksturu;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noteikumu projekta 18.3. apakšpunkta nepārprotamu izpratni un vienveidīgu piemērošanu praksē, lūdzam precizēt minēto apakšpunktu, norādot, kāda pamatlīdzekļa iegāde, kas maina ražošanas vai tehnoloģiju raksturu palielinājums, uzskatāma par būtisku, jo minētais kritērijs ir subjektīvs un neskaidrs.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18.3.apakšpunkta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tāda pamatlīdzekļa iegādi, kurš maina ražošanas vai tehnoloģiju raksturu;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lūdz precizēt noteikumu projekta anotācijas 6.sadaļu, to aizpildot korekti: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apspriešanā ar sabiedrības pārstāvjiem izmantotais līdzdalības veids ir publiskā apspriešana nevis sabiedriskā apspriede kā norādīts 6.2.apakšpunktā, iepriekšminētais apakšpunkts papildināms ar publiskās apspriešanas korektu saiti: https://tapportals.mk.gov.lv/public_participation/3a37afa8-2dc9-4148-ad64-4109970dd460. Ja kā līdzdalības veids tika izmantota arī sabiedriskā apspriede (šobrīd TAP portālā par to nav norāžu), noteikumu projekta anotācijas 6.sadaļā jāatspoguļo visi izmantotie veidi sabiedrības iesaistei;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6.3.apakšpunktā jāsniedz īss apkopojums par sabiedrības līdzdalības iespēju nodrošināšanas laikā saņemtajiem būtiskākajiem priekšlikumiem, norādot arī to sniedzējus - vēršam uzmanību, ka anotācijai pretēji 6.3.apakšpunktā norādītajai informācijai nav pievienots publiskās apspriešanas laikā saņemto viedokļu apkopojums. Vienlaikus aicinām šo apkopojumu pievienot kā papildus dokumentu nevis kā anotācijas pielikumu. Kā arī vēršam uzmanību, ka publiskās apspriešanas saitē TAP portāla publiskajā vidē ir redzams viens privātpersonas sniegtais priekšlikums, par kuru nav sniegta atgriezeniskā saite anotācijas 6.sadaļā.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6.sadaļa.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1. tabulas Regulas 2021/2115 73. panta 4. punkta "b" apakšpunktu vai  atbilstoši precizēt noteikumu projekta 24. punktu, jo noteikumu projekta 24. punktā nav atsauce uz iepriekš minēto regulu.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5.sadaļas 1.tabula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gada kopējais neto apgrozījums iepriekšējā noslēgtajā gadā pirms projekta iesniegšanas – ne vairāk kā 15 000 </w:t>
            </w:r>
            <w:r w:rsidR="00000000" w:rsidRPr="00000000" w:rsidDel="00000000">
              <w:rPr>
                <w:i w:val="1"/>
                <w:rtl w:val="0"/>
              </w:rPr>
              <w:t xml:space="preserve">euro</w:t>
            </w:r>
            <w:r w:rsidR="00000000" w:rsidRPr="00000000" w:rsidDel="00000000">
              <w:rPr>
                <w:rtl w:val="0"/>
              </w:rPr>
              <w:t xml:space="preserve">, ņemot vērā saistītās personas (tostarp vienu vienotu uzņēmumu);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(LLKC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Mainīt atbalsta pretendenta saņemšanas nosacījumu 9.1. punktu uz: Pēdējo trīs gadu vidējais neto apgrozījums pirms projekta iesniegšanas nepārsniedz 15 000 EUR, ņemot vērā saistītas personas (tostarp vienu vienotu uzņēmumu);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Jo dotajā situācijā, ja pēdējais noslēgtais gads būs 2022.gads, tad cenu kāpuma dēļ, saimniecības, kuras iepriekšējos gados šo rādījumu nav pārsniegušas, nevarēs startēt šajā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saimniecības apgrozījums pārsniedz šo noteikumu ietvarā noteikto robežvērtību, tad šāda saimniecība var pretendēt uz citu KLP stratēģiskā plāna 2023.-2027.gadam atbalsta pasākumu jeb intervenci 4.1.1.Atbalsts ieguldījumiem lauku saimniecībās konkurētspējai. Arī citu atbalsta pasākumu ietvaros vērtē pēdējo noslēgto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gada kopējais neto apgrozījums iepriekšējā noslēgtajā gadā pirms projekta iesniegšanas – ne vairāk kā 15 000 </w:t>
            </w:r>
            <w:r w:rsidR="00000000" w:rsidRPr="00000000" w:rsidDel="00000000">
              <w:rPr>
                <w:i w:val="1"/>
                <w:rtl w:val="0"/>
              </w:rPr>
              <w:t xml:space="preserve">euro</w:t>
            </w:r>
            <w:r w:rsidR="00000000" w:rsidRPr="00000000" w:rsidDel="00000000">
              <w:rPr>
                <w:rtl w:val="0"/>
              </w:rPr>
              <w:t xml:space="preserve">, ņemot vērā saistītās personas (tostarp vienu vienotu uzņēmumu, kurš atbilst definīcijai, kas noteikta normatīvajos aktos par valsts un Eiropas Savienības atbalsta piešķiršanu, administrēšanu un uzraudzību lauku un zivsaimniecības attīstībai);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īsteno ieguldījumus klimata pārmaiņu mazināšanā, energoefektivitātes palielināšanā vai enerģijas izmantošanā, kā arī ieguldījumus, kas uzlabo lauksaimniecības dzīvnieku labturību vai mazina lauksaimnieciskās darbības vai dzīvnieku postījumu risku, un citus ieguldījumus.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Savienības kohēzijas politikas programmā 2021.–2027.gadam (turpmāk - Kohēzijas programma) un Eiropas Savienības Atveseļošanas un noturības mehānisma plāna (turpmāk - AF plāns) 1.komponentē "Klimata pārmaiņas un vides ilgtspēja" arī ir paredzēti ieguldījumi klimata pārmaiņu mazināšanā un energoefektivitātes palielināšanā, lūdzam papildināt anotāciju ar informāciju attiecībā uz šo noteikumu projekta atbalstāmo darbību demarkāciju un papildinātību ar Kohēzijas programmas un AF plāna plānotajām ieguldījumiem. Lūdzam izvērtēt iespēju aprakstīt, kuras institūcijas nodrošinās augstāk minēto demarkāciju.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īsteno ieguldījumus klimata pārmaiņu mazināšanā, energoefektivitātes palielināšanā vai enerģijas izmantošanā, kā arī ieguldījumus, kas uzlabo lauksaimniecības dzīvnieku labturību vai mazina lauksaimnieciskās darbības vai dzīvnieku postījumu risku, un citus ieguldījumus.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33.punktā norādīts, ka projektā attiecināmas investīcijas, kas ir saistītas ar tūristu apmeklējumiem un saimniecībā saražotās produkcijas piedāvāšanu tiem, šādiem ieguldījumiem nepārsniedz 40 procentus no projekta attiecināmajiem izdevumiem. Lūdzam papildināt anotācijas 1.3. sadaļu ar informāciju, kā tiks vērtētas aktivitātes, kas saistītas ar tūristu apmeklējumiem.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3.sadaļas 6.punktā iekļaut skaidrojumu, kas sniegts izziņas 7.punktā.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3.sadaļas 6.punkts.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3.sadaļas 6.punktā sniegto informāciju par finansējumu 2024.-2028.gadam, norādot 3 400 000 </w:t>
            </w:r>
            <w:r w:rsidR="00000000" w:rsidRPr="00000000" w:rsidDel="00000000">
              <w:rPr>
                <w:i w:val="1"/>
                <w:rtl w:val="0"/>
              </w:rPr>
              <w:t xml:space="preserve">euro </w:t>
            </w:r>
            <w:r w:rsidR="00000000" w:rsidRPr="00000000" w:rsidDel="00000000">
              <w:rPr>
                <w:rtl w:val="0"/>
              </w:rPr>
              <w:t xml:space="preserve">nevis 34 000 000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3.sadaļas 6.punkts.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3.sadaļā precizēt 5.1. apakšpunktā izmaiņu ailē norādīto finansiālo ietekmi 2023.gadam.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3.sadaļas 5.1.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skaidrot norādīto kopējo finansējuma apmēru atbalstam ieguldījumiem mazajās lauku saimniecībās, jo tas neatbilst sniegtajai informācijai par pasākumam pieejamo atbalstu Ministru kabineta 2022. gada 18. janvāra sēdē izskatītajā informatīvajā ziņojumā "Par Latvijas Kopējās lauksaimniecības politikas stratēģisko plānu 2023.–2027.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2022. gada 18. janvāra informatīvajā ziņojumā bija norādīts indikatīvs finanšu sadalījums. Ņemt vērā Eiropas Komisijas iesniegtos apsvērumus par KLP stratēģisko plānu 2023.-2027.gadam, tika veiktas izmaiņas plānā, tostarp finansējuma sadalē starp atsevišķiem pasākumiem jeb intervencēm.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Veiktās finanšu korekcijas starp intervencēmneparedz finanšu palielinājumu Eiropas Lauksaimniecības fonda lauku attīstībai (ELFLA) atbalsta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23-TA-168</w:t>
    </w:r>
    <w:r>
      <w:br/>
    </w:r>
    <w:r w:rsidR="00000000" w:rsidRPr="00000000" w:rsidDel="00000000">
      <w:rPr>
        <w:rtl w:val="0"/>
      </w:rPr>
      <w:t xml:space="preserve">30.05.2023. 14.49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23-TA-168</w:t>
    </w:r>
    <w:r>
      <w:br/>
    </w:r>
    <w:r w:rsidR="00000000" w:rsidRPr="00000000" w:rsidDel="00000000">
      <w:rPr>
        <w:rtl w:val="0"/>
      </w:rPr>
      <w:t xml:space="preserve">30.05.2023. 14.49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Izziņa_23-TA-168.docx</dc:title>
</cp:coreProperties>
</file>

<file path=docProps/custom.xml><?xml version="1.0" encoding="utf-8"?>
<Properties xmlns="http://schemas.openxmlformats.org/officeDocument/2006/custom-properties" xmlns:vt="http://schemas.openxmlformats.org/officeDocument/2006/docPropsVTypes"/>
</file>