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9. maija noteikumos Nr. 253 "Atsevišķu inženierbūvju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attiecas uz būvju iekšējiem inženiertīkliem, izņemot elektronisko sakaru komersantu iekšējiem elektronisko sakaru inženiertīkliem.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projekta "Grozījumi Ministru kabineta 2017. gada 9. maija noteikumos Nr. 253 "Atsevišķu inženierbūvju būvnoteikumi""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ir norādīts, ka nepieciešams papildināt Ministru kabineta 2017. gada 9. maija noteikumu Nr. 253 "Atsevišķu inženierbūvju būvnoteikumi" (turpmāk – noteikumi) 2. punktu, nosakot, ka šie noteikumi attiecas uz būvju iekšējiem inženiertīkliem, izņemot elektronisko sakaru komersantu iekšējiem elektronisko sakaru inženiertīkliem, bet nav pamatojuma šādam grozījumam, lūdzam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1.3. apakšsadaļā ietverto informāciju par to, ka noteikumu 2. punktā ir noteikts, uz kādām būvēm šie noteikumi attiecas, jo noteikumu 2.1. apakšpunktā ir noteikts, uz ko neattiecas noteikumi, bet noteikumu 2.2. apakšpunktā ir noteikts, uz ko attiecas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attiecas uz būvju iekšējiem inženiertīkliem, izņemot elektronisko sakaru komersantu iekšējos elektronisko sakaru inženiertīklus.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Būvuzraugs  veikto būvdarbu un ugunsdrošībai nozīmīgas inženiertehniskās sistēmas pieņemšanas aktu apstiprina, kā arī ikdienas darbu kontroles apstiprinājumu veic trīs darba dienu laikā.  Ja apstiprinājums netiek veikts minētajā termiņā, uzskatāms, ka apstiprinājums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projekts paredzēts noteikt, ka būvuzraugam  veikto būvdarbu un ugunsdrošībai nozīmīgas inženiertehniskās sistēmas pieņemšanas aktu, kā arī ikdienas darbu jāapstiprina trīs darba dienu laikā, un, ja apstiprinājums netiek veikts minētajā termiņā, uzskatāms, ka apstiprinājums un ieraksts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w:t>
            </w:r>
            <w:r w:rsidR="00000000" w:rsidRPr="00000000" w:rsidDel="00000000">
              <w:rPr>
                <w:rtl w:val="0"/>
              </w:rPr>
              <w:t xml:space="preserve">, ka starpinstitūciju sanāksmē par Ministru kabineta noteikumu projektu “Grozījumi Ministru kabineta 2014. gada 2. septembra noteikumos Nr. 529 “Ēku būvnoteikumi”” (24-TA-434), kas notika šā gada 10.jūlijā, ar Ekonomikas ministrijas pārstāvi tika panākta vienošanās, ka  veikto būvdarbu pieņemšanas aktu apstiprina, kā arī ikdienas darbu kontroles apstiprinājumu </w:t>
            </w:r>
            <w:r w:rsidR="00000000" w:rsidRPr="00000000" w:rsidDel="00000000">
              <w:rPr>
                <w:u w:val="single"/>
                <w:rtl w:val="0"/>
              </w:rPr>
              <w:t xml:space="preserve">veic piecu, nevis tiesību akta projektā  iestrādāto trīs, darba dienu laikā</w:t>
            </w:r>
            <w:r w:rsidR="00000000" w:rsidRPr="00000000" w:rsidDel="00000000">
              <w:rPr>
                <w:rtl w:val="0"/>
              </w:rPr>
              <w:t xml:space="preserve">.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pieņemšanas aktu apstiprina, kā arī ikdienas darbu kontroles apstiprinājumu veic </w:t>
            </w:r>
            <w:r w:rsidR="00000000" w:rsidRPr="00000000" w:rsidDel="00000000">
              <w:rPr>
                <w:b w:val="1"/>
                <w:rtl w:val="0"/>
              </w:rPr>
              <w:t xml:space="preserve">piecu  darba dienu laikā.</w:t>
            </w:r>
            <w:r w:rsidR="00000000" w:rsidRPr="00000000" w:rsidDel="00000000">
              <w:rPr>
                <w:rtl w:val="0"/>
              </w:rPr>
              <w:t xml:space="preserve">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2</w:t>
            </w:r>
            <w:r w:rsidR="00000000" w:rsidRPr="00000000" w:rsidDel="00000000">
              <w:rPr>
                <w:rtl w:val="0"/>
              </w:rPr>
              <w:t xml:space="preserve"> Būvuzraugs būvuzraudzības plānā norāda, kādus papildu ikdienas darbus kontrolēs un, ja nepieciešams, veiks atbilstošu apstiprinājumu būvdarbu žurnālā. Šo noteikumu </w:t>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veikto būvdarbu pieņemšanas akta, kā arī ugunsdrošībai nozīmīgas inženiertehniskās sistēmas pieņemšanas akta un ikdienas darbu kontroles apstiprinājumu būvuzraugs veic piecu darbdienu laikā. Ja apstiprinājums netiek veikts minētajā termiņā, uzskatāms, ka apstiprinājums ir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Grozījumi šo noteikumu 112., 118., 119., 119.</w:t>
            </w:r>
            <w:r w:rsidR="00000000" w:rsidRPr="00000000" w:rsidDel="00000000">
              <w:rPr>
                <w:vertAlign w:val="superscript"/>
                <w:rtl w:val="0"/>
              </w:rPr>
              <w:t xml:space="preserve">1</w:t>
            </w:r>
            <w:r w:rsidR="00000000" w:rsidRPr="00000000" w:rsidDel="00000000">
              <w:rPr>
                <w:rtl w:val="0"/>
              </w:rPr>
              <w:t xml:space="preserve">, 119.</w:t>
            </w:r>
            <w:r w:rsidR="00000000" w:rsidRPr="00000000" w:rsidDel="00000000">
              <w:rPr>
                <w:vertAlign w:val="superscript"/>
                <w:rtl w:val="0"/>
              </w:rPr>
              <w:t xml:space="preserve">2</w:t>
            </w:r>
            <w:r w:rsidR="00000000" w:rsidRPr="00000000" w:rsidDel="00000000">
              <w:rPr>
                <w:rtl w:val="0"/>
              </w:rPr>
              <w:t xml:space="preserve"> , 120. punktā un noteikumu  117.</w:t>
            </w:r>
            <w:r w:rsidR="00000000" w:rsidRPr="00000000" w:rsidDel="00000000">
              <w:rPr>
                <w:vertAlign w:val="superscript"/>
                <w:rtl w:val="0"/>
              </w:rPr>
              <w:t xml:space="preserve">1</w:t>
            </w:r>
            <w:r w:rsidR="00000000" w:rsidRPr="00000000" w:rsidDel="00000000">
              <w:rPr>
                <w:rtl w:val="0"/>
              </w:rPr>
              <w:t xml:space="preserve">, 117.</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arī vienošanos par papildu veikto būvdarbu aktu sastādīšanu piemēro būvniecības procesiem, kuriem būvdarbu uzsākšanas nosacījumi ir izpildīti pēc 2026. gada 1. marta. Būvniecības procesa dalībnieki var vienoties par šo izmaiņu ātrāku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grozījumu noteikumu 118. punktā, bet projektā paredzētajā noteikumu 214. punktā ir ietverts pārejas noteikums attiecībā uz noteikumu 118. punktu. Vēršam uzmanību uz to, ka atbilstoši Oficiālās publikācijas un tiesiskās informācijas likuma 9. panta ceturtajā daļā noteiktajam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 Līdz ar to nepieciešams precizēt projektā paredzēto noteikumu 214.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uz to, ka noteikumu 119., 119.</w:t>
            </w:r>
            <w:r w:rsidR="00000000" w:rsidRPr="00000000" w:rsidDel="00000000">
              <w:rPr>
                <w:vertAlign w:val="superscript"/>
                <w:rtl w:val="0"/>
              </w:rPr>
              <w:t xml:space="preserve">1</w:t>
            </w:r>
            <w:r w:rsidR="00000000" w:rsidRPr="00000000" w:rsidDel="00000000">
              <w:rPr>
                <w:rtl w:val="0"/>
              </w:rPr>
              <w:t xml:space="preserve">, 119.</w:t>
            </w:r>
            <w:r w:rsidR="00000000" w:rsidRPr="00000000" w:rsidDel="00000000">
              <w:rPr>
                <w:vertAlign w:val="superscript"/>
                <w:rtl w:val="0"/>
              </w:rPr>
              <w:t xml:space="preserve">2</w:t>
            </w:r>
            <w:r w:rsidR="00000000" w:rsidRPr="00000000" w:rsidDel="00000000">
              <w:rPr>
                <w:rtl w:val="0"/>
              </w:rPr>
              <w:t xml:space="preserve"> un 120. punktā jau veikti grozījumi, tādēļ projektā paredzētajā noteikumu 214. punktā nepieciešams precizēt, kādi grozījumi noteikumu 119., 119.</w:t>
            </w:r>
            <w:r w:rsidR="00000000" w:rsidRPr="00000000" w:rsidDel="00000000">
              <w:rPr>
                <w:vertAlign w:val="superscript"/>
                <w:rtl w:val="0"/>
              </w:rPr>
              <w:t xml:space="preserve">1</w:t>
            </w:r>
            <w:r w:rsidR="00000000" w:rsidRPr="00000000" w:rsidDel="00000000">
              <w:rPr>
                <w:rtl w:val="0"/>
              </w:rPr>
              <w:t xml:space="preserve">, 119.</w:t>
            </w:r>
            <w:r w:rsidR="00000000" w:rsidRPr="00000000" w:rsidDel="00000000">
              <w:rPr>
                <w:vertAlign w:val="superscript"/>
                <w:rtl w:val="0"/>
              </w:rPr>
              <w:t xml:space="preserve">2</w:t>
            </w:r>
            <w:r w:rsidR="00000000" w:rsidRPr="00000000" w:rsidDel="00000000">
              <w:rPr>
                <w:rtl w:val="0"/>
              </w:rPr>
              <w:t xml:space="preserve"> un 120. punktā tiek minēti. Turklāt, piemēram, projektā paredzētajā noteikumu 117.</w:t>
            </w:r>
            <w:r w:rsidR="00000000" w:rsidRPr="00000000" w:rsidDel="00000000">
              <w:rPr>
                <w:vertAlign w:val="superscript"/>
                <w:rtl w:val="0"/>
              </w:rPr>
              <w:t xml:space="preserve">1</w:t>
            </w:r>
            <w:r w:rsidR="00000000" w:rsidRPr="00000000" w:rsidDel="00000000">
              <w:rPr>
                <w:rtl w:val="0"/>
              </w:rPr>
              <w:t xml:space="preserve"> punktā nav minēti ikdienas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214. punktā ietverto regulējumu un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 punkts, izņemot 1.1., 1.2., 1.3., 1.4., 1.5. un 1.6. apakšpunktu, stājas spēkā 2026.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2017. gada 9. maija noteikumos Nr. 253 "Atsevišķu inženierbūvju būvnoteikumi"" (turpmāk – projekts) 2. punktu, norādot projekta vienības, kas stāsies spēkā 2026. gada 1.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2017. gada 9. maija noteikumu Nr. 253 "Atsevišķu inženierbūvju būvnoteikumi" (turpmāk – noteikumi) 214.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1.15. apakšpunktā paredzētajā noteikumu 162. punktā arī ir precizēta atsauce uz valsts sabiedrību ar ierobežotu atbildību "Latvijas Jūras administrācija", lūdzam attiecīgi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piedāvatajā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Uzņēmuma reģistra 2020. gada 23. decembra lēmumu “Par reorganizācijas ierakstīšanu komercreģistrā” Nr. 6-12/128017, lūdzam visā noteikumu projektā precizēt firmu "valsts akciju sabiedrība “Latvijas Jūras administrācija”" uz "valsts sabiedrība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inženierbūvju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Līdz 2026. gada 28. februārim uzsāktajos būvdarbos būvniecības procesa dalībnieki var turpināt izmantot aktu veidus, kas bija spēkā uz būvdarbu uzsākšanas nosacījumu izpildes brīdi. Būvniecības procesa dalībnieki pēc 2026. gada 1. marta var vienoties par šo grozījumu piemērošanu uz iepriekš uzsāktiem būvdarbiem.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214. punkta otro teikumu, norādot, kas ir tajā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Līdz 2025. gada 30. jūnijam uzsāktajos būvdarbos būvniecības procesa dalībnieki var turpināt izmantot aktu veidus, kas bija spēkā būvdarbu uzsākšanas nosacījumu izpildes brīdī. No 2025. gada 1. jūlija būvniecības procesa dalībnieki var vienoties par to, ka šo noteikumu grozījumi attiecībā uz būvdarbu gaitas fiksēšanu un veikto būvdarbu pieņemšanas aktu veidošanu būvniecības informācijas sistēmā ir piemērojami arī iepriekš uzsāktiem būvdarbiem.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24-TA-1283</w:t>
    </w:r>
    <w:r>
      <w:br/>
    </w:r>
    <w:r w:rsidR="00000000" w:rsidRPr="00000000" w:rsidDel="00000000">
      <w:rPr>
        <w:rtl w:val="0"/>
      </w:rPr>
      <w:t xml:space="preserve">21.10.2024. 16.40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24-TA-1283</w:t>
    </w:r>
    <w:r>
      <w:br/>
    </w:r>
    <w:r w:rsidR="00000000" w:rsidRPr="00000000" w:rsidDel="00000000">
      <w:rPr>
        <w:rtl w:val="0"/>
      </w:rPr>
      <w:t xml:space="preserve">21.10.2024. 16.40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Izziņa_24-TA-1283.docx</dc:title>
</cp:coreProperties>
</file>

<file path=docProps/custom.xml><?xml version="1.0" encoding="utf-8"?>
<Properties xmlns="http://schemas.openxmlformats.org/officeDocument/2006/custom-properties" xmlns:vt="http://schemas.openxmlformats.org/officeDocument/2006/docPropsVTypes"/>
</file>