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24-TA-1954: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Cilvēka tiesību un pamatbrīvību aizsardzības konvencijas 16. protokolu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Latvijas Republikas augstākā līmeņa tiesas, kuras atbilstoši Protokola 1. pantam var lūgt Eiropas Cilvēktiesību tiesu sniegt konsultatīvu atzinumu par principiāliem jautājumiem attiecībā uz Cilvēka tiesību un pamatbrīvību aizsardzības konvencijā vai tās protokolos noteikto tiesību un brīvību interpretāciju vai piemērošanu,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Deklarāciju, kurā ietverts šā panta pirmajā daļā minētais, sagatavo un Eiropas Padomes ģenerālsekretāram iesniedz Ārlietu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(Augstākā tiesa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atbalsta izstrādāto likumprojektu, vienlaikus izsakot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tiesu varu” 44. pantā norādīts, ka kasācijas instance ir Senāts, kam atbilstoši arī tiek noformēti Senāta nolēmumi.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dialogā ar Eiropas Cilvēktiesību tiesu izvairītos no pārpratumiem, uzskatām, ka atbilstoši būtu izteikt likumprojekta 3. panta pirmās daļas 2.punktu šādā redakcijā: „Augstākā tiesa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aiz vārdiem "Augstākā tiesa" pievienojot vārdu "(Senāts)".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tās Latvijas Republikas augstākās tiesas, kurām atbilstoši Protokola 1. panta 1. punktam ir piešķirtas tiesības lūgt Eiropas Cilvēktiesību tiesu sniegt konsultatīvu atzinumu par būtiskiem Cilvēka tiesību un pamatbrīvību aizsardzības konvencijā vai tās protokolos noteikto tiesību un brīvību interpretācijas vai piemērošanas jautājumiem, ir Satversmes tiesa un Augstākā tiesa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Deponējot Eiropas Padomes ģenerālsekretāram Protokola pieņemšanas un apstiprināšanas instrumentu, Ārlietu ministrija tam pievieno deklarāciju, norādot šā panta pirmajā daļā minētās Latvijas Republikas izraudzītās tiesas.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Latvijas Republikas augstākā līmeņa tiesas, kuras atbilstoši Protokola 1. pantam var lūgt Eiropas Cilvēktiesību tiesu sniegt konsultatīvu atzinumu par principiāliem jautājumiem attiecībā uz Cilvēka tiesību un pamatbrīvību aizsardzības konvencijā vai tās protokolos noteikto tiesību un brīvību interpretāciju vai piemērošanu,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 tiesa.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Deklarāciju, kurā ietverts šā panta pirmajā daļā minētais, sagatavo un Eiropas Padomes ģenerālsekretāram iesniedz Ārlietu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Izvērtējama Eiropas Cilvēka tiesību un pamatbrīvību aizsardzības konvencijas 16. protokolā paredzētā mehānisma īstenošana administratīvā pārkāpuma procesā, paredzot apgabaltiesu tiesības lūgt konsultatīvo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piemēro krimināltiesiska jeb sodoša rakstura administratīvās sankcijas. Tas var skart arī būtiskus Eiropas Cilvēka tiesību un pamatbrīvību aizsardzības konvencijas un tās protokolu piemērošanas jautājumus. Tomēr administratīvā pārkāpuma procesā augstākā līmeņa tiesa ir apgabaltiesa. Tā pārbauda administratīvā pārkāpuma lietā pieņemtā nolēmuma tiesiskumu un pamatotību. Kasācijas institūts administratīvā pārkāpuma procesā nepastāv, un Augstākā tiesa šajā procesā nekādi nav iesaistīta.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neizslēgtu iespēju administratīvā pārkāpuma procesā lūgt konsultatīvo atzinumu vai neradītu nepieciešamību būtiski pārveidot šā procesa nacionālo regulējumu, lūdzam likumprojekta 3. pantā paredzēt, ka apgabaltiesas ir augstākā līmeņa tiesas, kuras var lūgt konsultatīvu atzinumu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pievienojot nacionālā augstākā līmeņa tiesu uzskaitījumam Rīgas apgabaltiesu, Kurzemes apgabaltiesu, Latgales apgabaltiesu, Vidzemes apgabaltiesu un Zemgales apgabaltiesu, kad tās rīkojas kā galīgās instances tiesas administratīvās atbildības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tās Latvijas Republikas augstākās tiesas, kurām atbilstoši Protokola 1. panta 1. punktam ir piešķirtas tiesības lūgt Eiropas Cilvēktiesību tiesu sniegt konsultatīvu atzinumu par būtiskiem Cilvēka tiesību un pamatbrīvību aizsardzības konvencijā vai tās protokolos noteikto tiesību un brīvību interpretācijas vai piemērošanas jautājumiem, ir Satversmes tiesa un Augstākā tiesa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Deponējot Eiropas Padomes ģenerālsekretāram Protokola pieņemšanas un apstiprināšanas instrumentu, Ārlietu ministrija tam pievieno deklarāciju, norādot šā panta pirmajā daļā minētās Latvijas Republikas izraudzītās tiesas.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9.19. apakšpunktu papildināt likumprojekta anotācijas 5. sadaļu, izvērstāk skaidrojot saistītos grozījumus normatīvajos aktos, kas nepieciešami saistību izpildei. Skaidrojam, ka anotācijas 5. sadaļai ir jāsniedz priekšstats par to, kādas saistības Latvija ar līguma projektu uzņemas, kā Latvija plāno tās izpildīt un vai šādas saistības atbilst Latvijas valsts iekārtai, tiesību sistēmai un faktiskajām iespējām šādas saistības pildīt. Norādām, ka pašreiz anotācijas 1.3. apakšsadaļā ietverta norāde uz varbūtēji nepieciešamiem normatīvo aktu grozījumiem, proti: “</w:t>
            </w:r>
            <w:r w:rsidR="00000000" w:rsidRPr="00000000" w:rsidDel="00000000">
              <w:rPr>
                <w:i w:val="1"/>
                <w:rtl w:val="0"/>
              </w:rPr>
              <w:t xml:space="preserve">Protokola ieviešanai Latvijas tiesību sistēmā varētu būt nepieciešami grozījumi vairākos tiesvedības procesus regulējošajos tiesību aktos. Grozījumi varētu būt nepieciešami, lai nacionālajā regulējumā ietvertu atsauci uz tiesībām nacionālajām tiesām, kas ietvertas atbilstoši Protokola 10. pantam izveidotajā deklarācijā, lūgt konsultatīvo atzinumu, kā arī tiesības apturēt tiesvedību pilnībā vai daļā – attiecībā uz jautājumiem, kurus nevar atrisināt, nesaņemot konsultatīvo atzinumu, līdzīgi kā tas ir izdarīts ar prejudiciāla jautājuma lūgšanu Eiropas Savienības Tiesai</w:t>
            </w:r>
            <w:r w:rsidR="00000000" w:rsidRPr="00000000" w:rsidDel="00000000">
              <w:rPr>
                <w:rtl w:val="0"/>
              </w:rPr>
              <w:t xml:space="preserve">.” Vēršam uzmanību, ka, ratificējot protokolu, būtu jābūt skaidram un anotācijā izvērsti skaidrotam, kādi tieši normatīvo aktu grozījumi ir veicami, lai Latvija varētu pildīt protokolā paredzētās saistības.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 papildinot to ar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Latvijas Republikas augstākā līmeņa tiesas, kuras atbilstoši Protokola 1. panta 1.punktam ir tiesīgas lūgt Eiropas Cilvēktiesību tiesu sniegt konsultatīvu atzinumu par principiāliem jautājumiem attiecībā uz Cilvēka tiesību un pamatbrīvību aizsardzības konvencijā vai tās protokolos noteikto tiesību un brīvību interpretāciju vai piemērošanu,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 tiesa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Rīgas apgabaltiesa, Kurzemes apgabaltiesa, Latgales apgabaltiesa, Vidzemes apgabaltiesa, Zemgales apgabaltiesa, kad tās rīkojas kā galīgās instances tiesas administratīvās 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Deklarāciju, kurā ietverts šā panta pirmajā daļā minētais, sagatavo un Eiropas Padomes ģenerālsekretāram iesniedz Ārlietu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politisko uzstādījumu, aicinām tomēr izslēgt likumprojekta 3. panta pirmās daļas 3. punktu " 3) </w:t>
            </w:r>
            <w:r w:rsidR="00000000" w:rsidRPr="00000000" w:rsidDel="00000000">
              <w:rPr>
                <w:i w:val="1"/>
                <w:rtl w:val="0"/>
              </w:rPr>
              <w:t xml:space="preserve">Rīgas apgabaltiesa, Kurzemes apgabaltiesa, Latgales apgabaltiesa, Vidzemes apgabaltiesa, Zemgales apgabaltiesa, kad tās rīkojas kā galīgās instances tiesas administratīvās atbildības jomā</w:t>
            </w:r>
            <w:r w:rsidR="00000000" w:rsidRPr="00000000" w:rsidDel="00000000">
              <w:rPr>
                <w:rtl w:val="0"/>
              </w:rPr>
              <w:t xml:space="preserve">." Un lūdzam attiecīgi precizēt arī likumprojekta anotāciju, svītrojot skaidrojumus par apgabaltiesām.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atjaunojot sākotnējo likumprojekta tekstu un izslēdzot no tā apgabaltiesas.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 Saskaņā ar Protokola 10. pantu tās Latvijas Republikas augstākās tiesas, kurām atbilstoši Protokola 1. panta 1. punktam ir piešķirtas tiesības lūgt Eiropas Cilvēktiesību tiesu sniegt konsultatīvu atzinumu par būtiskiem Cilvēka tiesību un pamatbrīvību aizsardzības konvencijā vai tās protokolos noteikto tiesību un brīvību interpretācijas vai piemērošanas jautājumiem, ir Satversmes tiesa un Augstākā tiesa (Senāts).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Deponējot Eiropas Padomes ģenerālsekretāram Protokola pieņemšanas un apstiprināšanas instrumentu, Ārlietu ministrija tam pievieno deklarāciju, norādot šā panta pirmajā daļā minētās Latvijas Republikas izraudzītās tiesas.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ka izdevumi, kas varētu rasties saistībā ar iesniedzamo dokumentu tulkojumu, tiks nodrošināti tiesām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apakšsadaļa "Cita informācija" papildināta ar teikumu "Izdevumi, kas varētu rasties saistībā ar iesniedzamo dokumentu tulkojumu, tiks nodrošināti tiesām piešķirto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24-TA-1954</w:t>
    </w:r>
    <w:r>
      <w:br/>
    </w:r>
    <w:r w:rsidR="00000000" w:rsidRPr="00000000" w:rsidDel="00000000">
      <w:rPr>
        <w:rtl w:val="0"/>
      </w:rPr>
      <w:t xml:space="preserve">01.07.2025. 15.48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24-TA-1954</w:t>
    </w:r>
    <w:r>
      <w:br/>
    </w:r>
    <w:r w:rsidR="00000000" w:rsidRPr="00000000" w:rsidDel="00000000">
      <w:rPr>
        <w:rtl w:val="0"/>
      </w:rPr>
      <w:t xml:space="preserve">01.07.2025. 15.48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Izziņa_24-TA-1954.docx</dc:title>
</cp:coreProperties>
</file>

<file path=docProps/custom.xml><?xml version="1.0" encoding="utf-8"?>
<Properties xmlns="http://schemas.openxmlformats.org/officeDocument/2006/custom-properties" xmlns:vt="http://schemas.openxmlformats.org/officeDocument/2006/docPropsVTypes"/>
</file>