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22-TA-1431: Noteikumu projekts (Groza manuāli)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2011. gada 25. janvāra noteikumos Nr. 75 "Noteikumi par aktīvo nodarbinātības pasākumu un preventīvo bezdarba samazināšanas pasākumu organizēšanas un finansēšanas kārtību un pasākumu īstenotāju izvēles principiem"</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2011. gada 25. janvāra noteikumos Nr. 75 "Noteikumi par aktīvo nodarbinātības pasākumu un preventīvo bezdarba samazināšanas pasākumu organizēšanas un finansēšanas kārtību un pasākumu īstenotāju izvēles principiem"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izmaksu, kas saistītas ar neatbalstāmām nozarēm, nodalīšana ir jāveic arī gadījumos, kad atbalstu sniedz ar Komisijas regulu Nr.165/2014, lūdzam papildināt noteikumu projektu arī ar grozījumiem noteikumu 192.</w:t>
            </w:r>
            <w:r w:rsidR="00000000" w:rsidRPr="00000000" w:rsidDel="00000000">
              <w:rPr>
                <w:vertAlign w:val="superscript"/>
                <w:rtl w:val="0"/>
              </w:rPr>
              <w:t xml:space="preserve">12</w:t>
            </w:r>
            <w:r w:rsidR="00000000" w:rsidRPr="00000000" w:rsidDel="00000000">
              <w:rPr>
                <w:rtl w:val="0"/>
              </w:rPr>
              <w:t xml:space="preserve"> punktā ar attiecīgajiem nosacījumiem arī uz šo atbalsta veidu.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2011. gada 25. janvāra noteikumos Nr. 75 "Noteikumi par aktīvo nodarbinātības pasākumu un preventīvo bezdarba samazināšanas pasākumu organizēšanas un finansēšanas kārtību un pasākumu īstenotāju izvēles principiem"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2011. gada 25. janvāra noteikumos Nr. 75 "Noteikumi par aktīvo nodarbinātības pasākumu un preventīvo bezdarba samazināšanas pasākumu organizēšanas un finansēšanas kārtību un pasākumu īstenotāju izvēles principiem"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ir grozīts Komercdarbības atbalsta kontroles likums, precizējot nelikumīga komercdarbības atbalsta normas, lūdzam papildināt noteikumu projektu ar grozījumiem noteikumu 192.</w:t>
            </w:r>
            <w:r w:rsidR="00000000" w:rsidRPr="00000000" w:rsidDel="00000000">
              <w:rPr>
                <w:vertAlign w:val="superscript"/>
                <w:rtl w:val="0"/>
              </w:rPr>
              <w:t xml:space="preserve">20</w:t>
            </w:r>
            <w:r w:rsidR="00000000" w:rsidRPr="00000000" w:rsidDel="00000000">
              <w:rPr>
                <w:rtl w:val="0"/>
              </w:rPr>
              <w:t xml:space="preserve"> punktā trešo un ceturto teikumu, piemēram, šādā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ir pārkāptas šajos noteikumos noteiktās komercdarbības atbalsta kontroles normas, tostarp nosacījumi, kas izriet no Komisijas regulas Nr. 1407/2013, Komisijas regulas Nr. 717/2014 un Komisijas regulas Nr. 1408/2013, atbalsta saņēmējam ir pienākums atmaksāt finansējuma saņēmējam visu projekta ietvaros saņemto atbalstu, kas piešķirts saskaņā ar attiecīgo regulu, no līdzekļiem, kas ir brīvi no valsts atbalsta, atbilstoši Komercdarbības atbalsta kontroles likuma IV vai V nodaļas nosacījumiem. Ja ir pārkāptas šajos noteikumos noteiktās komercdarbības atbalsta kontroles normas, tostarp nosacījumi, kas izriet no Komisijas regulas Nr. 651/2014, atbalsta saņēmējam ir pienākums atmaksāt finansējuma saņēmējam visu projekta ietvaros saņemto nelikumīgo atbalstu, kas piešķirts saskaņā ar attiecīgo regulu, no līdzekļiem, kas ir brīvi no valsts atbalsta, atbilstoši Komercdarbības atbalsta kontroles likuma IV vai V nodaļas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2011. gada 25. janvāra noteikumos Nr. 75 "Noteikumi par aktīvo nodarbinātības pasākumu un preventīvo bezdarba samazināšanas pasākumu organizēšanas un finansēšanas kārtību un pasākumu īstenotāju izvēles principiem"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2011. gada 25. janvāra noteikumos Nr. 75 "Noteikumi par aktīvo nodarbinātības pasākumu un preventīvo bezdarba samazināšanas pasākumu organizēšanas un finansēšanas kārtību un pasākumu īstenotāju izvēles principiem"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Apmācību kupona bāzes vērtības bezdarbnieku un darba meklētāju apmācību ietvaros tika izstrādātās un ieviestas 2010.gada beigās. Ņemot vērā patēriņa cenu pieaugumu valstī, minimālās algas pieaugumu un pedagogu darba samaksas pieaugumu, 2018.gadā tika pārskatītas apmācību kuponu bāzes vērtības profesionālās tālākizglītības un profesionālās pilnveides izglītības programmās, palielinot tās par 10%[1]. Neformālās izglītības kupona vērtības noteikšanai izmantojamā mācību stundas likme un maksimālā kupona vērtība nav pārskatīta kopš kuponu ieviešanas 2010.gadā.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Centrālās statistikas pārvaldes datiem, patēriņa pieaugums (inflācija) 2022.gada maijā, salīdzinot ar 2018.gada janvāri, ir 20,9 %[2]. Vienlaikus šajā laika periodā pieaudzis arī valstī noteiktās minimālās mēnešalgas apmērs no 430 eiro 2018.gadā līdz 500 eiro 2022.gadā, kā arī pieaugusi pedagogu zemākā mēneša darba algas likme no 710 eiro 2018.gadā līdz 830 eiro 2022.gadā. 2021. un 2022.gadā ir būtiski pieaugušas energoresursu un elektroenerģijas cenas, kas neizbēgami sadārdzina jebkura pakalpojuma faktiskās izmaksas, tai skaitā arī izglītības nozarē, turpinot sekmēt vispārēju patēriņa cenu pieaugumu.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Iepriekš minētais liecina par to, ka šobrīd ir daudz augstāks izmaksu un cenu pieaugums, salīdzinājumā ar situāciju, kas kalpoja par pamatu pārskatīt un palielināt kuponu bāzes vērtības 2018.gadā.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 apmācību kuponu metodes ir balstīta arī nodarbināto personu izglītības procesa finansēšanas kārtība[3] Eiropas Sociālā fonda projektā “Nodarbināto personu profesionālās kompetences pilnveide”. Līdztekus profesionālai tālākizglītībai daudz lielāks skaits nodarbināto personu apgūst darba tirgum nepieciešamās prasmes, iesaistoties profesionālās pilnveides izglītības programmās. Nodarbināto personu apmācībā profesionālās pilnveides izglītības programmas nereti ir “materiāltehniski ietilpīgas” (piemēram, tiek apgūtas metināšanas, kokapstrādes, siltuma, gāzes, ūdensapgādes u.c. tehnoloģijas), t.i., prasmju apguve nav iespējama bez noteikta apjoma materiālu un noteiktu tehnoloģisko iekārtu izmantošanas mācību procesā. Līdz ar to atstājot nemainīgu kupona bāzes vērtību profesionālajā pilnveidē un atbilstoši noteikumu projektā iecerētajam, palielinot kupona bāzes vērtību tikai profesionālajā tālākizglītībā, tiks radīta nelīdzsvarota un negodīga situācija attiecībā uz izglītības pakalpojumu finansēšanu Eiropas Sociālā fonda projektā “Nodarbināto personu profesionālās kompetences pilnveide”.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Pieaugot izmaksām un atstājot nemainīgu izglītības procesa nodrošināšanai noteikto finansējumu (kuponu vērtības) kādā no izglītības veidiem, neizbēgami cietīs izglītības procesa kvalitāte. Tas savukārt var apdraudēt nodarbināto personu, bezdarbnieku un darba meklētāju apmācībām noteikto mērķu sasniegšanu un tam atvēlēto Eiropas Savienības fondu finansējuma jēgpilnu izlietojumu.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Ministru kabineta 2018.gada 18.decembra noteikumi Nr.839 "Grozījumi Ministru kabineta 2011. gada 25. janvāra noteikumos Nr. 75 "Noteikumi par aktīvo nodarbinātības pasākumu un preventīvo bezdarba samazināšanas pasākumu organizēšanas un finansēšanas kārtību un pasākumu īstenotāju izvēles principiem""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Inflācijas kalkulators (csb.gov.lv)</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https://www.macibaspieaugusajiem.lv/sites/default/files/media_document/mp_metodika_0.pdf</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projektā un anotācijā sniegta informācija par nepieciešamību paaugstināt apmācību kupona bāzes vērtību tikai profesionālajā tālākizglītībā, ievērojot visu iepriekš minēto, rosinām līdzvērtīgi profesionālajai tālākizglītībai paaugstināt kupona bāzes vērtību arī profesionālajā pilnveidē un neformālajā izglītībā. Lūdzam papildināt noteikumu projektu ar šādiem grozījumiem: (1) aizstāt 45.4. apakšpunktā skaitli “400” ar skaitli  “440” un (2) aizstāt 46.puktā skaitli “4,50” ar skaitli “4,95” un skaitli “360” ar skaitli “396”.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45.4.apakšpunkts.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pieaugošo darbaspēka pieprasījumu pēc-pandēmijas periodā, kā arī nepieciešamību motivēt izglītības iestādes iesaistīties bezdarbnieku pārkvalificēšanā un profesionālo prasmju pilnveidē Latvijas tautsaimniecībai svarīgajās (arī uz eksportu vērstajās) apstrādes rūpniecības, būvniecības, enerģētikas, pakalpojumu nozaru profesijās, Labklājības ministrija piedāvā kuponu bāzes vērtības palielināt par 10 % profesionālās tālākizglītības un profesionālās pilnveides programmām, tādējādi veicinot arī šo programmu pievilcību, vienlaikus kompensējot iespējamās izmaksas, kas varētu rasties, īstenojot materiāltehniskās bāzes un energoresursu ietilpīgas mācības minētajās nozarēs un profesijās.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neformālās izglītības programmu piedāvājums Aģentūras reģistrētajiem bezdarbniekiem ir orientēts izglītības programmām, kuru īstenošana neprasa apjomīgus ieguldījumus materiāltehniskajā bāzē un to apguve ir ļoti piemērota attālinātām mācībām, kas rada arī elastību izglītojamo sasniegšanai, tādējādi būtiski nepalielinot izmaksas.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Aģentūras dati liecina, ka neformālās izglītības programmu (valsts valodas, svešvalodas, datorzinības) pieprasījums kopš 2017. gada vidēji gadā saglabājas 8,6 tūkstošu robežās. Piemēram, 2021. gadā Aģentūras klientu iesaiste (kopā 6 359) svešvalodu un datorzinību apguvē bija līdzīga tai, kāda tā bija 2017. gadā (kopā 6 405), turpretim iesaiste profesionālajā tālākizglītībā no gada uz gadu ievērojami samazinās (no 2 893 izglītojamajiem 2017. gadā līdz 1 189 izglītojamajiem 2021. gadā, proti, samazinājums par 59%). Nenoliedzami, ka prasmju apguve jāveicina arī neformālās izglītības programmu ietvaros, tomēr šobrīd prioritāri jāveicina iesaiste profesionālās tālākizglītības un profesionālās pilnveides programmās, lai reaģētu uz izmaiņām tautsaimniecībā un minēto nozaru pieprasījumu pēc profesionāli sagatavota darbaspēka.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jānorāda, ka kupona bāzes vērtības palielināšana arī neformālās izglītības programmām radītu risku turpmākajam tālākizglītības programmu piedāvājuma un klientu iesaistes kritumam, jo Aģentūras rīcībā esošie resursi ir ierobežoti.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2011. gada 25. janvāra noteikumos Nr. 75 "Noteikumi par aktīvo nodarbinātības pasākumu un preventīvo bezdarba samazināšanas pasākumu organizēšanas un finansēšanas kārtību un pasākumu īstenotāju izvēles principiem"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2011. gada 25. janvāra noteikumos Nr. 75 "Noteikumi par aktīvo nodarbinātības pasākumu un preventīvo bezdarba samazināšanas pasākumu organizēšanas un finansēšanas kārtību un pasākumu īstenotāju izvēles principiem"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- 09.06.2022.)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lūdzam papildināt noteikumu projektu ar šādiem grozījumiem: aizstāt 46.puktā skaitli “4,50” ar skaitli “4,95” un skaitli “360” ar skaitli “396”.</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Nepalielinot kupona vērtību arī neformālajā izglīībā, tiks radīta situācija, ka izglītības kvalitāte kritīsies un būs daudz atteiktu apmācību/ neizmantotu kuponu. Jau šobrīd izglītības iestādes nevar rast iespēju uzsākt bezdarbnieku un darba meklētāju apmācību, atsakot nepilnas apmācāmo grupas, jo neformālās izglītības kupona vērtība nav pietiekama, lai apmācībai piesaistītu atbilstoša kvalitātes līmeņa pedagogu, ņemot vērā šī brīža reālās izglītības pakalpojumu nodrošināšanas izmaksas. Nepalielinot kupona vērtību neformālajā izglītībā, izglītības iestādes būs spiestas vai nu apmācību neuzsākt vispār, nenolasot pilnas mācību grupas, vai, ciešot apmācību kvalitātei, piesaistīt zemāka līmeņa pedagogus.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Faktiskai situācijai neatbilstošs ir izziņā sniegtais apgalvojums, ka neesot nepieciešamībai veikt apjomīgus ieguldījumus materiāltehniskajā bāzē, izmaksas neformālajā izglītībā nepalielinās. Šobrīd valsts ekonomikā ir vērojams vispārējs cenu pieaugums, un pamata izmaksas, kas saistītas ar personāla atalgojumu, telpu nomu/uzturēšanu/ komunālajiem pakalpojumiem/ energoresursiem, ir būtiski pieaugušas un vienādi ietekmē kā formālās izglītības pakalpojumu sadārdzināšanos, tā arī neformālās izglītības pakalpojumu sadārdzināšanos.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Izziņā aprakstīto situāciju par klientu pieprasījuma un iesaistes proporciju neformālajā un profesionālajā izglītībā iesakām regulēt ar saturiskām izmaiņām konkrētā izglītības veida apmācību piedāvājumā, nevis uz nevienlīdzīgiem un ekonomiski nepamatotiem apgalvojumiem balstot lēmumu nepalielināt kupona bāzes vērtību neformālajā izglītībā, lai tādējādi savdabīgā  veidā veicinātu klientu iesaistes rādītāja pieaugumu profesionālajā izglītībā.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lūdzam papildināt noteikumu projektu ar šādiem grozījumiem: aizstāt 46.puktā skaitli “4,50” ar skaitli “4,95” un skaitli “360” ar skaitli “396”.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Pamatojums sniegts izziņas 3.punktā.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2011. gada 25. janvāra noteikumos Nr. 75 "Noteikumi par aktīvo nodarbinātības pasākumu un preventīvo bezdarba samazināšanas pasākumu organizēšanas un finansēšanas kārtību un pasākumu īstenotāju izvēles principiem"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34.</w:t>
            </w:r>
            <w:r w:rsidR="00000000" w:rsidRPr="00000000" w:rsidDel="00000000">
              <w:rPr>
                <w:vertAlign w:val="superscript"/>
                <w:rtl w:val="0"/>
              </w:rPr>
              <w:t xml:space="preserve">2</w:t>
            </w:r>
            <w:r w:rsidR="00000000" w:rsidRPr="00000000" w:rsidDel="00000000">
              <w:rPr>
                <w:rtl w:val="0"/>
              </w:rPr>
              <w:t xml:space="preserve"> punkta pirmo teikumu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Norēķinus ar izglītības iestādi par apmācību izdevumiem aģentūra veic, ja bezdarbnieks vai darba meklētājs ne vēlāk kā 90 dienu laikā pēc apmācības pabeigšanas ir saņēmis šo noteikumu 21.punktā minēto zināšanas apliecinošo dokumentu."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šim spēkā esošais regulējums nosaka, ka izglītības iestādei mācību maksa tiek samaksāta atbilstoši faktiskajam apgūto mācību apjomam (mācību stundu skaitam), kuru bezdarbnieks vai darba meklētājs ir apguvis, iesaistoties noteiktas izglītības programmas apguvē. Ja bezdarbnieks vai darba meklētājs bez attaisnojošiem iemesliem pārtrauc dalību mācībās, nepildot noslēgto līgumu, bezdarbniekam vai darba meklētājam ir pienākums atlīdzināt Nodarbinātības valsts aģentūrai (valstij) izdevumus, kas izlietoti apmācībai. Ieviešot praksē noteikumu projektā iecerētos grozījumus – turpmāk izglītības iestādēm mācību apmaksā par bezdarbnieku un darba meklētāju izglītošanu piemērojot vienas vienības izmaksu standarta likmes aprēķinu, Nodarbinātības valsts aģentūra (valsts) atbrīvo sevi no parādu piedziņas administratīvā sloga uz izglītības iestāžu rēķina. Vienas vienības izmaksu metodes pamatā ir princips, ka samaksa tiek veikta tikai par 100% sasniegtu rezultātu (pilnībā apgūtu izglītības programmu). Ja bezdarbnieks vai darba meklētājs neapgūst izglītības programmu pilnā apmērā, izglītības iestāde par ieguldīto darbu no Nodarbinātības valsts aģentūras (valsts) nesaņem nevienu centu. Nereti, jo īpaši profesionālajā tālākizglītībā (profesijas apguve), ir situācijas, kad bezdarbniekam vai darba meklētājam, iesaistoties, piemēram,  datorsistēmu tehniķa profesijas apguvē (izglītības programma ir 960 akadēmisko stundu apjomā, tai skaitā kvalifikācijas prakse uzņēmumā 240 akadēmisko stundu apjomā), pabeidzot teorētisko un praktisko mācību priekšmetu apguvi izglītības iestādē un iesaistoties kvalifikācijas praksē uzņēmumā,  tas atrod darbu, kuru nevar vairāk savienot ar mācībām, un tāpēc mācības pamet. Galvenais bezdarbnieka vai darba meklētāja apmācību mērķis – palīdzēt tam iesaistīties nodarbinātībā, ir sasniegts, bet izglītības iestāde, kas ieguldījusi darbu un finansējumu personas izglītošanā, par šo pakalpojumu no valsts nesaņem neko. Ir situācijas, kad persona dažādu iemeslu dēļ, pabeidzot teorētisko un praktisko mācību priekšmetu apguvi izglītības iestādē un sekmīgi pabeidzot kvalifikācijas praksi uzņēmumā, tiekot pielaistai pie kvalifikācijas eksāmena, to nenokārto. Ir situācijas, kad personas apgūst izglītības programmu 30%, 50%, 75% vai pat 99% apmērā, tomēr dažādu iemeslu dēļ tās nepabeidz. Visos šajos gadījumos ar noteikumu projektā rosinātajiem grozījumiem ieviešamā vienas vienības izmaksu metode paredz to, ka izglītības iestāde no valsts nesaņem nekādu finansējumu par sniegto pakalpojumu. Ne valstij, ne bezdarbniekam nebūs pienākums atlīdzināt izglītības iestādei izdevumus, kas izlietoti apmācībā. Ja līdz šim valstij bija tiesības šādos gadījumos vērsties ar parādu piedziņu pret mācības pametušo personu, tad pēc rosināto grozījumu stāšanās spēkā, izglītības iestādēm nebūs pat šādu tiesību.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Vienkāršoto izmaksu metodes ieviešanas princips ES fondu projektos (bezdarbnieku un darba meklētāju apmācību valsts realizē caur ES fondu projektu) tiek izmantots ar  mērķi vienkāršot ES fondu projektu faktisko izmaksu uzskaiti, veicinot fokusēšanās maiņu no finanšu dokumentu pārbaudes uz sasniegto rezultātu pārbaudi[1]. Pēc būtības vērtējot, bezdarbnieku un darba meklētāju apmācībā līdz šim izmantotā apmācību kuponu metode faktiski jau ir pielīdzināma vienkāršotajām izmaksām, proti, bezdarbnieku un darba meklētāju apmācību ietvaros mācību maksa ir fiksēta un ne ES fondu projekta finansējuma saņēmējam (Nodarbinātības valsts aģentūra) nav jāpārbauda, ne arī izglītības pakalpojuma sniedzējiem projekta ietvaros nav jāatskaitās par mācību nodrošināšanas faktiskajām izmaksām. Samaksa par izglītības pakalpojumu jau tiek veikta atbilstoši sasniegtajam rezultātam (tiek apmaksāta kupona vērtība proporcionāli apgūtajam mācību apjomam). Līdz ar to, vērtējot faktisko situāciju, nemaz nav nepieciešamības ieviest vienkāršoto izmaksu metodi, jo darba meklētāju un bezdarbnieku apmācībā metodes principi jau tiek nodrošināti, izmantojot apmācību kuponu metodi.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uzskatām, ka vienas vienības izmaksu metodes pielietošana bezdarbnieku un darba meklētāju apmācību finansēšanā nav pieļaujama un nav nepieciešama, jo gadījumos, kad bezdarbnieks vai darba meklētājs bez attaisnojošiem iemesliem pārtrauc dalību mācībās, valsts rada nesamērīgu finansiālo slogu izglītības iestādei, vienlaikus atbrīvojot Nodarbinātības valsts aģentūru no administratīvā sloga saistībā ar parādu piedziņu no mācības pametušajām personām.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Vadlīnijas par vienkāršoto izmaksu izmantošanas iespējām un to piemērošana ES fondu 2014.-2020. gada plānošanas periodā, 8.punkts.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svītrot noteikumu projekta 2.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Skaidrojums par Latvijas Darba devēju konfederācijas un Pieaugušo profesionālās izglītības asociācijas izteikto iebildumu.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2022.gada 8.februārī pieņemti grozījumi Ministru kabineta 2014. gada 23. decembra noteikumos Nr. 836 "Darbības programmas "Izaugsme un nodarbinātība" 7.1.1. specifiskā atbalsta mērķa "Paaugstināt bezdarbnieku kvalifikāciju un prasmes atbilstoši darba tirgus pieprasījumam" un 14.1.2. specifiskā atbalsta mērķa "Atveseļošanas pasākumi labklājības jomā" īstenošanas noteikumi" (turpmāk – MK noteikumi Nr.836), kas paredz no 2022.gada 1.jūlija mācību maksas par apmācību pasākumiem Nodarbinātības valsts aģentūras (turpmāk – Aģentūra) klientiem noteikšanā piemērot Labklājības ministrijas – Eiropas Savienības fondu atbildīgās iestādes izstrādāto metodiku "Vienības izmaksu standarta likmes aprēķina un piemērošanas metodika profesionālās un neformālās izglītības mācību programmas apguves un stipendijas izmaksām" (turpmāk – metodika) nolūkā samazināt administratīvo slogu un izmaksu pamatojošās dokumentācijas apjomu visiem apmācību pasākumu īstenošanā iesaistītajiem. Šī metodika tiks piemērota arī Atveseļošanas fonda plāna investīcijas īstenošanā.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Finanšu ministrijas, kā ES fondu vadošās iestādes, sniegtajai informācijai, ES fondu 2021. – 2027. gada plānošanas periodā būtisks akcents tiek likts uz vienkāršoto izmaksu iespējami plašu piemērošanu. Lai aprobētu metodikas piemērošanu pirms jaunā plānošanas perioda uzsākšanas un pēc sadarbības iestādes (Centrālās finanšu un līguma aģentūras) ieteikuma administratīvā sloga samazināšanai un 7.1.1. specifiskā atbalsta mērķa "Paaugstināt bezdarbnieku kvalifikāciju un prasmes atbilstoši darba tirgus pieprasījumam" un 14.1.2. specifiskā atbalsta mērķa "Atveseļošanas pasākumi labklājības jomā" īstenošanas pilnveidošanai, ir paredzēts metodiku uzsākt piemērot jau abu iepriekš minēto 2014. – 2020.gada plānošanas perioda specifisko atbalsta mērķu īstenošanā.  Ievērojot minēto, grozījumi MK noteikumos ir izstrādāti atbilstoši normatīvajiem aktiem ES fondu jomā un papildina jau veiktos grozījumus MK noteikumos Nr.836. Metodika tiks piemērota Darbības programmas "Izaugsme un nodarbinātība" 7.1.1. specifiskā atbalsta mērķa "Paaugstināt bezdarbnieku kvalifikāciju un prasmes atbilstoši darba tirgus pieprasījumam" un 14.1.2. specifiskā atbalsta mērķa "Atveseļošanas pasākumi labklājības jomā" īstenoto pasākumu ietvaros.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Metodika paredz, ka apmācību maksa tiks segta par tiem dalībniekiem, kas pabeigs apmācības, sekmīgi nokārtos gala pārbaudījumu (izglītības iestādes organizēto vai valsts eksāmenu) un saņems MK noteikumu 21.punktā minēto iegūto zināšanu apliecinošu dokumentu (profesionālās kvalifikācijas apliecību, apliecību par profesionālās pilnveides izglītību, transportlīdzekļu vai traktortehnikas vadītāja tiesības, valsts valodas prasmes apliecību vai citu zināšanu apliecinošu dokumentu). Vienlaicīgi metodikā tiek paredzēts segt izglītības iestādēm daļu izdevumu gadījumos, kad dalībnieki pārtrauc mācības, nenokārto gala pārbaudes eksāmenu un tiek atskaitīti no mācībām priekšlaicīgi. Katram apmācību veidam, balstoties uz Aģentūras 2018. un 2019.gada datiem, tika noteikts šādu dalībnieku procents, ko plāno piemērot izdevumu segšanai par katru dalībnieku, kas pilnībā apgūst izglītības programmu. Piemēram, profesionālās tālākizglītības programmām mācības nepabeigušo dalībnieku ‘atbiruma’ procents veido 13,5%. Tas nozīmē, ka, ja trešā kvalifikācijas līmeņa profesionālās tālākizglītības programmām ar mācību ilgumu 960 stundas (piemēram, Loģistikas darbinieka kupona jauna vērtība – 1 340 euro) iesaistīsies 12 cilvēki un no tiem mācības pabeigs 10 dalībnieki, piemērojot jauno metodiku, izglītības iestādei tiks kompensēti izdevumi 1 520.9 euro apmērā par katru dalībnieku (1 340 euro x 13,5%) jeb kopā 15 209 euro apmērā (Profesionālās izglītības programmām papildus kupona vērtībai tiks piemērots koeficients, kas ir iekļauts 2007.gada 2.oktobra MK noteikumos Nr. 655 par profesionālās izglītības programmu īstenošanas izmaksu minimumu uz vienu izglītojamo). Līdz ar to arī jaunajā norēķinu kārtībā ir ierēķināti riski, kas ir saistīti ar priekšlaicīgu mācību pārtraukšanu un gadījumos, ja izdosies ar izglītības iestādes aktīvu rīcību tos mazināt (sasniegt zemāku mācības nepabeigušo dalībnieku īpatsvaru), izglītības iestādes gūtais ienākums no pakalpojumu sniegšanas būs augstāks.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Izteikt 34.</w:t>
            </w:r>
            <w:r w:rsidR="00000000" w:rsidRPr="00000000" w:rsidDel="00000000">
              <w:rPr>
                <w:vertAlign w:val="superscript"/>
                <w:rtl w:val="0"/>
              </w:rPr>
              <w:t xml:space="preserve">2</w:t>
            </w:r>
            <w:r w:rsidR="00000000" w:rsidRPr="00000000" w:rsidDel="00000000">
              <w:rPr>
                <w:rtl w:val="0"/>
              </w:rPr>
              <w:t xml:space="preserve"> punkta pirmo teikumu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Norēķinus ar izglītības iestādi par apmācību izdevumiem aģentūra veic, ja bezdarbnieks vai darba meklētājs ne vēlāk kā 90 dienu laikā pēc apmācības pabeigšanas ir saņēmis šo noteikumu 21.punktā minēto zināšanas apliecinošo dokumentu."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Izteikt 34.</w:t>
            </w:r>
            <w:r w:rsidR="00000000" w:rsidRPr="00000000" w:rsidDel="00000000">
              <w:rPr>
                <w:vertAlign w:val="superscript"/>
                <w:rtl w:val="0"/>
              </w:rPr>
              <w:t xml:space="preserve">2</w:t>
            </w:r>
            <w:r w:rsidR="00000000" w:rsidRPr="00000000" w:rsidDel="00000000">
              <w:rPr>
                <w:rtl w:val="0"/>
              </w:rPr>
              <w:t xml:space="preserve"> punkta pirmo teikumu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Norēķinus ar izglītības iestādi par apmācību izdevumiem aģentūra veic, ja bezdarbnieks vai darba meklētājs ne vēlāk kā 90 dienu laikā pēc apmācības pabeigšanas ir saņēmis šo noteikumu 21.punktā minēto zināšanas apliecinošo dokumentu."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- 09.06.2022.)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iebildumu – aicinām svītrot noteikumu projekta 2. punktu un 5.punktu.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Izziņa sniegtajā skaidrojumā pēc būtības nav sniegts pamatojums un argumentācija par šādiem LDDK jau iepriekš norādītajiem aspektiem: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tieši un kurām bezdarbnieku un darba meklētāju apmācību nodrošināšanā tieši vai pastarpināti iesaistītajām iestādēm, ieviešot vienas vienības metodiku, tiks “samazināts administratīvais slogs”.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Vai un kā tieši metodes ieviešana nodrošinās “fokusēšanās maiņu no finanšu dokumentu pārbaudes uz sasniegto rezultātu pārbaudi”, ja tas jau ir nodrošināts ar esošo apmācību kuponu metodi.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Vai izglītības iestādēm tiks nodrošināta tāda pati iespēja, kāda tā ir bijusi līdz šim Aģentūrai -  pieprasīt faktiski apmācībai izlietoto līdzekļu atmaksu no bezdarbnieka vai darba meklētāja, tam patvaļīgi mācības pametot vai pametot tās dēļ darba uzsākšanas.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Uzskatām, ka vienas vienības izmaksu principa ieviešanas saskaņošana pēc būtības nav iespējama, ja saskaņošanā iesaistītas iestādes nav iepazīstinātas ar izstrādāto metodiku, tajā ietvertajiem nosacījumiem un piemērošanas principiem.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Pamatojums sniegts izziņas 5.punktā.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Izteikt 34.</w:t>
            </w:r>
            <w:r w:rsidR="00000000" w:rsidRPr="00000000" w:rsidDel="00000000">
              <w:rPr>
                <w:vertAlign w:val="superscript"/>
                <w:rtl w:val="0"/>
              </w:rPr>
              <w:t xml:space="preserve">2</w:t>
            </w:r>
            <w:r w:rsidR="00000000" w:rsidRPr="00000000" w:rsidDel="00000000">
              <w:rPr>
                <w:rtl w:val="0"/>
              </w:rPr>
              <w:t xml:space="preserve"> punkta pirmo teikumu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Norēķinus ar izglītības iestādi par apmācību izdevumiem aģentūra veic, ja bezdarbnieks vai darba meklētājs ne vēlāk kā 90 dienu laikā pēc apmācības pabeigšanas ir saņēmis šo noteikumu 21.punktā minēto zināšanas apliecinošo dokumentu."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Izteikt 43.1. apakšpunkta pirmo un otro teikumu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"bezdarbnieku un darba meklētāju apmācības ietvaros īstenoto izglītības programmu izmaksu segšanai (mācību vai studiju maksa un pievienotās vērtības nodoklis, ja pakalpojums nav atbrīvojams no pievienotās vērtības nodokļa un pievienotās vērtības nodoklis nav atgūstams saskaņā ar normatīvajiem aktiem nodokļu politikas jomā), piemērojot Labklājības ministrijas izstrādāto vienas vienības izmaksu standarta likmes aprēķina un piemērošanas metodiku apmācību programmu apguves un stipendijas izmaksām. Minētos nosacījumus piemēro arī izglītības programmu izmaksu segšanai, kas rodas pamatojoties uz Bezdarbnieku un darba meklētāju atbalsta likuma 12. panta piektajā daļā un 15. panta septītajā daļā noteikto, un šādā gadījumā stipendijas izmaksu pārtrauc."</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43.1.apakšunktā ir noteikts, ka bezdarbnieku un darba meklētāju apmācībai paredzētos finanšu līdzekļus var izlietot bezdarbnieku un darba meklētāju apmācības ietvaros īstenoto izglītības programmu izmaksu segšanai (mācību vai studiju maksa un pievienotās vērtības nodoklis, ja pakalpojums nav atbrīvojams no pievienotās vērtības nodokļa un pievienotās vērtības nodoklis nav atgūstams saskaņā ar normatīvajiem aktiem nodokļu politikas jomā. No minētā nav saprotams, par kādiem gadījumiem ir runa, kad pievienotās vērtības nodoklis nav atgūstams saskaņā ar normatīvajiem aktiem nodokļu politikas jomā. Lūdzam atbilstoši precizēt MK noteikumu 43.1. apakšpunktu vai sniegt detalizētu skaidrojumu MK noteikumu projekta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anotācijas 1.3.sadaļa.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Izteikt 43.1. apakšpunkta pirmo un otro teikumu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"bezdarbnieku un darba meklētāju apmācības ietvaros īstenoto izglītības programmu izmaksu segšanai (mācību vai studiju maksa), piemērojot Labklājības ministrijas izstrādāto metodiku "Vienības izmaksu standarta likmes aprēķina un piemērošanas metodika profesionālās un neformālās izglītības mācību programmas apguves un stipendijas izmaksām". Minētos nosacījumus piemēro arī izglītības programmu izmaksu segšanai, kas rodas pamatojoties uz Bezdarbnieku un darba meklētāju atbalsta likuma 12. panta piektajā daļā un 15. panta septītajā daļā noteikto, un šādā gadījumā stipendijas izmaksu pārtrauc."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Izteikt 43.1. apakšpunkta pirmo un otro teikumu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"bezdarbnieku un darba meklētāju apmācības ietvaros īstenoto izglītības programmu izmaksu segšanai (mācību vai studiju maksa un pievienotās vērtības nodoklis, ja pakalpojums nav atbrīvojams no pievienotās vērtības nodokļa un pievienotās vērtības nodoklis nav atgūstams saskaņā ar normatīvajiem aktiem nodokļu politikas jomā), piemērojot Labklājības ministrijas izstrādāto vienas vienības izmaksu standarta likmes aprēķina un piemērošanas metodiku apmācību programmu apguves un stipendijas izmaksām. Minētos nosacījumus piemēro arī izglītības programmu izmaksu segšanai, kas rodas pamatojoties uz Bezdarbnieku un darba meklētāju atbalsta likuma 12. panta piektajā daļā un 15. panta septītajā daļā noteikto, un šādā gadījumā stipendijas izmaksu pārtrauc."</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Pamatojumu skatīt pie noteikumu projekta 2. punkta.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svītrot noteikumu projekta 5.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daļēji.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2022.gada 8.februārī pieņemti grozījumi Ministru kabineta 2014. gada 23. decembra noteikumos Nr. 836 "Darbības programmas "Izaugsme un nodarbinātība" 7.1.1. specifiskā atbalsta mērķa "Paaugstināt bezdarbnieku kvalifikāciju un prasmes atbilstoši darba tirgus pieprasījumam" un 14.1.2. specifiskā atbalsta mērķa "Atveseļošanas pasākumi labklājības jomā" īstenošanas noteikumi" (turpmāk – MK noteikumi Nr.836), kas paredz no 2022.gada 1.jūlija mācību maksas par apmācību pasākumiem Nodarbinātības valsts aģentūras (turpmāk – Aģentūra) klientiem noteikšanā piemērot Labklājības ministrijas – Eiropas Savienības fondu atbildīgās iestādes izstrādāto metodiku "Vienības izmaksu standarta likmes aprēķina un piemērošanas metodika profesionālās un neformālās izglītības mācību programmas apguves un stipendijas izmaksām" (turpmāk – metodika) nolūkā samazināt administratīvo slogu un izmaksu pamatojošās dokumentācijas apjomu visiem apmācību pasākumu īstenošanā iesaistītajiem. Šī metodika tiks piemērota arī Atveseļošanas fonda plāna investīcijas īstenošanā.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Finanšu ministrijas, kā ES fondu vadošās iestādes, sniegtajai informācijai, ES fondu 2021. – 2027. gada plānošanas periodā būtisks akcents tiek likts uz vienkāršoto izmaksu iespējami plašu piemērošanu. Lai aprobētu metodikas piemērošanu pirms jaunā plānošanas perioda uzsākšanas un pēc sadarbības iestādes (Centrālās finanšu un līguma aģentūras) ieteikuma administratīvā sloga samazināšanai un 7.1.1. specifiskā atbalsta mērķa "Paaugstināt bezdarbnieku kvalifikāciju un prasmes atbilstoši darba tirgus pieprasījumam" un 14.1.2. specifiskā atbalsta mērķa "Atveseļošanas pasākumi labklājības jomā" īstenošanas pilnveidošanai, ir paredzēts metodiku uzsākt piemērot jau abu iepriekš minēto 2014. – 2020.gada plānošanas perioda specifisko atbalsta mērķu īstenošanā.  Ievērojot minēto, grozījumi MK noteikumos ir izstrādāti atbilstoši normatīvajiem aktiem ES fondu jomā un papildina jau veiktos grozījumus MK noteikumos Nr.836. Metodika tiks piemērota Darbības programmas "Izaugsme un nodarbinātība" 7.1.1. specifiskā atbalsta mērķa "Paaugstināt bezdarbnieku kvalifikāciju un prasmes atbilstoši darba tirgus pieprasījumam" un 14.1.2. specifiskā atbalsta mērķa "Atveseļošanas pasākumi labklājības jomā" īstenoto pasākumu ietvaros.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Metodika paredz, ka apmācību maksa tiks segta par tiem dalībniekiem, kas pabeigs apmācības, sekmīgi nokārtos gala pārbaudījumu (izglītības iestādes organizēto vai valsts eksāmenu) un saņems MK noteikumu 21.punktā minēto iegūto zināšanu apliecinošu dokumentu (profesionālās kvalifikācijas apliecību, apliecību par profesionālās pilnveides izglītību, transportlīdzekļu vai traktortehnikas vadītāja tiesības, valsts valodas prasmes apliecību vai citu zināšanu apliecinošu dokumentu). Vienlaicīgi metodikā tiek paredzēts segt izglītības iestādēm daļu izdevumu gadījumos, kad dalībnieki pārtrauc mācības, nenokārto gala pārbaudes eksāmenu un tiek atskaitīti no mācībām priekšlaicīgi. Katram apmācību veidam, balstoties uz Aģentūras 2018. un 2019.gada datiem, tika noteikts šādu dalībnieku procents, ko plāno piemērot izdevumu segšanai par katru dalībnieku, kas pilnībā apgūst izglītības programmu. Piemēram, profesionālās tālākizglītības programmām mācības nepabeigušo dalībnieku ‘atbiruma’ procents veido 13,5%. Tas nozīmē, ka, ja trešā kvalifikācijas līmeņa profesionālās tālākizglītības programmām ar mācību ilgumu 960 stundas (piemēram, Loģistikas darbinieka kupona jauna vērtība – 1 340 euro) iesaistīsies 12 cilvēki un no tiem mācības pabeigs 10 dalībnieki, piemērojot jauno metodiku, izglītības iestādei tiks kompensēti izdevumi 1 520.9 euro apmērā par katru dalībnieku (1 340 euro x 13,5%) jeb kopā 15 209 euro apmērā (Profesionālās izglītības programmām papildus kupona vērtībai tiks piemērots koeficients, kas ir iekļauts 2007.gada 2.oktobra MK noteikumos Nr. 655 par profesionālās izglītības programmu īstenošanas izmaksu minimumu uz vienu izglītojamo). Līdz ar to arī jaunajā norēķinu kārtībā ir ierēķināti riski, kas ir saistīti ar priekšlaicīgu mācību pārtraukšanu un gadījumos, ja izdosies ar izglītības iestādes aktīvu rīcību tos mazināt (sasniegt zemāku mācības nepabeigušo dalībnieku īpatsvaru), izglītības iestādes gūtais ienākums no pakalpojumu sniegšanas būs augstāks.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Izteikt 43.1. apakšpunkta pirmo un otro teikumu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"bezdarbnieku un darba meklētāju apmācības ietvaros īstenoto izglītības programmu izmaksu segšanai (mācību vai studiju maksa), piemērojot Labklājības ministrijas izstrādāto metodiku "Vienības izmaksu standarta likmes aprēķina un piemērošanas metodika profesionālās un neformālās izglītības mācību programmas apguves un stipendijas izmaksām". Minētos nosacījumus piemēro arī izglītības programmu izmaksu segšanai, kas rodas pamatojoties uz Bezdarbnieku un darba meklētāju atbalsta likuma 12. panta piektajā daļā un 15. panta septītajā daļā noteikto, un šādā gadījumā stipendijas izmaksu pārtrauc."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Papildināt 192.</w:t>
            </w:r>
            <w:r w:rsidR="00000000" w:rsidRPr="00000000" w:rsidDel="00000000">
              <w:rPr>
                <w:vertAlign w:val="superscript"/>
                <w:rtl w:val="0"/>
              </w:rPr>
              <w:t xml:space="preserve">12</w:t>
            </w:r>
            <w:r w:rsidR="00000000" w:rsidRPr="00000000" w:rsidDel="00000000">
              <w:rPr>
                <w:rtl w:val="0"/>
              </w:rPr>
              <w:t xml:space="preserve"> punktu aiz vārdiem ""1. panta 1. punkta "a", "b" vai "c" apakšpunktā" ar vārdiem "vai finanšu atbalstu sniedz saskaņā ar Komisijas regulu Nr.651/2014".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šajā punktā minēto papildinājumu, nav skaidrs, kādas darbības/nozares no kādām jānodala, ja atbalstu sniedz saskaņā ar Komisijas regulu Nr.651/2014. Lūdzam precizēt šo punktu, ja atbalstu sniedz ar Komisijas regulu Nr.651/2014, dodot atsauces uz attiecīgajiem Komisijas regulas Nr.651/2014 punktiem, pēc analoģijas kā tas šajā punktā ir noteikts atbalstam ar Komisijas regulu Nr.1407/2013.</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noteikumu projekta 13.punkta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Papildināt 192.</w:t>
            </w:r>
            <w:r w:rsidR="00000000" w:rsidRPr="00000000" w:rsidDel="00000000">
              <w:rPr>
                <w:vertAlign w:val="superscript"/>
                <w:rtl w:val="0"/>
              </w:rPr>
              <w:t xml:space="preserve">12</w:t>
            </w:r>
            <w:r w:rsidR="00000000" w:rsidRPr="00000000" w:rsidDel="00000000">
              <w:rPr>
                <w:rtl w:val="0"/>
              </w:rPr>
              <w:t xml:space="preserve"> punktu aiz vārdiem "1. panta 1. punkta "a", "b" vai "c" apakšpunktā" ar vārdiem "vai kuram finanšu atbalstu sniedz saskaņā ar Komisijas regulu Nr.651/2014 un kurš darbojas nozarēs, kas minētas Komisijas regulas Nr.651 1.panta 3.punktā,".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anotāciju ar informāciju, kāda finansējuma ietvaros tiks piemērots Labklājības ministrijas izstrādātais vienas vienības izmaksu metodikas projekts (šobrīd saskaņošanas procesā), kā arī ietvert anotācijā specifisko atbalsta mērķu un/vai investīciju Nr. un nosaukumu uzskaitījumu, uz ko šī metodikas attieksies.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metodikas projekts satur informāciju par to, ka izglītības iestādei var tikt segtas arī pievienotās vērtības nodokļa (turpmāk - PVN) izmaksas. Gadījumā, ja metodiku plānots piemērot Eiropas Savienības Atveseļošanas un noturības mehānisma (turpmāk – Atveseļošanas fonds) plāna 3.komponentes “Nevienlīdzības mazināšana” 3.1. reformu un investīciju virziena “Reģionālā politika” 3.1.2.r. reformas “Sociālo un nodarbinātības pakalpojumu pieejamība minimālo ienākumu reformas atbalstam” 3.1.2.5.i. investīcijas “Bezdarbnieku, darba meklētāju un bezdarba riskam pakļauto iedzīvotāju iesaiste darba tirgū” ietvaros, tad skaidrojam, ka </w:t>
            </w:r>
            <w:r w:rsidR="00000000" w:rsidRPr="00000000" w:rsidDel="00000000">
              <w:rPr>
                <w:b w:val="1"/>
                <w:rtl w:val="0"/>
              </w:rPr>
              <w:t xml:space="preserve">PVN izmaksas nav attiecināmas finansēšanai no Atveseļošanas fonda finansējuma</w:t>
            </w:r>
            <w:r w:rsidR="00000000" w:rsidRPr="00000000" w:rsidDel="00000000">
              <w:rPr>
                <w:rtl w:val="0"/>
              </w:rPr>
              <w:t xml:space="preserve">. Līdz ar to, ja atbilstoši MK 22.03.2022. sēdes protokola Nr.17 34.§ "Informatīvais ziņojums "Par Kohēzijas politikas Eiropas Savienības fondu investīciju aktualitātēm līdz 2022.gada 1.februārim (pusgada ziņojums)"" 9.punktā  noteiktajam) NVA kā valsts budžeta iestāde plāno PVN segt no valsts budžeta līdzekļiem, tad tas var radīt papildus slogu uz valsts budžetu. Attiecīgi precizējama anotācijas 3.sadaļa "Tiesību akta projekta ietekme uz valsts budžetu un pašvaldību budžetiem".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43.1.apakšpunkts. Papildināta anotācijas 1.3.sadaļa un 3.sadaļa.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par MK noteikumu 43.1.apakšpunkta precizēšanu ir noteikts, ka pievienotās vērtības nodoklis (PVN) tiks piemērots tiem apmācību veidiem, kuriem nav piemērojams Pievienotās vērtības nodokļa likuma 52.panta pirmās daļas 12. vai 16.punktā noteiktais atbrīvojums, gadījumos, kad tas nav atgūstams saskaņā ar normatīvajiem aktiem nodokļu politikas jomā un PVN izmaksas Aģentūra segs papildus noteikumos noteiktajai mācību maksai. Vēršam uzmanību, ka no minētā teksta nav saprotams, par kādu PVN atgūšanu saskaņā ar normatīvajiem aktiem nodokļu politikas jomā ir runa. Lūdzam anotācijā sniegt detalizētā skaidrojumu par šo situāciju.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43.1.apakšpunkts. Precizēta anotācijas 1.3.sadaļa.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2011. gada 25. janvāra noteikumos Nr. 75 "Noteikumi par aktīvo nodarbinātības pasākumu un preventīvo bezdarba samazināšanas pasākumu organizēšanas un finansēšanas kārtību un pasākumu īstenotāju izvēles principiem"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(IZM - 23.05.2022.)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21.2. punktu precizēt atbilstoši Profesionālās izglītības likuma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grozījumiem: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profesionālā pilnveide — profesionālās izglītības īpašs veids, kas dod iespēju pilnveidot profesionālo kompetenci kvalifikācijai, kas iekļauta nozares kvalifikāciju struktūrā. Prasības to profesionālo kvalifikāciju pilnveidei, kuras nav iekļautas nozaru kvalifikāciju struktūrās, nosaka normatīvajos aktos.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Aizstāt 35.1 punktā vārdus “pārtrauc dalību apmācībā” ar vārdiem “pārtrauc dalību šo noteikumu 10.6 punktā vai 21.7.apakšpunktā minētajā apmācībā”. Noteikumu 35.1 punkts paredz noteikt mācību veidus, kurus pārtraucot  bez attaisnojošiem iemesliem bezdarbniekam vai darba meklētājam ir jāatlīdzina mācību izdevumi.   Noteikumu 10.6 punkts nosaka, nosacījumu, ka īstenojot neformālās izglītības programmu "Latviešu valoda bez starpniekvalodas" bēgļiem un personām ar alternatīvo statusu, apmācību kuponu metode netiek piemērota. Ievērojot to, ka 10.6 punkts attiecināms uz bēgļiem un personām ar alternatīvo statusu, ierosinām precizēt 35.1 punkta redakciju, papildinot ar konkrētu programmas veidu un mērķa grupu.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21.1. punktā ņemt vērā, ka Profesionālās izglītības (03.03.2022.) likuma redakcijas 5. pants, kas stājas spēkā 01.08.2022. nosaka profesionālās kvalifikācijas līmeņu atbilstību Latvijas kvalifikāciju ietvarstruktūras līmeņiem: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pants. Profesionālās kvalifikācijas līmeņi Latvijas kvalifikāciju ietvarstruktūrā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Profesionālās kvalifikācijas līmeņi atbilst tāda paša līmeņa Latvijas kvalifikāciju ietvarstruktūras līmenim un ir šādi: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pirmais profesionālās kvalifikācijas līmenis — teorētiskā un praktiskā sagatavotība, kas dod iespēju veikt elementārus praktiskus uzdevumus speciālista uzraudzībā;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otrais profesionālās kvalifikācijas līmenis — teorētiskā un praktiskā sagatavotība, kas dod iespēju daļēji patstāvīgi veikt vienkāršus uzdevumus noteiktā praktiskās darbības jomā;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trešais profesionālās kvalifikācijas līmenis — teorētiskā un praktiskā sagatavotība, kas dod iespēju patstāvīgi veikt kvalificētu izpildītāja darbu;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ceturtais profesionālās kvalifikācijas līmenis — paaugstināta teorētiskā sagatavotība un profesionālā meistarība, kas dod iespēju veikt noteiktus izpildītāja pienākumus, kuros ietilpst arī izpildāmā darba plānošana un organizēšana;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piektais profesionālās kvalifikācijas līmenis — teorētiskā un praktiskā sagatavotība, kas dod iespēju veikt sarežģītu izpildītāja darbu, kā arī organizēt un vadīt citu speciālistu darbu;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sestais profesionālās kvalifikācijas līmenis — teorētiskā un praktiskā sagatavotība patstāvīgu lēmumu pieņemšanai un problēmu risināšanai nozarē vai profesijā mainīgos apstākļos, izmantojot specializētas zināšanas profesionālās darbības jomā;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septītais profesionālās kvalifikācijas līmenis — teorētiskā un praktiskā sagatavotība augsti kvalificētas profesionālas darbības veikšanai neprognozējamos apstākļos, sarežģītu profesionālu problēmu formulēšanai un kritiskai analīzei, izmantojot padziļinātas un plašas zināšanas profesionālās darbības jomā, kā arī patstāvīgu lēmumu pieņemšanai, integrējot dažādu jomu zināšanas un dodot ieguldījumu profesionālās darbības metožu attīstībā;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astotais profesionālās kvalifikācijas līmenis — teorētiskā un praktiskā sagatavotība patstāvīgai ideju izvirzīšanai, kritiskai analīzei, sintēzei un izvērtēšanai, radot jaunas zināšanas vai izpratni par esošām zināšanām un to lietošanu praksē, risinot nozīmīgus inovāciju vai jaunrades uzdevumus profesionālās darbības jomā.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(ex.ante). Ievērojot to, ka pēc visām programmām, piem., profesionālās pilnveides programmām nav jākārto gala pārbaudījumi (eksāmeni), rosinām precizēt anotācijjas sadaļā  '"Risinājuma apraksts"  norādīto teikumu.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21.2. profesionālās pilnveides izglītības programmu apguvi, kas bezdarbniekiem dod iespēju pilnveidot profesionālo kompetenci kvalifikācijai, kas iekļauta nozares kvalifikāciju struktūrā. Bezdarbniekam saskaņā ar profesionālās izglītības ieguvi regulējošajiem normatīvajiem aktiem izsniedz apliecību par profesionālās pilnveides izglītību;                                                                       Anotācija (ex-ante) 1.3.Pašreizējā situācija, problēmas un risinājumi: Attiecīgi 34.2 punktā paredzēts noteikt, ka norēķinu ar izglītības iestādi par apmācību izdevumiem Aģentūra veic, ja bezdarbnieks vai darba meklētājs  ne vēlāk kā 90 dienu laikā no apmācību pabeigšanas dienas nokārtos gala pārbaudījumu (kur attiecināms) un saņems MK noteikumu 21.punktā minēto kvalifikāciju vai zināšanas apliecinošo dokumentu.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daļēji.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21.2.apakšpunkts.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skaidrojam, ka profesionālās pilnveides programmās mācību dalībniekiem ir jākārto izglītības iestādes organizētajais noslēguma pārbaudes darbs.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ievērojot, ka jaunu profesionālās kvalifikācijas līmeņu piemērošanai ir noteikts pārejas periods, kā arī Noteikumu projekta steidzamību, lai nodrošinātu bezdarbnieku apmācību nepārtrauktību pēc š.g. 1.jūlija, izmaiņas profesionālās kvalifikācijas līmeņos tiks virzītas ar nākamiem grozījumiem MK noteikumos.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2011. gada 25. janvāra noteikumos Nr. 75 "Noteikumi par aktīvo nodarbinātības pasākumu un preventīvo bezdarba samazināšanas pasākumu organizēšanas un finansēšanas kārtību un pasākumu īstenotāju izvēles principiem"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2011. gada 25. janvāra noteikumos Nr. 75 "Noteikumi par aktīvo nodarbinātības pasākumu un preventīvo bezdarba samazināšanas pasākumu organizēšanas un finansēšanas kārtību un pasākumu īstenotāju izvēles principiem"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(LTRK - 30.05.2022.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LTRK atsauc iepriekš sniegtos saskaņojumus par Grozījumiem un izsaka sekojošus priekšlikumus: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Nr. p.k.</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Priekšlikums/pamatojums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34.2 punkta pirmo teikumu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Norēķinus ar izglītības iestādi par apmācību izdevumiem aģentūra veic, ja bezdarbnieks vai darba meklētājs ne vēlāk kā 90 dienu laikā pēc apmācības pabeigšanas ir saņēmis šo noteikumu 21.punktā minēto zināšanas apliecinošo dokumentu."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šim spēkā esošais regulējums nosaka, ka izglītības iestādei mācību maksa tiek samaksāta atbilstoši faktiskajam apgūto mācību apjomam (mācību stundu skaitam), kuru bezdarbnieks vai darba meklētājs ir apguvis, iesaistoties noteiktas izglītības programmas apguvē. Ja bezdarbnieks vai darba meklētājs bez attaisnojošiem iemesliem pārtrauc dalību mācībās, nepildot noslēgto līgumu, bezdarbniekam vai darba meklētājam ir pienākums atlīdzināt Nodarbinātības valsts aģentūrai (valstij) izdevumus, kas izlietoti apmācībai. Ieviešot praksē noteikumu projektā iecerētos grozījumus – turpmāk izglītības iestādēm mācību apmaksā par bezdarbnieku un darba meklētāju izglītošanu piemērojot vienas vienības izmaksu standarta likmes aprēķinu, Nodarbinātības valsts aģentūra (valsts) atbrīvo sevi no parādu piedziņas administratīvā sloga uz izglītības iestāžu rēķina. Vienas vienības izmaksu metodes pamatā ir princips, ka samaksa tiek veikta tikai par 100% sasniegtu rezultātu (pilnībā apgūtu izglītības programmu). Ja bezdarbnieks vai darba meklētājs neapgūst izglītības programmu pilnā apmērā, izglītības iestāde par ieguldīto darbu no Nodarbinātības valsts aģentūras (valsts) nesaņem nevienu centu. Nereti, jo īpaši profesionālajā tālākizglītībā (profesijas apguve), ir situācijas, kad bezdarbniekam vai darba meklētājam, iesaistoties, piemēram,  datorsistēmu tehniķa profesijas apguvē (izglītības programma ir 960 akadēmisko stundu apjomā, tai skaitā kvalifikācijas prakse uzņēmumā 240 akadēmisko stundu apjomā), pabeidzot teorētisko un praktisko mācību priekšmetu apguvi izglītības iestādē un iesaistoties kvalifikācijas praksē uzņēmumā,  tas atrod darbu, kuru nevar vairāk savienot ar mācībām, un tāpēc mācības pamet. Galvenais bezdarbnieka vai darba meklētāja apmācību mērķis – palīdzēt tam iesaistīties nodarbinātībā, ir sasniegts, bet izglītības iestāde, kas ieguldījusi darbu un finansējumu personas izglītošanā, par šo pakalpojumu no valsts nesaņem neko. Ir situācijas, kad persona dažādu iemeslu dēļ, pabeidzot teorētisko un praktisko mācību priekšmetu apguvi izglītības iestādē un sekmīgi pabeidzot kvalifikācijas praksi uzņēmumā, tiekot pielaistai pie kvalifikācijas eksāmena, to nenokārto. Ir situācijas, kad personas apgūst izglītības programmu 30%, 50%, 75% vai pat 99% apmērā, tomēr dažādu iemeslu dēļ tās nepabeidz. Visos šajos gadījumos ar noteikumu projektā rosinātajiem grozījumiem ieviešamā vienas vienības izmaksu metode paredz to, ka izglītības iestāde no valsts nesaņem nekādu finansējumu par sniegto pakalpojumu. Ne valstij, ne bezdarbniekam nebūs pienākums atlīdzināt izglītības iestādei izdevumus, kas izlietoti apmācībā. Ja līdz šim valstij bija tiesības šādos gadījumos vērsties ar parādu piedziņu pret mācības pametušo personu, tad pēc rosināto grozījumu stāšanās spēkā, izglītības iestādēm nebūs pat šādu tiesību.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Vienkāršoto izmaksu metodes ieviešanas princips ES fondu projektos (bezdarbnieku un darba meklētāju apmācību valsts realizē caur ES fondu projektu) tiek izmantots ar  mērķi vienkāršot ES fondu projektu faktisko izmaksu uzskaiti, veicinot fokusēšanās maiņu no finanšu dokumentu pārbaudes uz sasniegto rezultātu pārbaudi[1]. Pēc būtības vērtējot, bezdarbnieku un darba meklētāju apmācībā līdz šim izmantotā apmācību kuponu metode faktiski jau ir pielīdzināma vienkāršotajām izmaksām, proti, bezdarbnieku un darba meklētāju apmācību ietvaros mācību maksa ir fiksēta un ne ES fondu projekta finansējuma saņēmējam (Nodarbinātības valsts aģentūra) nav jāpārbauda, ne arī izglītības pakalpojuma sniedzējiem projekta ietvaros nav jāatskaitās par mācību nodrošināšanas faktiskajām izmaksām. Samaksa par izglītības pakalpojumu jau tiek veikta atbilstoši sasniegtajam rezultātam (tiek apmaksāta kupona vērtība proporcionāli apgūtajam mācību apjomam). Līdz ar to, vērtējot faktisko situāciju, nemaz nav nepieciešamības ieviest vienkāršoto izmaksu metodi, jo darba meklētāju un bezdarbnieku apmācībā metodes principi jau tiek nodrošināti, izmantojot apmācību kuponu metodi.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uzskatām, ka vienas vienības izmaksu metodes pielietošana bezdarbnieku un darba meklētāju apmācību finansēšanā nav pieļaujama un nav nepieciešama, jo gadījumos, kad bezdarbnieks vai darba meklētājs bez attaisnojošiem iemesliem pārtrauc dalību mācībās, valsts rada nesamērīgu finansiālo slogu izglītības iestādei, tikai un vienīgi vēloties atbrīvot sevi  (Nodarbinātības valsts aģentūru) no administratīvā sloga saistībā ar parādu piedziņu no mācības pametušajām personām, bet ne realizēt vienkāršoto izmaksu ieviešanas pamatprincipus  (jo tie jau ir ieviesti).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ar to aicinām no noteikumu projekta svītrot 2. un 5.punktu.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Izteikt 43.1. apakšpunkta pirmo un otro teikumu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"bezdarbnieku un darba meklētāju apmācības ietvaros īstenoto izglītības programmu izmaksu segšanai (mācību vai studiju maksa un pievienotās vērtības nodoklis, ja pakalpojums nav atbrīvojams no pievienotās vērtības nodokļa un pievienotās vērtības nodoklis nav atgūstams saskaņā ar normatīvajiem aktiem nodokļu politikas jomā), piemērojot Labklājības ministrijas izstrādāto vienas vienības izmaksu standarta likmes aprēķina un piemērošanas metodiku apmācību programmu apguves un stipendijas izmaksām. Minētos nosacījumus piemēro arī izglītības programmu izmaksu segšanai, kas rodas pamatojoties uz Bezdarbnieku un darba meklētāju atbalsta likuma 12. panta piektajā daļā un 15. panta septītajā daļā noteikto, un šādā gadījumā stipendijas izmaksu pārtrauc."</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Aizstāt 45.1. apakšpunktā skaitli "600" ar skaitli "660".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Izteikt 45.2. apakšpunktu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"45.2. otrā kvalifikācijas līmeņa profesionālās tālākizglītības programmām ar mācību ilgumu 480 mācību stundas – 660 euro, ar mācību ilgumu 640 mācību stundas – 880 euro, ar mācību ilgumu 960 stundas – 1340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Aizstāt 45.3. apakšpunktā skaitli "1220" ar skaitli "1340"</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Apmācību kupona bāzes vērtības bezdarbnieku un darba meklētāju apmācību ietvaros tika izstrādātās un ieviestas 2010.gada beigās. Ņemot vērā patēriņa cenu pieaugumu valstī, minimālās algas pieaugumu un pedagogu darba samaksas pieaugumu, 2018.gadā tika pārskatītas apmācību kuponu bāzes vērtības profesionālās tālākizglītības un profesionālās pilnveides izglītības programmās, palielinot tās par 10%[2]. Neformālās izglītības kupona vērtības noteikšanai izmantojamā mācību stundas likme un maksimālā kupona vērtība nav pārskatīta kopš kuponu ieviešanas 2010.gadā.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Centrālās statistikas pārvaldes datiem, patēriņa pieaugums (inflācija) 2022.gada maijā, salīdzinot ar 2018.gada janvāri, ir 20,9 %[3]. Vienlaikus šajā laika periodā pieaudzis arī valstī noteiktās minimālās mēnešalgas apmērs no 430 eiro 2018.gadā līdz 500 eiro 2022.gadā, kā arī pieaugusi pedagogu zemākā mēneša darba algas likme no 710 eiro 2018.gadā līdz 830 eiro 2022.gadā. 2021. un 2022.gadā ir būtiski pieaugušas energoresursu un elektroenerģijas cenas, kas neizbēgami sadārdzina jebkura pakalpojuma faktiskās izmaksas, tai skaitā arī izglītības nozarē, turpinot sekmēt vispārēju patēriņa cenu pieaugumu.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Iepriekš minētais liecina par to, ka šobrīd ir daudz augstāks izmaksu un cenu pieaugums, salīdzinājumā ar situāciju, kas kalpoja par pamatu pārskatīt un palielināt kuponu bāzes vērtības 2018.gadā.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 apmācību kuponu metodes ir balstīta arī nodarbināto personu izglītības procesa finansēšanas kārtība[4] Eiropas Sociālā fonda projektā “Nodarbināto personu profesionālās kompetences pilnveide”. Līdztekus profesionālai tālākizglītībai daudz lielāks skaits nodarbināto personu apgūst darba tirgum nepieciešamās prasmes, iesaistoties profesionālās pilnveides izglītības programmās. Nodarbināto personu apmācībā profesionālās pilnveides izglītības programmas nereti ir “materiāltehniski ietilpīgas” (piemēram, tiek apgūtas metināšanas, kokapstrādes, siltuma, gāzes, ūdensapgādes u.c. tehnoloģijas), t.i., prasmju apguve nav iespējama bez noteikta apjoma materiālu un noteiktu tehnoloģisko iekārtu izmantošanas mācību procesā. Līdz ar to atstājot nemainīgu kupona bāzes vērtību profesionālajā pilnveidē un atbilstoši noteikumu projektā iecerētajam, palielinot kupona bāzes vērtību tikai profesionālajā tālākizglītībā, tiks radīta nelīdzsvarota un negodīga situācija attiecībā uz izglītības pakalpojumu finansēšanu Eiropas Sociālā fonda projektā “Nodarbināto personu profesionālās kompetences pilnveide”.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Pieaugot izmaksām un atstājot nemainīgu izglītības procesa nodrošināšanai noteikto finansējumu (kuponu vērtības) kādā no izglītības veidiem, neizbēgami cietīs izglītības procesa kvalitāte. Tas savukārt var apdraudēt nodarbināto personu, bezdarbnieku un darba meklētāju apmācībām noteikto mērķu sasniegšanu un tam atvēlēto Eiropas Savienības fondu finansējuma jēgpilnu izlietojumu.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projektā un anotācijā sniegta informācija par nepieciešamību paaugstināt apmācību kupona bāzes vērtību tikai profesionālajā tālākizglītībā, ievērojot visu iepriekš minēto, rosinām līdzvērtīgi profesionālajai tālākizglītībai paaugstināt kupona bāzes vērtību arī profesionālajā pilnveidē un neformālajā izglītībā: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projektu ar šādiem grozījumiem: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Aizstāt 45.4. apakšpunktā skaitli “400” ar skaitli  “440”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Aizstāt 46.puktā skaitli “4,50” ar skaitli “4,95” un skaitli “360” ar skaitli “396”</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Aizstāt 45.3.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apakšpunktā skaitli "1220" ar skaitli "1340"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skaitļi tiek grozīti par 10%, tad jāgroza arī skaitlis uz 1342.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tiek veikts pārrēķins, tad būtu jāgroza arī Ministru kabineta noteikumu punkts 34.6 “Šo noteikumu 21.1., 21.2. un 21.3. apakšpunktā minētās apmācības īsteno grupā no sešām līdz 12 personām vai, ja paredzēts, arī individuāli vai nelielās grupās līdz piecām personām” , neierobežojot grupas līdz 12 personām.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noteikumos “Noteikumi par profesionālās izglītības programmu īstenošanas izmaksu minimumu uz vienu izglītojami” izmaksu apŗēķinos (1.pielikums) tiek runāts par 25-30 izglītojamajiem vienā mācību grupā (5.2.1.  10,8 – profesionālās izglītības programmās (mācību grupā ir 25 līdz 30 izglītojamo), kas bezdarbnieku apmācību projektā neizpildās.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Apmācību maksa, apmācību kupona vērtība, izmaksu minimums uz vienu izglītojamo un attiecīgie izglītības programmu izmaksu minimālie koeficienti noteikti, ņemot vērā izglītības programmas izmaksas, kuras veido normējamās un nenormējamās izmaksas, kuras ir jāsedz neatkarīgi no tā vai apmācību uzsākušais bezdarbnieks mācības pabeidza vai nepabeidza, t.sk., ņemot vērā, ka mācību grupas pēc visiem aprēķiniem ir ar 25-30 izglītojamajiem u.tml.</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piemērs, ESF projekta "Nodarbināto personu profesionālās kompetences pilnveide" ietvaros nav tādu ierobežojumu grupām līdz 12 personām, kaut gan šajā projektā arī netiek veikta samaksa izglītības iestādei par apmācību nepabeigušajām personām, bet vismaz ir iespēja komplektēt grupas līdz 25 personām.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Vadlīnijas par vienkāršoto izmaksu izmantošanas iespējām un to piemērošana ES fondu 2014.-2020. gada plānošanas periodā, 8.punkts.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Ministru kabineta 2018.gada 18.decembra noteikumi Nr.839 "Grozījumi Ministru kabineta 2011. gada 25. janvāra noteikumos Nr. 75 "Noteikumi par aktīvo nodarbinātības pasākumu un preventīvo bezdarba samazināšanas pasākumu organizēšanas un finansēšanas kārtību un pasākumu īstenotāju izvēles principiem""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Inflācijas kalkulators (csb.gov.lv)</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https://www.macibaspieaugusajiem.lv/sites/default/files/media_document/mp_metodika_0.pdf</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daļēji.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2022.gada 8.februārī pieņemti grozījumi Ministru kabineta 2014. gada 23. decembra noteikumos Nr. 836 "Darbības programmas "Izaugsme un nodarbinātība" 7.1.1. specifiskā atbalsta mērķa "Paaugstināt bezdarbnieku kvalifikāciju un prasmes atbilstoši darba tirgus pieprasījumam" un 14.1.2. specifiskā atbalsta mērķa "Atveseļošanas pasākumi labklājības jomā" īstenošanas noteikumi" (turpmāk – MK noteikumi Nr.836), kas paredz no 2022.gada 1.jūlija mācību maksas par apmācību pasākumiem Nodarbinātības valsts aģentūras (turpmāk – Aģentūra) klientiem noteikšanā piemērot Labklājības ministrijas – Eiropas Savienības fondu atbildīgās iestādes izstrādāto metodiku "Vienības izmaksu standarta likmes aprēķina un piemērošanas metodika profesionālās un neformālās izglītības mācību programmas apguves un stipendijas izmaksām" (turpmāk – metodika) nolūkā samazināt administratīvo slogu un izmaksu pamatojošās dokumentācijas apjomu visiem apmācību pasākumu īstenošanā iesaistītajiem. Šī metodika tiks piemērota arī Atveseļošanas fonda plāna investīcijas īstenošanā.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Finanšu ministrijas, kā ES fondu vadošās iestādes, sniegtajai informācijai, ES fondu 2021. – 2027. gada plānošanas periodā būtisks akcents tiek likts uz vienkāršoto izmaksu iespējami plašu piemērošanu. Lai aprobētu metodikas piemērošanu pirms jaunā plānošanas perioda uzsākšanas un pēc sadarbības iestādes (Centrālās finanšu un līguma aģentūras) ieteikuma administratīvā sloga samazināšanai un 7.1.1. specifiskā atbalsta mērķa "Paaugstināt bezdarbnieku kvalifikāciju un prasmes atbilstoši darba tirgus pieprasījumam" un 14.1.2. specifiskā atbalsta mērķa "Atveseļošanas pasākumi labklājības jomā" īstenošanas pilnveidošanai, ir paredzēts metodiku uzsākt piemērot jau abu iepriekš minēto 2014. – 2020.gada plānošanas perioda specifisko atbalsta mērķu īstenošanā.  Ievērojot minēto, grozījumi MK noteikumos ir izstrādāti atbilstoši normatīvajiem aktiem ES fondu jomā un papildina jau veiktos grozījumus MK noteikumos Nr.836. Metodika tiks piemērota Darbības programmas "Izaugsme un nodarbinātība" 7.1.1. specifiskā atbalsta mērķa "Paaugstināt bezdarbnieku kvalifikāciju un prasmes atbilstoši darba tirgus pieprasījumam" un 14.1.2. specifiskā atbalsta mērķa "Atveseļošanas pasākumi labklājības jomā" īstenoto pasākumu ietvaros.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Metodika paredz, ka apmācību maksa tiks segta par tiem dalībniekiem, kas pabeigs apmācības, sekmīgi nokārtos gala pārbaudījumu (izglītības iestādes organizēto vai valsts eksāmenu) un saņems MK noteikumu 21.punktā minēto iegūto zināšanu apliecinošu dokumentu (profesionālās kvalifikācijas apliecību, apliecību par profesionālās pilnveides izglītību, transportlīdzekļu vai traktortehnikas vadītāja tiesības, valsts valodas prasmes apliecību vai citu zināšanu apliecinošu dokumentu). Vienlaicīgi metodikā tiek paredzēts segt izglītības iestādēm daļu izdevumu gadījumos, kad dalībnieki pārtrauc mācības, nenokārto gala pārbaudes eksāmenu un tiek atskaitīti no mācībām priekšlaicīgi. Katram apmācību veidam, balstoties uz Aģentūras 2018. un 2019.gada datiem, tika noteikts šādu dalībnieku procents, ko plāno piemērot izdevumu segšanai par katru dalībnieku, kas pilnībā apgūst izglītības programmu. Piemēram, profesionālās tālākizglītības programmām mācības nepabeigušo dalībnieku ‘atbiruma’ procents veido 13,5%. Tas nozīmē, ka, ja trešā kvalifikācijas līmeņa profesionālās tālākizglītības programmām ar mācību ilgumu 960 stundas (piemēram, Loģistikas darbinieka kupona jauna vērtība – 1 340 euro) iesaistīsies 12 cilvēki un no tiem mācības pabeigs 10 dalībnieki, piemērojot jauno metodiku, izglītības iestādei tiks kompensēti izdevumi 1 520.9 euro apmērā par katru dalībnieku (1 340 euro x 13,5%) jeb kopā 15 209 euro apmērā (Profesionālās izglītības programmām papildus kupona vērtībai tiks piemērots koeficients, kas ir iekļauts 2007.gada 2.oktobra MK noteikumos Nr. 655 par profesionālās izglītības programmu īstenošanas izmaksu minimumu uz vienu izglītojamo). Līdz ar to arī jaunajā norēķinu kārtībā ir ierēķināti riski, kas ir saistīti ar priekšlaicīgu mācību pārtraukšanu un gadījumos, ja izdosies ar izglītības iestādes aktīvu rīcību tos mazināt (sasniegt zemāku mācības nepabeigušo dalībnieku īpatsvaru), izglītības iestādes gūtais ienākums no pakalpojumu sniegšanas būs augstāks.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Precizēts MK noteikumu 45.4.apakšpunkts.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pieaugošo darbaspēka pieprasījumu pēc-pandēmijas periodā, kā arī nepieciešamību motivēt izglītības iestādes iesaistīties bezdarbnieku pārkvalificēšanā un profesionālo prasmju pilnveidē Latvijas tautsaimniecībai svarīgajās (arī uz eksportu vērstajās) apstrādes rūpniecības, būvniecības, enerģētikas, pakalpojumu nozaru profesijās, Labklājības ministrija piedāvā kuponu bāzes vērtības palielināt par 10 % profesionālās tālākizglītības un profesionālās pilnveides programmām, tādējādi veicinot arī šo programmu pievilcību, vienlaikus kompensējot iespējamās izmaksas, kas varētu rasties, īstenojot materiāltehniskās bāzes un energoresursu ietilpīgas mācības minētajās nozarēs un profesijās.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neformālās izglītības programmu piedāvājums Aģentūras reģistrētajiem bezdarbniekiem ir orientēts izglītības programmām, kuru īstenošana neprasa apjomīgus ieguldījumus materiāltehniskajā bāzē un to apguve ir ļoti piemērota attālinātām mācībām, kas rada arī elastību izglītojamo sasniegšanai, tādējādi būtiski nepalielinot izmaksas.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Aģentūras dati liecina, ka neformālās izglītības programmu (valsts valodas, svešvalodas, datorzinības) pieprasījums kopš 2017. gada vidēji gadā saglabājas 8,6 tūkstošu robežās. Piemēram, 2021. gadā Aģentūras klientu iesaiste (kopā 6 359) svešvalodu un datorzinību apguvē bija līdzīga tai, kāda tā bija 2017. gadā (kopā 6 405), turpretim iesaiste profesionālajā tālākizglītībā no gada uz gadu ievērojami samazinās (no 2 893 izglītojamajiem 2017. gadā līdz 1 189 izglītojamajiem 2021. gadā, proti, samazinājums par 59%). Nenoliedzami, ka prasmju apguve jāveicina arī neformālās izglītības programmu ietvaros, tomēr šobrīd prioritāri jāveicina iesaiste profesionālās tālākizglītības un profesionālās pilnveides programmās, lai reaģētu uz izmaiņām tautsaimniecībā un minēto nozaru pieprasījumu pēc profesionāli sagatavota darbaspēka.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jānorāda, ka kupona bāzes vērtības palielināšana arī neformālās izglītības programmām radītu risku turpmākajam tālākizglītības programmu piedāvājuma un klientu iesaistes kritumam, jo Aģentūras rīcībā esošie resursi ir ierobežoti.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2011. gada 25. janvāra noteikumos Nr. 75 "Noteikumi par aktīvo nodarbinātības pasākumu un preventīvo bezdarba samazināšanas pasākumu organizēšanas un finansēšanas kārtību un pasākumu īstenotāju izvēles principiem"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1.3.sadaļas apakšsadaļā “Problēmas apraksts” norādīto Ministru kabineta 2014.gada 23.decembra noteikumu Nr.836 nosaukumu.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1.3.sadaļa.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1.3.sadaļas problēmaprakstā šobrīd spēkā esošo Ministru kabineta 2014.gada 23.decembra noteikumu Nr.836 "Darbības programmas "Izaugsme un nodarbinātība" 7.1.1.specifiskā atbalsta mērķa "Paaugstināt bezdarbnieku kvalifikāciju un prasmes atbilstoši darba tirgus pieprasījumam" un 14.1.2.specifiskā atbalsta mērķa "Atveseļošanas pasākumi labklājības jomā" īstenošanas noteikumi" nosaukumu.</w:t>
            </w:r>
            <w:r w:rsidR="00000000" w:rsidRPr="00000000" w:rsidDel="00000000">
              <w:rPr>
                <w:vertAlign w:val="superscript"/>
                <w:rtl w:val="0"/>
              </w:rPr>
              <w:t xml:space="preserve">1 </w:t>
            </w:r>
            <w:r w:rsidR="00000000" w:rsidRPr="00000000" w:rsidDel="00000000">
              <w:rPr>
                <w:rtl w:val="0"/>
              </w:rPr>
              <w:t xml:space="preserve">Vienlaikus aicinām anotācijas problēmaprakstu veidot no šodienas perspektīvas, jo "Grozījumi Ministru kabineta 2014. gada 23. decembra noteikumos Nr. 836 "Darbības programmas "Izaugsme un nodarbinātība" 7.1.1. specifiskā atbalsta mērķa "Paaugstināt bezdarbnieku kvalifikāciju un prasmes atbilstoši darba tirgus pieprasījumam" īstenošanas noteikumi"" ir apstiprināti š.g. 8.februāra Ministru kabineta sēdē (noteikumi Nr. 101/LV, 30, 11.02.2022.), kā arī jau stājušies spēkā š.g. 12.februārī.</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vertAlign w:val="superscript"/>
                <w:rtl w:val="0"/>
              </w:rPr>
              <w:t xml:space="preserve">1 </w:t>
            </w:r>
            <w:r w:rsidR="00000000" w:rsidRPr="00000000" w:rsidDel="00000000">
              <w:rPr>
                <w:rtl w:val="0"/>
              </w:rPr>
              <w:t xml:space="preserve">https://likumi.lv/ta/id/271412-darbibas-programmas-izaugsme-un-nodarbinatiba-711-specifiska-atbalsta-merka-paaugstinat-bezdarbnieku-kvalifikaciju-un-prasmes-atbilstosi-darba-tirgus-pieprasijumam-un-1412-specifiska-atbalsta-merka-atveselosanas-pasakumi-labklajibas-joma-istenosanas-noteik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1.3. un 3.sadaļa.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1.3.sadaļas "Problēmas apraksts" minētās metodikas projekta nosaukumu uz "Vienības izmaksu standarta likmes aprēķina un piemērošanas metodika profesionālās un neformālās izglītības mācību programmas apguves un stipendijas izmaksām".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anotācijas 1.3.sadaļa.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anotāciju ar detalizētāku informāciju par profesionālās izglītības apmācību kuponu bāzes vērtības palielināšanu, norādot precīzas summas kuponu vērtību izmaiņām, vienlaikus sniedzot datos balstītu pamatojumu 10% pieaugumam.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anotācijas 1.3.sadaļa.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8.1.8. uz iedzīvotāju sociālo situāciju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vārda "nodarbibātības"  pareizrakstību.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8.1.8. uz iedzīvotāju sociālo situāciju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- 24.05.2022.)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vai tiesiskais regulējums neietekmēs arī juridiskās personas gadījumā, ja izglītības iestādei/ pakalpojuma sniedzējam tiks segtas arī pievienotās vērtības nodokļa (turpmāk - PVN) izmaksas. Vienlaikus aicinām anotācijā skaidrot, vai PVN izmaksas plānots segt arī privātajām izglītības iestādēm, kas nodrošina profesionālās tālākizglītības, profesionālās pilnveides un neformālās izglītības programmas.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43.1.apakšpunkts un anotācijas 1.3.sadaļa.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- 09.06.2022.)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sadaļā "Pašreizējā situācija" 4.3.3.SAM nosaukumu no "Uzlabot piekļuvi nodarbinātībai, veicināt pašnodarbinātību un sociālo ekonomiku" uz "Uzlabot visu darba meklētāju, jo īpaši jauniešu – it sevišķi, īstenojot Garantiju jauniešiem –, ilgstošo bezdarbnieku un darba tirgū nelabvēlīgā situācijā esošo grupu, un ekonomiski neaktīvo personu piekļuvi nodarbinātībai un aktivizācijas pasākumiem, kā arī veicinot pašnodarbinātību un sociālo ekonomiku”.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anotācijas 1.3.punkts.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- 09.06.2022.)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aizstāt anotācijas sadaļā "Problēmas apraksts" teikuma daļā "</w:t>
            </w:r>
            <w:r w:rsidR="00000000" w:rsidRPr="00000000" w:rsidDel="00000000">
              <w:rPr>
                <w:i w:val="1"/>
                <w:rtl w:val="0"/>
              </w:rPr>
              <w:t xml:space="preserve">Lai aprobētu metodikas piemērošanu pirms jaunā plānošanas perioda...</w:t>
            </w:r>
            <w:r w:rsidR="00000000" w:rsidRPr="00000000" w:rsidDel="00000000">
              <w:rPr>
                <w:rtl w:val="0"/>
              </w:rPr>
              <w:t xml:space="preserve">"  vārdus "jaunā plānošanas perioda" ar vārdiem  "Eiropas Savienības fondu 2021.—2027. gada plānošanas perioda".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anotācijas 1.3.punkts.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22-TA-1431</w:t>
    </w:r>
    <w:r>
      <w:br/>
    </w:r>
    <w:r w:rsidR="00000000" w:rsidRPr="00000000" w:rsidDel="00000000">
      <w:rPr>
        <w:rtl w:val="0"/>
      </w:rPr>
      <w:t xml:space="preserve">17.06.2022. 13.25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22-TA-1431</w:t>
    </w:r>
    <w:r>
      <w:br/>
    </w:r>
    <w:r w:rsidR="00000000" w:rsidRPr="00000000" w:rsidDel="00000000">
      <w:rPr>
        <w:rtl w:val="0"/>
      </w:rPr>
      <w:t xml:space="preserve">17.06.2022. 13.25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Izziņa_22-TA-1431.docx</dc:title>
</cp:coreProperties>
</file>

<file path=docProps/custom.xml><?xml version="1.0" encoding="utf-8"?>
<Properties xmlns="http://schemas.openxmlformats.org/officeDocument/2006/custom-properties" xmlns:vt="http://schemas.openxmlformats.org/officeDocument/2006/docPropsVTypes"/>
</file>