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23-TA-2123: Noteikumu projekts (Jauns)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tl w:val="0"/>
        </w:rPr>
        <w:t xml:space="preserve">Eiropas Savienības kohēzijas politikas programmas 2021.–2027. gadam 2.2.2. specifiskā atbalsta mērķa "Pārejas uz aprites ekonomiku veicināšana" 2.2.2.1. pasākuma "Atkritumu šķirošana, pārstrāde un reģenerācija" projektu iesniegumu atlases pirmās kārtas īstenošanas noteikumi</w:t>
      </w:r>
    </w:p>
    <w:tbl>
      <w:tblPr>
        <w:tblStyle w:val="DefaultTable"/>
        <w:bidiVisual w:val="0"/>
        <w:tblW w:w="14567.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900"/>
        <w:gridCol w:w="3000"/>
        <w:gridCol w:w="3000"/>
        <w:gridCol w:w="3000"/>
        <w:gridCol w:w="3000"/>
        <w:tblGridChange w:id="0">
          <w:tblGrid>
            <w:gridCol w:w="900"/>
            <w:gridCol w:w="3000"/>
            <w:gridCol w:w="3000"/>
            <w:gridCol w:w="3000"/>
            <w:gridCol w:w="30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Saskaņošanai nosūtītā 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Apstrādes informācija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Galīgā redakcija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Atlases kārtā sasniedzamie projektu uzraudzības rādītāji un to vērtības, kas sasniedzamas līdz 2029. gada 31. decembrim: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- 24.10.2023.)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noteikumu projekta 5. punktā un tā apakšpunktos norādītās sasniedzamās rādītāju vērtības atbilstoši Vides aizsardzības un reģionālās attīstības ministrijas iepriekš sniegtajai informācijai par Eiropas Savienības kohēzijas politikas programmas 2021.–2027.gadam rādītāju dalījumu pasākumu līmenī, vai attiecīgi iesūtīt Finanšu ministrijai precizētu minēto informāciju (Excel dokumentu).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Nosūtīta precizēta informācija. Rādītāju dalījums pa pasākuma atlases kārtām norādīts anotācijā. Noteikumu projektā rezultāta rādītāja vērtība ir norādīta, ņemot vērā bāzes vērtību 193 000 t/gadā. Savukārt nosūtītajā informācijā (Excel datne) rezultāta rādītāja vērtība izdalīta pa pasākumiem un kārtām, neņemot vērā bāzes vērtību.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Atlases kārtā sasniedzamie projektu uzraudzības rādītāji un to vērtības, kas sasniedzamas līdz 2029. gada 31. decembrim: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 Kohēzijas fonda finansējums ir līdz 40 procentiem no projekta kopējā attiecināmā finansējuma, un privātā līdzfinansējuma apmērs ir vismaz 60 procenti no projekta kopējā attiecināmā finansējuma, vienlaikus ievērojot šo noteikumu </w:t>
            </w:r>
            <w:r w:rsidR="00000000" w:rsidRPr="00000000" w:rsidDel="00000000">
              <w:rPr>
                <w:rtl w:val="0"/>
              </w:rPr>
              <w:t xml:space="preserve">46. </w:t>
            </w:r>
            <w:r w:rsidR="00000000" w:rsidRPr="00000000" w:rsidDel="00000000">
              <w:rPr>
                <w:rtl w:val="0"/>
              </w:rPr>
              <w:t xml:space="preserve">punkta</w:t>
            </w:r>
            <w:r w:rsidR="00000000" w:rsidRPr="00000000" w:rsidDel="00000000">
              <w:rPr>
                <w:rtl w:val="0"/>
              </w:rPr>
              <w:t xml:space="preserve"> nosacījumus.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- 24.10.2023.)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punkta redakciju, jo nav iespējama finansējuma apmēra procentuālā atbilstība, vienlaikus ievērojot 46. punkta nosacījumus, tas ir, KF finansējums </w:t>
            </w:r>
            <w:r w:rsidR="00000000" w:rsidRPr="00000000" w:rsidDel="00000000">
              <w:rPr>
                <w:b w:val="1"/>
                <w:rtl w:val="0"/>
              </w:rPr>
              <w:t xml:space="preserve">līdz </w:t>
            </w:r>
            <w:r w:rsidR="00000000" w:rsidRPr="00000000" w:rsidDel="00000000">
              <w:rPr>
                <w:rtl w:val="0"/>
              </w:rPr>
              <w:t xml:space="preserve">40 % un privātā līdzfinansējuma apmērs </w:t>
            </w:r>
            <w:r w:rsidR="00000000" w:rsidRPr="00000000" w:rsidDel="00000000">
              <w:rPr>
                <w:b w:val="1"/>
                <w:rtl w:val="0"/>
              </w:rPr>
              <w:t xml:space="preserve">vismaz </w:t>
            </w:r>
            <w:r w:rsidR="00000000" w:rsidRPr="00000000" w:rsidDel="00000000">
              <w:rPr>
                <w:rtl w:val="0"/>
              </w:rPr>
              <w:t xml:space="preserve">60 % apmērā ir pretrunā ar 46. punktā noteiktajiem atbalsta intensitātes apmēriem (piemēram, maza uzņēmuma KF finansējuma intensitāte ir 75 % , kas nozīmētu 25 % lielu privāto līdzfinansējumu, tādējādi neatbilstot 10. punktā noteiktajam finansējuma procentuālajam sadalījumam).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Veikts precizējums 10. punktā, nosakot maksimālo Kohēzijas fonda likmi un minimālo privātā līdzfinansējuma likmi, vienlaikus saistot to ar 45. punktu, kas nosaka maksimālo Kohēzijas fonda likmi uzņēmumam atkarībā no tā izmēra.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 Maksimālais Kohēzijas fonda finansējums projektā ir 85 procenti no projekta kopējā attiecināmā finansējuma, ja projektā plānots </w:t>
            </w:r>
            <w:r w:rsidR="00000000" w:rsidRPr="00000000" w:rsidDel="00000000">
              <w:rPr>
                <w:i w:val="1"/>
                <w:rtl w:val="0"/>
              </w:rPr>
              <w:t xml:space="preserve">de minimis</w:t>
            </w:r>
            <w:r w:rsidR="00000000" w:rsidRPr="00000000" w:rsidDel="00000000">
              <w:rPr>
                <w:rtl w:val="0"/>
              </w:rPr>
              <w:t xml:space="preserve"> atbalsts, vienlaikus ievērojot šo noteikumu </w:t>
            </w:r>
            <w:r w:rsidR="00000000" w:rsidRPr="00000000" w:rsidDel="00000000">
              <w:rPr>
                <w:rtl w:val="0"/>
              </w:rPr>
              <w:t xml:space="preserve">45. </w:t>
            </w:r>
            <w:r w:rsidR="00000000" w:rsidRPr="00000000" w:rsidDel="00000000">
              <w:rPr>
                <w:rtl w:val="0"/>
              </w:rPr>
              <w:t xml:space="preserve">punkta</w:t>
            </w:r>
            <w:r w:rsidR="00000000" w:rsidRPr="00000000" w:rsidDel="00000000">
              <w:rPr>
                <w:rtl w:val="0"/>
              </w:rPr>
              <w:t xml:space="preserve"> nosacījumus.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 Projekta iesniedzējs līdz pirmā maksājuma pieprasījuma iesniegšanas dienai sadarbības iestādē nodrošina, ka tam ir zemesgrāmatās nostiprinātas tiesības veikt būvdarbus zemesgabalos, kur paredzēts īstenot projektu.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- 24.10.2023.)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noteikumu projekta 14.punktā, vai ar pirmo maksājuma pieprasījumu ir domāts avansa vai pirmais starpposma maksājuma pieprasījums, un izteikt punktu atbilstošā no piedāvātajām redakcijām.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 Projekta iesniedzējs līdz avansa maksājuma pieprasījuma iesniegšanas dienai sadarbības iestādē nodrošina, ka tam ir zemesgrāmatās nostiprinātas tiesības veikt būvdarbus zemesgabalos, kur paredzēts īstenot projektu.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 Projekta iesniedzējs līdz pirmā starpposma maksājuma pieprasījuma iesniegšanas dienai sadarbības iestādē nodrošina, ka tam ir zemesgrāmatās nostiprinātas tiesības veikt būvdarbus zemesgabalos, kur paredzēts īstenot projektu.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Tiesību norma neizdala maksājuma veidus, jo projektā var netikt paredzēts avansa maksājums. Līdz ar to pirmais maksājums projektā var būt gan avansa, gan starpposma maksājums. Ievērojot iepriekš minēto, noteikumu projekta punkts netiek precizēts.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Projekta iesniedzējs līdz pirmā maksājuma pieprasījuma iesniegšanas dienai sadarbības iestādē nodrošina, ka tam ir zemesgrāmatā nostiprinātas tiesības veikt būvdarbus zemesgabalos, kur paredzēts īstenot projektu.</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 Projekta iesniegumam pievieno pārstrādājamo atkritumu pieejamības un pastāvīgas plūsmas nodrošinājuma aprakstu, ievērojot regulas Nr. 651/2014 47. panta 5. punkta nosacījumu, ka atbalsts nedrīkst stimulēt atkritumu rašanos. Aprakstā norādīta atkritumu izcelsme un izvērtētas iekārtu ekspluatācijai nepieciešamo atkritumu ieguves avotu alternatīvas, kā arī sniegts vērtējums par attiecīgā atkritumu veida pieejamību projekta dzīves ciklā.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- 24.10.2023.)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noteikumu projekta 17.punktu ar nosacījumu, kas izriet no Komisijas regulas Nr. 651/2014 47.panta 5.punkta, ka atbalsts nedrīkst stimulēt resursu lielāku izmantošanu un attiecīgi precizēt noteikumu projekta anotāciju. Vēršam uzmanību, ka no Komisijas regulas Nr. 651/2014 47.panta 5.punkta izriet, ka atbalsts kopumā nedrīkst stimulēt atkritumu rašanos vai resursu lielāku izmantošanu, tāpēc pat, ja ieguldījumi tiek veikti jaunās iekārtās, ir jāpārliecinās, ka atbalsta saņēmējs, saņemot šādu atbalstu, neīstenos resursu lielāku izmantošanu.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Komisijas regulas Nr. 651/2014 47. pants aptver plašāku darbību tvērumu kā tikai atkritumu pārstrāde. Regulējums piemērojams plaša spektra darbībām (tās norādītas 47. panta 2. punkta a - d apakšpunktos) – aprites ekonomikas principu īstenošanai jebkurā saimniecības nozarē (ne tikai atkritumu apsaimniekošanas), atkritumu dalītai vākšanai, atkritumu šķirošanai u.c. Līdz ar to ne visas Komisijas regulas Nr. 651/2014 47. panta prasības var tikt piemērotas specifiski tikai vienas no regulējuma aptverošās darbības jeb atkritumu pārstrādes gadījumā. Piemēram, resursu lielākas izmantošanas ierobežošanas pienākums (47. panta 5. punkts) jēgpilni var tikt piemērots tikai tādām darbībām, kur to patiešām ir iespējams izmērīt, un tās norādītas 47. panta 2. punkta a apakšpunktā. Tās ir darbības, kur tiek atbalstīta nevis atkritumu pārstrāde, bet gan resursefektivitāte. Kā skaidrots 47. panta 2. punkta a apakšpunkta i punktā, resursu samazinājumu nosaka, izmērot vai aplēšot patēriņu pirms un pēc atbalsta pasākuma īstenošanas. Līdz ar to gadījumos, ja tiek veidota jauna atkritumu pārstrādes iekārta (atbilstoši 47. panta 2. punkta b apakšpunkta daļā par trešo personu radītu atkritumu pārstrādi (reciklēšanu)) norādītajam), resursu patēriņš pirms atbalsta pasākuma īstenošanas nerodas (enerģija minētā panta kontekstā netiek uzskatīta par to resursu veidu, kā patēriņu varētu samazināt ar šo investīciju palīdzību). Tādējādi jau pats nosacījums par jaunas iekārtas izveidi nozīmē, ka resursu patēriņa līdz tam brīdim nav. Būtībā resursu lielāka patēriņa ierobežojums  izslēgtu iespēju atbalstīt jaunu iekārtu izveidi, jo jebkura jauna darbība pieprasīs vairāk resursu nekā tad, ja darbību neveic. VARAM ir analizējusi 47. pantā iekļautos nosacījumus un piemērojusi tos tiktāl, cik to var attiecināt tieši uz atkritumu pārstrādi.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 Projekta iesniegumam pievieno pārstrādājamo atkritumu pieejamības un pastāvīgas plūsmas nodrošinājuma aprakstu, ievērojot regulas Nr. 651/2014 47. panta 5. punkta nosacījumu, ka atbalsts nedrīkst stimulēt atkritumu rašanos. Aprakstā norādīta atkritumu izcelsme un izvērtētas iekārtu ekspluatācijai nepieciešamo atkritumu ieguves avotu alternatīvas, kā arī sniegts vērtējums par attiecīgā atkritumu veida pieejamību projekta dzīves ciklā.</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21.1. iegādātie aktīvi ir jauni;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- 24.10.2023.)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anotācijas V sadaļas 1. tabulā attiecībā uz noteikumu projekta 21.1.apakšpunktā noteiktā nosacījuma atbilstību Komisijas regulas Nr.651/2014 47.panta 7.punktam, norādīt, ka ar šo normu tiek paredzētas stingrākas prasības nekā Komisijas regulas Nr.651/2014 47.panta 7.punkta prasībās noteikts.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Anotācijā veikts atbilstošs papildinājums.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20.1. iegādātie aktīvi ir jauni;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 Atlases kārtas ietvaros plāno tiešās attiecināmās izmaksas.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- 24.10.2023.)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izvērtēt iespējami plašāku vienkāršoto izmaksu piemērošanu. Ja piemērot vienkāršotās izmaksas nav iespējams, lūdzam papildināt anotāciju ar argumentāciju (iekļaujot aspektus, kas apgrūtina piemērot vienkāršotās izmaksas kā piemēram, izmaksu dažādība, datu pieejamība utt.) attiecībā uz vienkāršoto izmaksu nepiemērošanu. Vēršam uzmanību, ka 200 000 euro slieksnis attiecas uz obligāto vienkāršoto izmaksu piemērošanu, taču vienkāršotās izmaksas var piemērot jebkādām projektu darbībām neatkarīgi no projekta lieluma.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Izvērtētas iespējas piemērot vienkāršotās izmaksas, kā rezultātā secināts, ka pastāv vispārināšanas risks, kas var precīzi neatspoguļot standartizētus izmaksu aprēķinus vai fiksētas likmes. Tā rezultātā specifiskos gadījumos vienkāršoto izmaksu piemērošana var pilnā apmērā nesegt radušās izmaksas. Skaidrojam, ka katra atkritumu pārstrādes iekārta ir unikāla ar tai piemītošu specifiku. Iekārtā izmantotais atkritumu veids, pārstrādes metode, radītā produkta kvalitāte un iekārtas jauda ir būtiskākie ietekmējošie faktori, kas jāņem vērā, nosakot kopējās izmaksas. Iepriekšējos gados izveidoto atkritumu pārstrādes iekārtu (jo sevišķi ne bioloģiski noārdāmo atkritumu) skaits ir pārāk mazs, lai informāciju par izmaksām varētu jēgpilni analizēt un piemērot vispārinātā veidā. Pieejamā datu kopa ir pārāk šaura. Turklāt jāņem vērā, ka citos gadījumos, kad atkritumu pārstrādes iekārtas izveidotas par privāto finansējumu, informācija nav iegūstama, jo lielākoties ir komercnoslēpums.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 Atlases kārtas ietvaros plāno tiešās attiecināmās izmaksas.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24.3. mērķu sasniegšanai paredzēto tehnoloģisko iekārtu iegādes, uzstādīšanas un ieregulēšanas izmaksas, ja uzstādīšanas un ieregulēšanas izmaksas veido tehnoloģisko iekārtu vērtību;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- 24.10.2023.)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noteikumu projektu ar nosacījumu, kas izriet no Komisijas regulas Nr.651/2014 47.panta 6. punkta, ka noteiktos ieguldījumus, kas saistīti ar tehnoloģijām, kuras veido jau rentablu iedibinātu komercpraksi Savienības līmenī, saskaņā ar šo pantu nav atbrīvoti no Līguma 108. panta 3. punktā noteiktās paziņošanas prasības. Skaidrojam, ka, piešķirot atbalstu, saskaņā ar Komisijas regulas Nr.651/2014 47.pantu, ir jāpārliecinās par atbilstību arī Komisijas regulas Nr.651/2014 47.panta 6. punktam.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47. panta 6. punkts paredz gadījumus, kad ieguldījumi, kas saistīti ar tehnoloģijām, kas veido jau rentablu iedibinātu komercpraksi Eiropas Savienības līmenī, nav atbrīvojami no paziņošanas prasības. Skaidrojam, ka atkritumu pārstrādes iekārtu gadījumā katrs iekārtu veids tiek individuāli pielāgots pasūtītāja vajadzībām, kas ņem vērā pārstrādājamo atkritumu veidu, piemaisījumu struktūru, pārstrādes gala produkta prasības u.c. Līdz ar to nepastāv atvērta veida datu reģistrs, kas ļautu pārbaudīt tehnoloģiju apkopojumu, jo iekārtas ir savstarpēji nesalīdzināmas. 47. panta 6. punktā nav arī norādīts, kāda veida saistība ir jāpārbauda. Tāpat nepastāv regulējums, kas ļautu pēc noteiktām pazīmēm identificēt rentablu komercpraksi Savienības līmenī. Tādējādi norma netiek pārņemta, jo nav iespējams to piemērot un pārbaudīt.</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23.3. mērķu sasniegšanai paredzēto tehnoloģisko iekārtu iegādes, uzstādīšanas un ieregulēšanas izmaksas, ja uzstādīšanas un ieregulēšanas izmaksas veido projekta ietvaros iegādāto tehnoloģisko iekārtu vērtību;</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27. Izmaksas ir attiecināmas no projekta iesnieguma iesniegšanas dienas sadarbības iestādē, izņemot šo noteikumu </w:t>
            </w:r>
            <w:r w:rsidR="00000000" w:rsidRPr="00000000" w:rsidDel="00000000">
              <w:rPr>
                <w:rtl w:val="0"/>
              </w:rPr>
              <w:t xml:space="preserve">23.1. </w:t>
            </w:r>
            <w:r w:rsidR="00000000" w:rsidRPr="00000000" w:rsidDel="00000000">
              <w:rPr>
                <w:rtl w:val="0"/>
              </w:rPr>
              <w:t xml:space="preserve">apakšpunktā</w:t>
            </w:r>
            <w:r w:rsidR="00000000" w:rsidRPr="00000000" w:rsidDel="00000000">
              <w:rPr>
                <w:rtl w:val="0"/>
              </w:rPr>
              <w:t xml:space="preserve"> minētās būvprojekta izstrādes izmaksas, kas ir attiecināmas no 2023. gada 1. jūlija.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- 06.02.2024.)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Komisijas Regula Nr.651/2014 ir piemērojama tikai tādām izmaksām, kas radušās pēc projekta pieteikuma iesniegšanas sadarbības iestādē. Izmaksas par būvprojekta izstrādes pakalpojumu, kas veiktas pirms projekta pieteikuma iesniegšanas sadarbības iestādē, ir vai nu jāsedz projekta īstenotājam vai iespējams piemērot de minimis regulējumu. Attiecīgi lūdzam precizēt noteikumus un anotāciju.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Ņemts vērā, nosakot, ka būvprojekta izstrādes izmaksas tiek segtas 100% no privātā līdzfinansējuma vai </w:t>
            </w:r>
            <w:r w:rsidR="00000000" w:rsidRPr="00000000" w:rsidDel="00000000">
              <w:rPr>
                <w:i w:val="1"/>
                <w:rtl w:val="0"/>
              </w:rPr>
              <w:t xml:space="preserve">de minimis</w:t>
            </w:r>
            <w:r w:rsidR="00000000" w:rsidRPr="00000000" w:rsidDel="00000000">
              <w:rPr>
                <w:rtl w:val="0"/>
              </w:rPr>
              <w:t xml:space="preserve"> (skatīt 24. punktu). Tādējādi tiek saglabāta norma, ka būvprojekta izstrādes izmaksas var būt radušās no 2023. gada 1. jūlija.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27. Izmaksas ir attiecināmas no projekta iesnieguma iesniegšanas dienas sadarbības iestādē, izņemot šo noteikumu </w:t>
            </w:r>
            <w:r w:rsidR="00000000" w:rsidRPr="00000000" w:rsidDel="00000000">
              <w:rPr>
                <w:rtl w:val="0"/>
              </w:rPr>
              <w:t xml:space="preserve">23.1. </w:t>
            </w:r>
            <w:r w:rsidR="00000000" w:rsidRPr="00000000" w:rsidDel="00000000">
              <w:rPr>
                <w:rtl w:val="0"/>
              </w:rPr>
              <w:t xml:space="preserve">apakšpunktā</w:t>
            </w:r>
            <w:r w:rsidR="00000000" w:rsidRPr="00000000" w:rsidDel="00000000">
              <w:rPr>
                <w:rtl w:val="0"/>
              </w:rPr>
              <w:t xml:space="preserve"> minētās būvprojekta izstrādes izmaksas, kas ir attiecināmas no 2023. gada 1. jūlija.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30. Projektā var paredzēt līdzekļus neparedzētiem izdevumiem, kas nepārsniedz piecus procentus no projekta kopējām attiecināmajām izmaksām. Neparedzētie izdevumi ir izdevumi tādu papildu darbu vai pakalpojumu veikšanai, kas neparedzamu apstākļu dēļ ir kļuvuši nepieciešami, lai varētu izpildīt civiltiesiskā līguma par projekta īstenošanu nosacījumus un izmantotu ar projekta īstenošanu saistīto attiecināmo izmaksu segšanai. Neparedzēto izmaksu izmantošanu pirms izmaksu veikšanas finansējuma saņēmējs saskaņo ar sadarbības iestādi.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- 24.10.2023.)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anotāciju ar pamatojumu, pēc kura tika noteikts noteikumu projekta 30.punktā minētais procentuālais neparedzēto izdevumu apmērs šim pasākumam. Vēršam uzmanību, ka saskaņā ar Finanšu ministrijas izstrādātajām vadlīnijām attiecināmo izmaksu noteikšanai Eiropas Savienības kohēzijas politikas programmas 2021.–2027.gada plānošanas periodā katram pasākumam neparedzēto izdevumu procentuālais apmērs ir izvērtējams individuāli, atkarībā no tā, cik apjomīgus un sarežģītus projektus paredzēts īstenot attiecīgajā pasākumā.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Anotācijā veikts papildu precizējums. Skaidrojam, ka neparedzētie izdevumi noteikti saskaņā ar Vadlīnijās attiecināmo izmaksu noteikšanai Eiropas Savienības kohēzijas politikas programmas 2021.–2027.gada plānošanas periodā noteikto ierobežojumu. ES fondu 2014. - 2020. gada plānošanas perioda atkritumu pārstrādes projektu īstenošana liecina, ka šo projektu ieviešanas termiņš ir ne mazāks kā divi gadi, to ieviešana mēdz būt sarežģīta, jo pārstrādes tehnoloģiskās iekārtas ir jāveido piemērotas specifiski vietai un izvēlētajam atkritumu veidam.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30. Projektā var paredzēt līdzekļus neparedzētiem izdevumiem, kas nepārsniedz piecus procentus no projekta kopējām attiecināmajām izmaksām. Neparedzētie izdevumi ir izdevumi tādu papildu darbu vai pakalpojumu veikšanai, kas kļuvuši nepieciešami, lai varētu izpildīt civiltiesiskā līguma par projekta īstenošanu nosacījumus un izmantotu ar projekta īstenošanu saistīto attiecināmo izmaksu segšanai. Neparedzēto izmaksu izmantošanu pirms izmaksu veikšanas finansējuma saņēmējs saskaņo ar sadarbības iestādi.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37. Īstenojot projektu, finansējuma saņēmējs: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- 24.10.2023.)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noteikumu projekta 37.punktu, ka finansējuma saņēmējs nodrošina nepārklāšanās principu ar citiem valsts un ārvalstu finanšu atbalsta instrumentiem un dubultā finansējuma neiestāšanos, kā arī atbalsta summēšanas (kumulācijas) nosacījumu ievērošanu.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Papildināts, ietverot 37.10. apakšpunktu.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37. Īstenojot projektu, finansējuma saņēmējs: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37.10. novērš interešu konflikta risku saskaņā ar Eiropas Parlamenta un Padomes 2018. gada 18. jūlija Regulas (ES, Euratom) Nr. 2018/1046</w:t>
            </w:r>
            <w:r w:rsidR="00000000" w:rsidRPr="00000000" w:rsidDel="00000000">
              <w:rPr>
                <w:i w:val="1"/>
                <w:rtl w:val="0"/>
              </w:rPr>
              <w:t xml:space="preserve"> par finanšu noteikumiem, ko piemēro Savienības vispārējam budžetam, ar kuru groza Regulas (ES) Nr. 1296/2013, (ES) Nr. 1301/2013, (ES) Nr. 1303/2013, (ES) Nr. 1304/2013, (ES) Nr. 1309/2013, (ES) Nr. 1316/2013, (ES) Nr. 223/2014, (ES) Nr. 283/2014 un Lēmumu Nr. 541/2014/ES un atceļ Regulu (ES, Euratom) Nr. 966/2012</w:t>
            </w:r>
            <w:r w:rsidR="00000000" w:rsidRPr="00000000" w:rsidDel="00000000">
              <w:rPr>
                <w:rtl w:val="0"/>
              </w:rPr>
              <w:t xml:space="preserve">, 61. panta prasībām.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- 24.10.2023.)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izteikt noteikumu projekta 37.10. apakšpunktu jaunā redakcijā. Ņemot vērā Eiropas Komisijas sniegto skaidrojumu, noteikumu projekta 37.10. apakšpunktā minētās regulas 61. panta prasības nav tiešā veidā attiecināmas uz privātpersonām.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atbilstoši precizēt arī anotāciju.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37.10. finansējuma saņēmējs projekta īstenošanas laikā nodrošina interešu konflikta neesamību.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tiesību norma un anotācija.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37.9. nodrošina interešu konflikta neesamību;</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 Ar komercdarbības atbalsta saņemšanu saistītie nosacījumi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- 24.10.2023.)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paredzēt nosacījumu, ka de minimis atbalsta gadījumā pirms atbalsta piešķiršanas atbalsta sniedzējs lūdz atbalsta pretendentam iesniegt de minimis atbalsta uzskaites sistēmā sagatavotas veidlapas izdruku vai norādīt sistēmā izveidotās un apstiprinātās pretendenta veidlapas identifikācijas numuru, ievērojot normatīvos aktus par de minimis atbalsta uzskaites un piešķiršanas kārtību un de minimis atbalsta uzskaites veidlapu paraugiem.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papildināts ar 47.4. apakšpunktu.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 Komercdarbības atbalsta piešķiršanas nosacījumi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 Ar komercdarbības atbalsta saņemšanu saistītie nosacījumi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- 24.10.2023.)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noteikumu projekta V sadaļu ar nosacījumiem, kas izriet no Komisijas regulas Nr.651/2014 47.panta 4. un 10.punkta.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Skaidrojam, ka 47.panta 4. punkts var tikt piemērots tikai tādām investīciju programmām, kur tiek sniegts atbalsts paša uzņēmuma darbības rezultātā radīto atkritumu apsaimniekošanai. Piemēram, tas būtu gadījums, ja autoservisā rastos naftas produktu atkritumi, kam obligāti pirms nodošanas pārstrādei būtu jāveic kāda no priekšapstrādes darbībām. Attiecīgi šāda veida izmaksas nevar tikt segtas gadījumā, ja ir atbilstoša investīciju programma. Tomēr attiecībā uz 2.2.2.1. pasākuma projektu iesniegumu atlases pirmo kārtu tas neattiecas, jo atkritumu pārstrādes iekārtu gadījumā tiek pārstrādāti trešo personu radīti atkritumi un nevis paša komersanta radīti atkritumi.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Attiecībā uz 47. panta 10. punktu skaidrojam, ka ar Savienības standartu saprot pienākumu izmantot labākos pieejamos tehniskos paņēmienus (saskaņā ar Komisijas regulas Nr. 651/2014 2. panta 102. apakšpunkta b punktā norādīto). Pienākums šos paņēmienus piemērot ir A kategorijas piesārņojošas darbības veicējiem, savukārt citu kategoriju piesārņojošu darbību veicējiem to piemērošana ir brīvprātīga. Tomēr  47. panta 10. punktā norādīts, ka ieguldījumus nepiešķir gadījumos, kad ir jāpanāk atbilstība šim Standartam jeb labākajiem pieejamiem tehniskajiem paņēmieniem. Līdz ar to ir secināms, ka norma attiecināma uz esošām iekārtām, kas to šobrīd nenodrošina. Tā kā atbalsts 2.2.2.1. pasākuma projektu iesniegumu atlases pirmajā kārtā paredzēts jaunu iekārtu izveidei, 47. panta 10. punkta regulējums nav piemērojams, jo tiks veidotas tikai jaunas pārstrādes iekārtas, ievērojot kompetento iestāžu tehniskos noteikumus, kuru izpilde nodrošinās iekārtas darbību atbilstoši pieļaujamajiem piesārņojuma līmeņiem.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Par Savienības standartu neuzskata mērķrādītājus, kas noteikti Savienības līmenī un ir saistoši dalībvalsts līmenī. Par tādu ir uzskatāms, piemēram, pienākums nodrošināt konkrēta procentuālā apmēra atkritumu pārstrādi nacionālā līmenī.</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 Komercdarbības atbalsta piešķiršanas nosacījumi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47.2. pirms </w:t>
            </w:r>
            <w:r w:rsidR="00000000" w:rsidRPr="00000000" w:rsidDel="00000000">
              <w:rPr>
                <w:i w:val="1"/>
                <w:rtl w:val="0"/>
              </w:rPr>
              <w:t xml:space="preserve">de minimis </w:t>
            </w:r>
            <w:r w:rsidR="00000000" w:rsidRPr="00000000" w:rsidDel="00000000">
              <w:rPr>
                <w:rtl w:val="0"/>
              </w:rPr>
              <w:t xml:space="preserve">atbalsta piešķiršanas pārbauda, vai projekta iesniedzējam minētais atbalsts nepalielina nevienā trīs gadu periodā saņemtā </w:t>
            </w:r>
            <w:r w:rsidR="00000000" w:rsidRPr="00000000" w:rsidDel="00000000">
              <w:rPr>
                <w:i w:val="1"/>
                <w:rtl w:val="0"/>
              </w:rPr>
              <w:t xml:space="preserve">de minimis </w:t>
            </w:r>
            <w:r w:rsidR="00000000" w:rsidRPr="00000000" w:rsidDel="00000000">
              <w:rPr>
                <w:rtl w:val="0"/>
              </w:rPr>
              <w:t xml:space="preserve">atbalsta kopējo apmēru līdz līmenim, kas pārsniedz regulas Nr. 2023/2831 3. panta 2. punktā noteikto maksimālo</w:t>
            </w:r>
            <w:r w:rsidR="00000000" w:rsidRPr="00000000" w:rsidDel="00000000">
              <w:rPr>
                <w:i w:val="1"/>
                <w:rtl w:val="0"/>
              </w:rPr>
              <w:t xml:space="preserve"> de minimis</w:t>
            </w:r>
            <w:r w:rsidR="00000000" w:rsidRPr="00000000" w:rsidDel="00000000">
              <w:rPr>
                <w:rtl w:val="0"/>
              </w:rPr>
              <w:t xml:space="preserve"> atbalsta apmēru jeb 300 000 </w:t>
            </w:r>
            <w:r w:rsidR="00000000" w:rsidRPr="00000000" w:rsidDel="00000000">
              <w:rPr>
                <w:i w:val="1"/>
                <w:rtl w:val="0"/>
              </w:rPr>
              <w:t xml:space="preserve">euro </w:t>
            </w:r>
            <w:r w:rsidR="00000000" w:rsidRPr="00000000" w:rsidDel="00000000">
              <w:rPr>
                <w:rtl w:val="0"/>
              </w:rPr>
              <w:t xml:space="preserve">vienam vienotam uzņēmumam. Izvērtējot finanšu atbalsta apmēru, jāvērtē saņemtais </w:t>
            </w:r>
            <w:r w:rsidR="00000000" w:rsidRPr="00000000" w:rsidDel="00000000">
              <w:rPr>
                <w:i w:val="1"/>
                <w:rtl w:val="0"/>
              </w:rPr>
              <w:t xml:space="preserve">de minimis </w:t>
            </w:r>
            <w:r w:rsidR="00000000" w:rsidRPr="00000000" w:rsidDel="00000000">
              <w:rPr>
                <w:rtl w:val="0"/>
              </w:rPr>
              <w:t xml:space="preserve">atbalsts viena vienota uzņēmuma līmenī. Viens vienots uzņēmums ir tāds uzņēmums, kas atbilst regulas Nr. 2023/2831 2. panta 2. punktā minētajiem kritērijiem;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- 06.02.2024.)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noteikumu 47.2. apakšpunkta redakciju pret Komisijas regulas Nr. 2023/2831 3. panta 2. punktā lietoto formulējumu, ka </w:t>
            </w:r>
            <w:r w:rsidR="00000000" w:rsidRPr="00000000" w:rsidDel="00000000">
              <w:rPr>
                <w:i w:val="1"/>
                <w:rtl w:val="0"/>
              </w:rPr>
              <w:t xml:space="preserve">de minimis</w:t>
            </w:r>
            <w:r w:rsidR="00000000" w:rsidRPr="00000000" w:rsidDel="00000000">
              <w:rPr>
                <w:rtl w:val="0"/>
              </w:rPr>
              <w:t xml:space="preserve"> kopsummu kopā ar plānoto ir jāpārbauda trīs gadu periodā skaitot </w:t>
            </w:r>
            <w:r w:rsidR="00000000" w:rsidRPr="00000000" w:rsidDel="00000000">
              <w:rPr>
                <w:u w:val="single"/>
                <w:rtl w:val="0"/>
              </w:rPr>
              <w:t xml:space="preserve">no </w:t>
            </w:r>
            <w:r w:rsidR="00000000" w:rsidRPr="00000000" w:rsidDel="00000000">
              <w:rPr>
                <w:i w:val="1"/>
                <w:u w:val="single"/>
                <w:rtl w:val="0"/>
              </w:rPr>
              <w:t xml:space="preserve">de minimis</w:t>
            </w:r>
            <w:r w:rsidR="00000000" w:rsidRPr="00000000" w:rsidDel="00000000">
              <w:rPr>
                <w:u w:val="single"/>
                <w:rtl w:val="0"/>
              </w:rPr>
              <w:t xml:space="preserve"> atbalsta piešķiršanas lēmuma pieņemšanas dienas</w:t>
            </w:r>
            <w:r w:rsidR="00000000" w:rsidRPr="00000000" w:rsidDel="00000000">
              <w:rPr>
                <w:rtl w:val="0"/>
              </w:rPr>
              <w:t xml:space="preserve">. Atbilstoši aicinām precizēt arī anotāciju, norādot, ka Komisijas regulas Nr. 2023/2831 ietvaros trīs gadu laikposms ir jāvērtē kā slīdošs periods un attiecībā uz katru jaunu </w:t>
            </w:r>
            <w:r w:rsidR="00000000" w:rsidRPr="00000000" w:rsidDel="00000000">
              <w:rPr>
                <w:i w:val="1"/>
                <w:rtl w:val="0"/>
              </w:rPr>
              <w:t xml:space="preserve">de minimis</w:t>
            </w:r>
            <w:r w:rsidR="00000000" w:rsidRPr="00000000" w:rsidDel="00000000">
              <w:rPr>
                <w:rtl w:val="0"/>
              </w:rPr>
              <w:t xml:space="preserve"> atbalsta piešķiršanu jāņem vērā </w:t>
            </w:r>
            <w:r w:rsidR="00000000" w:rsidRPr="00000000" w:rsidDel="00000000">
              <w:rPr>
                <w:i w:val="1"/>
                <w:rtl w:val="0"/>
              </w:rPr>
              <w:t xml:space="preserve">de minimis</w:t>
            </w:r>
            <w:r w:rsidR="00000000" w:rsidRPr="00000000" w:rsidDel="00000000">
              <w:rPr>
                <w:rtl w:val="0"/>
              </w:rPr>
              <w:t xml:space="preserve"> atbalsta kopsumma, kas piešķirta iepriekšējos trīs gados.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Veikts atbilstošs precizējums, kā arī papildināta anotācija ar skaidrojumu.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47.2. pirms </w:t>
            </w:r>
            <w:r w:rsidR="00000000" w:rsidRPr="00000000" w:rsidDel="00000000">
              <w:rPr>
                <w:i w:val="1"/>
                <w:rtl w:val="0"/>
              </w:rPr>
              <w:t xml:space="preserve">de minimis </w:t>
            </w:r>
            <w:r w:rsidR="00000000" w:rsidRPr="00000000" w:rsidDel="00000000">
              <w:rPr>
                <w:rtl w:val="0"/>
              </w:rPr>
              <w:t xml:space="preserve">atbalsta piešķiršanas pārbauda, vai projekta iesniedzējam plānotais</w:t>
            </w:r>
            <w:r w:rsidR="00000000" w:rsidRPr="00000000" w:rsidDel="00000000">
              <w:rPr>
                <w:i w:val="1"/>
                <w:rtl w:val="0"/>
              </w:rPr>
              <w:t xml:space="preserve"> de minimis</w:t>
            </w:r>
            <w:r w:rsidR="00000000" w:rsidRPr="00000000" w:rsidDel="00000000">
              <w:rPr>
                <w:rtl w:val="0"/>
              </w:rPr>
              <w:t xml:space="preserve"> atbalsts kopā ar iepriekšējos trīs gados no atbalsta piešķiršanas dienas saņemto </w:t>
            </w:r>
            <w:r w:rsidR="00000000" w:rsidRPr="00000000" w:rsidDel="00000000">
              <w:rPr>
                <w:i w:val="1"/>
                <w:rtl w:val="0"/>
              </w:rPr>
              <w:t xml:space="preserve">de minimis </w:t>
            </w:r>
            <w:r w:rsidR="00000000" w:rsidRPr="00000000" w:rsidDel="00000000">
              <w:rPr>
                <w:rtl w:val="0"/>
              </w:rPr>
              <w:t xml:space="preserve">atbalstu viena vienota uzņēmuma līmenī nepārsniedz regulas Nr. 2023/2831 3. panta 2. punktā noteikto robežlielumu jeb 300 000 </w:t>
            </w:r>
            <w:r w:rsidR="00000000" w:rsidRPr="00000000" w:rsidDel="00000000">
              <w:rPr>
                <w:i w:val="1"/>
                <w:rtl w:val="0"/>
              </w:rPr>
              <w:t xml:space="preserve">euro</w:t>
            </w:r>
            <w:r w:rsidR="00000000" w:rsidRPr="00000000" w:rsidDel="00000000">
              <w:rPr>
                <w:rtl w:val="0"/>
              </w:rPr>
              <w:t xml:space="preserve">. Viens vienots uzņēmums ir tāds uzņēmums, kas atbilst regulas Nr. 2023/2831 2. panta 2. punktā minētajiem kritērijiem;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- 24.10.2023.)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anotācijas 3.sadaļas 6.punktā norādīt prognozēto KF finansējuma apmēru sadalījumā pa gadiem visam pasākuma īstenošanas periodam, līdz 2029.gadam ieskaitot.</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Veikti precizējumi, norādot budžeta izdevuma prognozes atbilstoši 2024. gada 16. janvārī aktualizētajai situācijai.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5.4. 1. tabula. Tiesību akta projekta atbilstība ES tiesību aktiem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- 24.10.2023.)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pārskatīt un precizēt atbilstības izvērtējumu pret Komisijas regulas Nr.651/2014 attiecīgajām normām. Vēršam uzmanību, ka šobrīd, piemēram, ir nekorekti norādīts atbilstības izvērtējums 4.punktam, kuram jābūt nevis pret Komisijas regulas Nr.651/2014 2.panta 2.punktu, bet gan Komisijas regulas Nr.651/2014 2.panta 24.punktu (attiecībā uz lielo uzņēmumu definīciju) un Komisijas regulas Nr.651/2014 I pielikumam (attiecībā uz MVU definīciju).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Pārskatīta atbilstība un atbilstoši precizēta anotācija.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5.4. 1. tabula. Tiesību akta projekta atbilstība ES tiesību aktiem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 atbalstāmo darbību un izmaksu attiecināmības nosacījumus, kā arī nosacījumus, kas jāievēro, lai saņemtu valsts atbalstu komercdarbībai (turpmāk – komercdarbības atbalsts).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- 24.10.2023.)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aizstāt noteikumu projekta 1.5. apakšpunktā vārdus "valsts atbalstu komercdarbībai (turpmāk – komercdarbības atbalsts)" ar vārdiem "komercdarbības atbalstu", ņemot vērā Eiropas Savienības fondu 2021.–2027. gada plānošanas perioda vadības likuma 19. panta 13. punktā ietverto deleģējumu.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Veikts atbilstošs precizējums.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 atbalstāmo darbību, izmaksu attiecināmības un komercdarbības atbalsta piešķiršanas nosacījumus.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Atlases kārtas mērķis ir atbalstīt atkritumu pārstrādes iekārtu izveidi.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- 24.10.2023.)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noteikumu projektu ar mērķa grupu.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Vadlīniju Ministru kabineta noteikumu par specifiskā atbalsta mērķa īstenošanu izstrādei Eiropas Savienības fondu 2021.—2027. gada plānošanas periodā II nodaļas 3. punktu mērķa grupu var nedefinēt. ES kohēzijas politikas programmā 2021. – 2027. gadam (turpmāk – Programma) attiecībā uz 2.2.2.SAM “Pārejas uz aprites ekonomiku veicināšana” galvenās mērķgrupas noteiktas plaši – tās ir iedzīvotāji, privātais sektors, tai skaitā biedrības un nodibinājumi un sociālie uzņēmumi, pašvaldības un visa sabiedrība kopumā. Iekļaujot MK noteikumu projektā mērķa grupu, būtu nepieciešams tā atbilstības noteikšanai paredzēt vērtēšanas kritēriju. Tomēr tā kā MK noteikumu projektā finansējuma saņēmējs ir skaidri definēts, anotācijā un Programmā sniegts risināmās problēmas apraksts un noteikts risinājums tai (veidot pārstrādes iekārtas), uzskatām, ka nav lietderīgi iekļaut norādi par mērķa grupu, jo informācija par to dublētos ar to, kas jau iekļauta MK noteikumu projektā, anotācijā un Programmā.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Atlases kārtas mērķis ir atbalstīt atkritumu pārstrādes iekārtu izveidi.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5.3. rezultāta rādītājs – pārstrādāto atkritumu apjoms. Rezultāta rādītāja vērtība tiek sasniegta, ja atlases kārtas projektu ietvaros veikti ieguldījumi atkritumu pārstrādes iekārtu izveidē atbilstoši šo noteikumu </w:t>
            </w:r>
            <w:r w:rsidR="00000000" w:rsidRPr="00000000" w:rsidDel="00000000">
              <w:rPr>
                <w:rtl w:val="0"/>
              </w:rPr>
              <w:t xml:space="preserve">5.2. </w:t>
            </w:r>
            <w:r w:rsidR="00000000" w:rsidRPr="00000000" w:rsidDel="00000000">
              <w:rPr>
                <w:rtl w:val="0"/>
              </w:rPr>
              <w:t xml:space="preserve">apakšpunktā</w:t>
            </w:r>
            <w:r w:rsidR="00000000" w:rsidRPr="00000000" w:rsidDel="00000000">
              <w:rPr>
                <w:rtl w:val="0"/>
              </w:rPr>
              <w:t xml:space="preserve"> noteiktajā apjomā, sasniedzot pārstrādāto atkritumu apjomu 223 000 tonnas gadā.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- 06.02.2024.)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Atkārtoti lūdzam precizēt noteikumu projekta 5.3. apakšpunktu, norādot sasniedzamo rezultāta rādītāja vērtību 102 500 tonnas gadā atbilstoši plānotajam rādītājam ES kohēzijas politikas programmā 2021.-2027.gadam.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Veikts atbilstošs precizējums, kā arī papildināta anotācija.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5.3. rezultāta rādītājs – pārstrādāto atkritumu apjoms. Rezultāta rādītāja vērtība tiek sasniegta, ja atlases kārtas projektu ietvaros veikti ieguldījumi atkritumu pārstrādes iekārtu izveidē atbilstoši šo noteikumu </w:t>
            </w:r>
            <w:r w:rsidR="00000000" w:rsidRPr="00000000" w:rsidDel="00000000">
              <w:rPr>
                <w:rtl w:val="0"/>
              </w:rPr>
              <w:t xml:space="preserve">5.2. </w:t>
            </w:r>
            <w:r w:rsidR="00000000" w:rsidRPr="00000000" w:rsidDel="00000000">
              <w:rPr>
                <w:rtl w:val="0"/>
              </w:rPr>
              <w:t xml:space="preserve">apakšpunktā</w:t>
            </w:r>
            <w:r w:rsidR="00000000" w:rsidRPr="00000000" w:rsidDel="00000000">
              <w:rPr>
                <w:rtl w:val="0"/>
              </w:rPr>
              <w:t xml:space="preserve"> noteiktajā apjomā, sasniedzot pārstrādāto atkritumu apjomu 102 500 tonnas gadā.</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5.3. rezultāta rādītājs – pārstrādāto atkritumu apjoms. Rezultāta rādītāja vērtība tiek sasniegta, ja atlases kārtas projektu ietvaros veikti ieguldījumi atkritumu pārstrādes iekārtu izveidē atbilstoši šo noteikumu </w:t>
            </w:r>
            <w:r w:rsidR="00000000" w:rsidRPr="00000000" w:rsidDel="00000000">
              <w:rPr>
                <w:rtl w:val="0"/>
              </w:rPr>
              <w:t xml:space="preserve">5.1. </w:t>
            </w:r>
            <w:r w:rsidR="00000000" w:rsidRPr="00000000" w:rsidDel="00000000">
              <w:rPr>
                <w:rtl w:val="0"/>
              </w:rPr>
              <w:t xml:space="preserve">apakšpunktā</w:t>
            </w:r>
            <w:r w:rsidR="00000000" w:rsidRPr="00000000" w:rsidDel="00000000">
              <w:rPr>
                <w:rtl w:val="0"/>
              </w:rPr>
              <w:t xml:space="preserve"> noteiktajā apjomā, sasniedzot pārstrādāto atkritumu apjomu 223 000 tonnas gadā.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- 24.10.2023.)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skaidrot, vai rādītājs būs sasniegts norādītajā termiņā, ņemot vērā 35.punkta nosacījumu, ka uzskaiti veic pēcuzraudzības periodā.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Skaidrojam, ka saskaņā ar SAM rādītāju metodoloģijas aprakstu rādītājs uzskatāms par sasniegtu projekta pēcuzraudzības projekta pirmā gada beigās atbilstoši informācijai, kas norādīta projektu pēcuzraudzības pārskatos (piemēram, ja projekti tiek pabeigti 2029. gadā, tad rādītājs tiek noteikts pēc izpildes pirmajā pēcuzraudzības gadā - 2030. gadā). Šāda norāde iekļauta EK metodiskajos norādījumos (</w:t>
            </w:r>
            <w:r w:rsidR="00000000" w:rsidRPr="00000000" w:rsidDel="00000000">
              <w:rPr>
                <w:i w:val="1"/>
                <w:rtl w:val="0"/>
              </w:rPr>
              <w:t xml:space="preserve">fiches</w:t>
            </w:r>
            <w:r w:rsidR="00000000" w:rsidRPr="00000000" w:rsidDel="00000000">
              <w:rPr>
                <w:rtl w:val="0"/>
              </w:rPr>
              <w:t xml:space="preserve">) par rādītājiem. Attiecīgi precizēts skaidrojums anotācijā un MK noteikumu projekts.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5.3. rezultāta rādītājs – pārstrādāto atkritumu apjoms. Rezultāta rādītāja vērtība tiek sasniegta, ja atlases kārtas projektu ietvaros veikti ieguldījumi atkritumu pārstrādes iekārtu izveidē atbilstoši šo noteikumu </w:t>
            </w:r>
            <w:r w:rsidR="00000000" w:rsidRPr="00000000" w:rsidDel="00000000">
              <w:rPr>
                <w:rtl w:val="0"/>
              </w:rPr>
              <w:t xml:space="preserve">5.2. </w:t>
            </w:r>
            <w:r w:rsidR="00000000" w:rsidRPr="00000000" w:rsidDel="00000000">
              <w:rPr>
                <w:rtl w:val="0"/>
              </w:rPr>
              <w:t xml:space="preserve">apakšpunktā</w:t>
            </w:r>
            <w:r w:rsidR="00000000" w:rsidRPr="00000000" w:rsidDel="00000000">
              <w:rPr>
                <w:rtl w:val="0"/>
              </w:rPr>
              <w:t xml:space="preserve"> noteiktajā apjomā, sasniedzot pārstrādāto atkritumu apjomu 102 500 tonnas gadā.</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 Projekta iesniedzējs saskaņā ar projektu iesniegumu atlases nolikuma prasībām elektroniski sagatavo projekta iesniegumu un iesniedz to sadarbības iestādē, izmantojot Kohēzijas politikas fondu vadības informācijas sistēmu.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- 24.10.2023.)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svītrot noteikumu projekta 16. punktā vārdu "elektroniski", lai nerastos interpretācijas iespējas. Vēršam uzmanību, ka atbilstoši Kohēzijas politikas fondu vadības informācijas sistēmas funkcionalitātei, sistēmā ir iestrādāti projekta iesnieguma datu lauku, kuros tiek norādīta atbilstoša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Veikts atbilstošs precizējums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 Projekta iesniedzējs saskaņā ar projektu iesniegumu atlases nolikuma prasībām sagatavo projekta iesniegumu un iesniedz to sadarbības iestādē, izmantojot Kohēzijas politikas fondu vadības informācijas sistēmu.</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 Projekta iesniedzējs atbilstoši sadarbības iestādes izstrādātajiem metodiskajiem norādījumiem veic projekta izmaksu un ieguvumu analīzi (finanšu analīzi un ekonomisko analīzi), ievērojot, ka projekta: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- 24.10.2023.)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noteikumu projektu, norādot, ka noteikumu projekta 18. punktā minētā projekta izmaksu un ieguvumu analīze tiks pievienota projekta iesniegumam.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Veikts atbilstošs precizējums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 Projekta iesniedzējs atbilstoši sadarbības iestādes izstrādātajiem metodiskajiem norādījumiem veic projekta izmaksu un ieguvumu analīzi (finanšu analīzi un ekonomisko analīzi), ko pievieno projekta iesniegumam, ievērojot, ka projekta: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 Projekta iesniedzējs Valsts vides dienestā vismaz 45 darbdienas pirms projekta iesnieguma iesniegšanas termiņa iesniedz plānotās pārstrādes iekārtas dokumentāciju latviešu valodā (tehnisko specifikāciju un citu papildinošu dokumentāciju par iekārtas plānoto darbību, ja tāda pieejama). Valsts vides dienests 15 darbdienu laikā no šajā punktā minētās informācijas saņemšanas dienas sagatavo un izsniedz projekta iesniedzējam atzinumu par projektā plānotās iekārtas pārstrādes darbības rezultātā radušos produktu vai otrreizējo izejvielu. Projekta iesniedzējs atzinumu pievieno projekta iesniegumam.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- 24.10.2023.)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tas ietekmē projektu iesniegšanas termiņu un atlases procesu kopumā, lūdzam anotācijā skaidrot 19. punktā noteiktos termiņus, proti, kādēļ dokumentācija VVD atzinuma saņemšanai jāiesniedz vismaz 45 darba dienas pirms projekta iesnieguma iesniegšanas, ja VVD atzinums tiek sniegts 15 darba dienu laikā.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punkts, nenorādot iesniegšanas termiņu. Normas būtība ir norādīt, ka atzinums pievienojams projekta iesniegumam, tāpēc projekta iesniedzējam jārēķinās ar laiku, kādā VVD dokumentu izsniegs.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 Projekta iesniedzējs Valsts vides dienestā iesniedz plānotās pārstrādes iekārtas dokumentāciju latviešu valodā (tehnisko specifikāciju un citu papildinošu dokumentāciju par iekārtas plānoto darbību, ja tāda pieejama). Valsts vides dienests 15 darbdienu laikā sagatavo un izsniedz projekta iesniedzējam atzinumu par projektā plānotās iekārtas pārstrādes darbības rezultātā radušos produktu vai otrreizējo izejvielu. Projekta iesniedzējs atzinumu pievieno projekta iesniegumam, ko iesniedz sadarbības iestādē atbilstoši šo noteikumu </w:t>
            </w:r>
            <w:r w:rsidR="00000000" w:rsidRPr="00000000" w:rsidDel="00000000">
              <w:rPr>
                <w:rtl w:val="0"/>
              </w:rPr>
              <w:t xml:space="preserve">15. </w:t>
            </w:r>
            <w:r w:rsidR="00000000" w:rsidRPr="00000000" w:rsidDel="00000000">
              <w:rPr>
                <w:rtl w:val="0"/>
              </w:rPr>
              <w:t xml:space="preserve">punktā</w:t>
            </w:r>
            <w:r w:rsidR="00000000" w:rsidRPr="00000000" w:rsidDel="00000000">
              <w:rPr>
                <w:rtl w:val="0"/>
              </w:rPr>
              <w:t xml:space="preserve"> noteiktajai kārtībai.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 Atlases kārtas ietvaros ieguldījumus veic tādos materiālajos aktīvos kā ražošanas telpas jeb ēkas, tehnika, tai skaitā transportlīdzekļi, iekārtas un aprīkojums, kas ir ieguldījumi pamatlīdzekļos ar nosacījumu, ka: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- 24.10.2023.)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uz Finanšu ministrijas izstrādāto vadlīniju attiecināmo izmaksu noteikšanai Eiropas Savienības kohēzijas politikas programmas 2021.–2027.gada plānošanas periodā 16.apakšpunktā norādīto 44.atsauci, proti, ka saskaņā ar Eiropas Parlamenta un Padomes 2021. gada 24. jūnija regulas (ES) 2021/1057, ar ko izveido Eiropas Sociālo fondu Plus (ESF+) un atceļ Regulu (ES) Nr. 1296/2013 7.panta 1.punkta h) punkta  iii)apakšpunktu iespējams iegādāties tikai tādus transportlīdzekļus, kas atbilst direktīvas Nr.2009/33/EC nosacījumiem un to atbildīgā iestāde, izstrādājot MK noteikumus par investīciju īstenošanu, norāda sākotnējās ietekmes izvērtējumā (anotācijā). Līdz ar to aicinām izvērtēt iespēju papildināt anotāciju, vienlaikus precizējot noteikumu projekta 21.punktu un 24.4. apakšpunktu, norādot paredzēto transportlīdzekļu veidu.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Veikti precizējumi, norādot, ka ar to domāta traktortehnika. Skaidrojam, ka šajā pasākumā plānota dažāda veida tehnisko iekārtu iegāde, kas projektā nodrošina atkritumu pārstrādes darbību. Tie ir, piemēram, iekrāvēji, pacēlāji, celtņi, ekskavatori u.tml. komunālā vai traktortehnika. Tie uzskatāmi par pārvietojamiem agregātiem, kurus neizmanto ceļu satiksmē. Šajā investīciju pasākumā nav atbalstāma tādu transportlīdzekļu iegāde, uz kuriem attiektos Eiropas Parlamenta un Padomes Direktīva 2009/33/EK (2009. gada 23. aprīlis) </w:t>
            </w:r>
            <w:r w:rsidR="00000000" w:rsidRPr="00000000" w:rsidDel="00000000">
              <w:rPr>
                <w:i w:val="1"/>
                <w:rtl w:val="0"/>
              </w:rPr>
              <w:t xml:space="preserve">par tīro un energoefektīvo autotransporta līdzekļu izmantošanas veicināšanu</w:t>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 Atlases kārtas ietvaros ieguldījumus veic atkritumu pārstrādei nepieciešamos pamatlīdzekļos, tai skaitā tādos materiālajos aktīvos kā ražošanas telpas jeb ēkas, tehnika, tai skaitā traktortehnika, iekārtas, aprīkojums un ar to saistītā infrastruktūra, ievērojot, ka: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22.6. nekustamā īpašuma iegādei;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- 24.10.2023.)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novērst pretrunu ar 21.punktu, kas paredz, ka var ieguldīt finansējumu jaunos aktīvos, t.sk. ēkās.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Skaidrojam, ka noteikumu projekts pieļauj veikt būvdarbus, veicot tos jau esošā būvapjomā (esošu ēku pārbūve un atjaunošana) vai arī būvēt jaunu ēku (piemēram, angāru un citas saimnieciska rakstura ēkas). Līdz ar to pretrunu nesaskatām, jo 21.6. apakšpunkts ierobežo projekta iesniedzēju iegādāties nekustamo īpašumu (ar to domājot zemesgabalu vai atsevišķas esošas ēkas). Noteikumu projekts precizēts.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21.6. nekustamā īpašuma (zemesgabalu, ēku) iegādei;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24.1. būvprojekta izstrādes, autoruzraudzības un būvdarbu būvuzraudzības izmaksas, ja to veikšanu nosaka būvniecības jomu regulējošie normatīvie akti, nepārsniedzot 10 procentus no projekta kopējām attiecināmajām izmaksām, ja šīs izmaksas veido projekta ietvaros radīto pamatlīdzekļu vērtību;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- 24.10.2023.)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izvērtēt pēdējā palīgteikuma "ja šīs izmaksas veido projekta ietvaros radīto pamatlīdzekļu vērtību" nepieciešamību, jo pamatlīdzekļu vērtību nosaka pēc grāmatvedības normatīviem un konkrēta uzņēmuma grāmatvedības politikas.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Pēc izvērtēšanas secināts, ka noteikumu projekta apakšpunkta pēdējais palīgteikums ir būtiski nepieciešams no komercdarbības atbalsta regulējuma nosacījumiem, lai šādas izmaksas varētu finansēt no publiskajiem finanšu resursiem. Skaidrojam, ka atbalsts tiek sniegts materiālajiem aktīviem. Savukārt tehniskais projekts vai iekārtu ieregulēšanas izmaksas nav uzskatāmas tiešā veidā kā materiālie aktīvi. Komisijas Regula Nr.651/2014 skaidro, ka ar nemateriālajiem aktīviem saprot tādus aktīvus kā patenti, licences, zinātība vai cits intelektuālais īpašums. VARAM izpratnē būvprojekta izstrādes, autoruzraudzības, būvuzraudzības un iekārtu uzstādīšanas un ieregulēšanas izmaksas nav uzskatāmas par nemateriālajiem aktīviem, tāpēc tiek saglabāta norāde par to, ka šīm izmaksām ir jāveido materiālo aktīvu jeb pamatlīdzekļu vērtība, jo tikai tādā veidā ir iespējams to sasaistīt ar nosacījumu par atbalstu materiālajiem aktīviem.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23.1. būvprojekta izstrādes, autoruzraudzības un būvdarbu būvuzraudzības izmaksas, ja to veikšanu nosaka būvniecības jomu regulējošie normatīvie akti, nepārsniedzot 10 procentus no projekta kopējām attiecināmajām izmaksām, ja šīs izmaksas veido projekta ietvaros radīto pamatlīdzekļu vērtību;</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24.3. mērķu sasniegšanai paredzēto tehnoloģisko iekārtu iegādes, uzstādīšanas un ieregulēšanas izmaksas, ja uzstādīšanas un ieregulēšanas izmaksas veido tehnoloģisko iekārtu vērtību;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- 24.10.2023.)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izvērtēt pēdējā palīgteikuma "ja uzstādīšanas un ieregulēšanas izmaksas veido tehnoloģisko iekārtu vērtību" nepieciešamību, jo parasti šie pakalpojumi ietilpst piegādes līgumos un nav iespējams pieņemt iekārtu ekspluatācijā bez uzstādīšanas un ieregulēšanas.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Pēc izvērtēšanas secināts, ka noteikumu projekta apakšpunkta pēdējais palīgteikums ir būtiski nepieciešams no komercdarbības atbalsta regulējuma nosacījumiem, lai šādas izmaksas varētu finansēt no publiskajiem finanšu resursiem. Skaidrojam, ka atbalsts tiek sniegts materiālajiem aktīviem. Savukārt tehniskais projekts vai iekārtu ieregulēšanas izmaksas nav uzskatāmas tiešā veidā kā materiālie aktīvi. Komisijas Regula Nr.651/2014 skaidro, ka ar nemateriālajiem aktīviem saprot tādus aktīvus kā patenti, licences, zinātība vai cits intelektuālais īpašums. VARAM izpratnē būvprojekta izstrādes, autoruzraudzības, būvuzraudzības un iekārtu uzstādīšanas un ieregulēšanas izmaksas nav uzskatāmas par nemateriālajiem aktīviem, tāpēc tiek saglabāta norāde par to, ka šīm izmaksām ir jāveido materiālo aktīvu jeb pamatlīdzekļu vērtība, jo tikai tādā veidā ir iespējams to sasaistīt ar nosacījumu par atbalstu materiālajiem aktīviem.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23.3. mērķu sasniegšanai paredzēto tehnoloģisko iekārtu iegādes, uzstādīšanas un ieregulēšanas izmaksas, ja uzstādīšanas un ieregulēšanas izmaksas veido projekta ietvaros iegādāto tehnoloģisko iekārtu vērtību;</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24.5.1. ar projekta darbībām tieši saistīto publicitātes pasākumu izmaksas, kas veiktas saskaņā ar normatīvajiem aktiem par kārtību, kādā 2021.–2027. gada plānošanas periodā publisko informāciju par projektiem un nodrošina Eiropas Savienības fondu publicitātes, saziņas un vizuālās identitātes prasību ieviešanu, bet nepārsniedzot vienu procentus no projekta kopējām tiešajām attiecināmajām izmaksām;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- 24.10.2023.)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svītrot noteikumu projekta 24.5.1. apakšpunktā vārdus un skaitļus "kas veiktas saskaņā ar normatīvajiem aktiem par kārtību, kādā 2021.–2027. gada plānošanas periodā publisko informāciju par projektiem un nodrošina Eiropas Savienības fondu publicitātes, saziņas un vizuālās identitātes prasību ieviešanu", kā arī atbilstoši precizēt anotāciju, ņemot vērā, ka attiecīgā normatīvā akta nav.</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ņemot vērā Eiropas Savienības fondu 2021. - 2027.gada plānošanas periodā izveidojošos praksi un horizontālajos normatīvajos aktos lietoto jēdzienu "komunikācijas un vizuālās identitātes prasību nodrošināšanas nosacījumi", aicinām izvērtēt un pēc nepieciešamības precizēt noteikumu projekta 24.5. un 37.1. apakšpunktu un anotāciju.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Veikti atbilstoši precizējumi abos minētajos apakšpunktos.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23.5.1. komunikācijas un vizuālās identitātes prasību nodrošināšanai, bet nepārsniedzot vienu procentu no projekta kopējām tiešajām attiecināmajām izmaksām;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26. Šo noteikumu </w:t>
            </w:r>
            <w:r w:rsidR="00000000" w:rsidRPr="00000000" w:rsidDel="00000000">
              <w:rPr>
                <w:rtl w:val="0"/>
              </w:rPr>
              <w:t xml:space="preserve">24.5.1. </w:t>
            </w:r>
            <w:r w:rsidR="00000000" w:rsidRPr="00000000" w:rsidDel="00000000">
              <w:rPr>
                <w:rtl w:val="0"/>
              </w:rPr>
              <w:t xml:space="preserve">apakšpunktā</w:t>
            </w:r>
            <w:r w:rsidR="00000000" w:rsidRPr="00000000" w:rsidDel="00000000">
              <w:rPr>
                <w:rtl w:val="0"/>
              </w:rPr>
              <w:t xml:space="preserve"> noteiktās izmaksas pilnā apmērā finansē no Kohēzijas fonda finansējuma un tas nekvalificējas kā komercdarbības atbalsts.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- 24.10.2023.)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izvērtēt iespēju precizēt noteikumu projekta 26.punkta redakciju, lai nerastos pārpratumi, ka noteikumu projekta 24.5.1.apakšpunktā minētās izmaksas pilnā apmērā (jeb 100% apmērā) tiek finansētas no Kohēzijas fonda.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Veikts atbilstošs precizējums.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25. Šo noteikumu </w:t>
            </w:r>
            <w:r w:rsidR="00000000" w:rsidRPr="00000000" w:rsidDel="00000000">
              <w:rPr>
                <w:rtl w:val="0"/>
              </w:rPr>
              <w:t xml:space="preserve">23.5.1. </w:t>
            </w:r>
            <w:r w:rsidR="00000000" w:rsidRPr="00000000" w:rsidDel="00000000">
              <w:rPr>
                <w:rtl w:val="0"/>
              </w:rPr>
              <w:t xml:space="preserve">apakšpunktā</w:t>
            </w:r>
            <w:r w:rsidR="00000000" w:rsidRPr="00000000" w:rsidDel="00000000">
              <w:rPr>
                <w:rtl w:val="0"/>
              </w:rPr>
              <w:t xml:space="preserve"> noteiktās izmaksas 100 procentu apmērā finansē no Kohēzijas fonda finansējuma un tas nekvalificējas kā komercdarbības atbalsts.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29. Izmaksas, kas saskaņā ar šiem noteikumiem nav iekļaujamas projektā kā attiecināmās izmaksas, ir finansējamas ārpus projekta par finansējuma saņēmēja līdzekļiem, par kuriem nav saņemts nekāds komercdarbības atbalsts. Ārpus projekta nedrīkst paredzēt izmaksas par darbībām, kas tiešā veidā nodrošina projekta mērķa sasniegšanu.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- 24.10.2023.)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noteikumu projekta 29.punkta otro teikumu, precizējot ierobežojumu, vai izmaksas, kas būs attiecināmas uz projektu, bet neiekļausies projekta budžetā (pēc iepirkuma veikšanas būs lielāka summa, nekā plānots), finansējuma saņēmējs nevarēs segt no saviem līdzekļiem ārpus projekta.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Veikts atbilstošs precizējums, sasaistot to ar nosacījumu, ka projekta sadārdzinājuma gadījumā finansējuma saņēmējs tās sedz no saviem līdzekļiem, kas brīvi no komercdarbības atbalsta. Līdz ar to vienīgās izmaksas, kas var tikt paredzētas ārpus projekta un vienlaikus tiešā veidā nodrošina projekta mērķu sasniegšanu, ir pēc būtības sadārdzinājuma izmaksas, kas minētas noteikumu projekta 37.3. apakšpunktā.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 pēc projekta iesnieguma apstiprināšanas, veicot būvdarbu vai iekārtu piegādes iepirkumu, tiek secināts, ka plānotās attiecināmās izmaksas ir lielākas nekā sākotnēji plānots, tas netiek uzskatīts par sadārdzinājumu (sadārdzinājums iespējams tikai jau spēkā esošos līgumos par būvniecību vai iekārtu piegādi). Attiecīgi finansējuma saņēmējam ir jāveic grozījumi līgumā par projekta īstenošanu, palielinot attiecināmās izmaksas, vienlaikus nemainot tam piešķirto Kohēzijas fonda finansējuma apmēru (tātad tiek palielināts privātais līdzfinansējums).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29. Izmaksas, kas saskaņā ar šiem noteikumiem nav iekļaujamas projektā kā attiecināmās izmaksas, ir finansējamas ārpus projekta par finansējuma saņēmēja līdzekļiem, par kuriem nav saņemts nekāds komercdarbības atbalsts. Ārpus projekta nedrīkst paredzēt izmaksas par darbībām, kas tiešā veidā nodrošina projekta mērķa sasniegšanu, izņemot šo noteikumu </w:t>
            </w:r>
            <w:r w:rsidR="00000000" w:rsidRPr="00000000" w:rsidDel="00000000">
              <w:rPr>
                <w:rtl w:val="0"/>
              </w:rPr>
              <w:t xml:space="preserve">37.3. </w:t>
            </w:r>
            <w:r w:rsidR="00000000" w:rsidRPr="00000000" w:rsidDel="00000000">
              <w:rPr>
                <w:rtl w:val="0"/>
              </w:rPr>
              <w:t xml:space="preserve">apakšpunktā</w:t>
            </w:r>
            <w:r w:rsidR="00000000" w:rsidRPr="00000000" w:rsidDel="00000000">
              <w:rPr>
                <w:rtl w:val="0"/>
              </w:rPr>
              <w:t xml:space="preserve"> minētās izmaksas.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29. Izmaksas, kas saskaņā ar šiem noteikumiem nav iekļaujamas projektā kā attiecināmās izmaksas, ir finansējamas ārpus projekta par finansējuma saņēmēja līdzekļiem, par kuriem nav saņemts nekāds komercdarbības atbalsts. Ārpus projekta nedrīkst paredzēt izmaksas par darbībām, kas tiešā veidā nodrošina projekta mērķa sasniegšanu, izņemot šo noteikumu </w:t>
            </w:r>
            <w:r w:rsidR="00000000" w:rsidRPr="00000000" w:rsidDel="00000000">
              <w:rPr>
                <w:rtl w:val="0"/>
              </w:rPr>
              <w:t xml:space="preserve">37.3. </w:t>
            </w:r>
            <w:r w:rsidR="00000000" w:rsidRPr="00000000" w:rsidDel="00000000">
              <w:rPr>
                <w:rtl w:val="0"/>
              </w:rPr>
              <w:t xml:space="preserve">apakšpunktā</w:t>
            </w:r>
            <w:r w:rsidR="00000000" w:rsidRPr="00000000" w:rsidDel="00000000">
              <w:rPr>
                <w:rtl w:val="0"/>
              </w:rPr>
              <w:t xml:space="preserve"> minētās izmaksas.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- 06.02.2024.)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izziņas 27.punktā sniegto skaidrojumu, lūdzam izvērtēt vai šī punkta otrā teikuma nosacījuma iekļaušana nerada risku projektu iesniegumu sagatavošanu ar ļoti zemu Kohēzijas fonda finansējuma procentuālo daļu attiecināmajās izmaksās. Tāpat vēršam uzmanību, ka līguma grozījumu veikšana ar likmju izmaiņām liek atkārtoti izvērtēt projekta atbilstību atlases nosacījumiem un atklātas projektu iesniegumu atlases gadījumā, ja bija paredzēts vērtēšanas kritērijos, var ietekmēt sākotnējo lēmumu par projekta apstiprināšanu.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Skaidrojam, ka norma iekļauta, lai ārpus projekta netiktu paredzētas darbības, kas ietekmē projekta mērķa vai iznākuma rādītāja vērtības sasniegšanu. Attiecīgi izmaksu palielinājuma gadījumā ir jāgroza līgums par projekta īstenošanu un izmaksas jāiekļauj projektā kā attiecināmās privātā līdzfinansējuma izmaksas. Tas nozīmē, ka, esot nemainīgam projektā piešķirtajam Kohēzijas fonda finansējumam, vienlaikus palielinot projekta privāto līdzfinansējumu, samazinās Kohēzijas fonda intensitāte. Izņēmuma gadījums, kad ārpus projekta var paredzēt izmaksas, kas tiešā veidā ietekmē projekta mērķi vai iznākuma rādītāju, ir sadārdzinājums. Tas projekta ieviešanas gaitā iespējams tikai īstenošanā esošos līgumos. Iepriekšējos plānošanas periodos sadārdzinājumu paredzēja projektā kā neattiecināmās izmaksas, kas šajā plānošanas periodā nav iespējams. Atlases kārtā nav iespējama situācija, kurā tiktu palielināta Kohēzijas fonda atbalsta likme, salīdzinot ar situāciju uz projekta apstiprināšanas brīdi. To liedz arī komercdarbības atbalsta regulējums. Attiecīgi projektu iesniedzēji būs ieinteresēti jau sākotnēji noteikt augstāko iespējamo Kohēzijas fonda finansējuma daļu attiecināmajās izmaksās.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Izvērtējot 2.2.2.1. pasākuma pirmās atlases kārtas projektu iesniegumu vērtēšanas kritērijus, VARAM secina, ka vienīgais kritērijs, ko ietekmē attiecināmo izmaksu palielinājums, ir kritērijs par pasākumiem sabiedrības izglītošanai un vides apziņas celšanai. Tajā tiek vērtēts, cik lielu daļu no projekta attiecināmajām izmaksām paredzēt novirzīt minētajiem izglītošanas pasākumiem. Projekta īstenošanas laikā palielinoties projekta kopējām attiecināmajām izmaksām, finansējuma saņēmējam ir jānodrošina tāds pats punktu skaits (1 vai 3 punkti), kāds tam piešķirts, projekta iesniegumu apstiprinot.</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norādām, ka situācija, kad projektā tiek plānots lielāks privātā līdzfinansējuma apmērs, nekā minimāli nodrošināmais, ir uzskatāma par pozitīvu, jo potenciāli sniedz iespēju apstiprināt vairāk projektu.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29. Izmaksas, kas saskaņā ar šiem noteikumiem nav iekļaujamas projektā kā attiecināmās izmaksas, ir finansējamas ārpus projekta par finansējuma saņēmēja līdzekļiem, par kuriem nav saņemts nekāds komercdarbības atbalsts. Ārpus projekta nedrīkst paredzēt izmaksas par darbībām, kas tiešā veidā nodrošina projekta mērķa sasniegšanu, izņemot šo noteikumu </w:t>
            </w:r>
            <w:r w:rsidR="00000000" w:rsidRPr="00000000" w:rsidDel="00000000">
              <w:rPr>
                <w:rtl w:val="0"/>
              </w:rPr>
              <w:t xml:space="preserve">37.3. </w:t>
            </w:r>
            <w:r w:rsidR="00000000" w:rsidRPr="00000000" w:rsidDel="00000000">
              <w:rPr>
                <w:rtl w:val="0"/>
              </w:rPr>
              <w:t xml:space="preserve">apakšpunktā</w:t>
            </w:r>
            <w:r w:rsidR="00000000" w:rsidRPr="00000000" w:rsidDel="00000000">
              <w:rPr>
                <w:rtl w:val="0"/>
              </w:rPr>
              <w:t xml:space="preserve"> minētās izmaksas.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30. Projektā var paredzēt līdzekļus neparedzētiem izdevumiem, kas nepārsniedz piecus procentus no projekta kopējām attiecināmajām izmaksām. Neparedzētie izdevumi ir izdevumi tādu papildu darbu vai pakalpojumu veikšanai, kas neparedzamu apstākļu dēļ ir kļuvuši nepieciešami, lai varētu izpildīt civiltiesiskā līguma par projekta īstenošanu nosacījumus un izmantotu ar projekta īstenošanu saistīto attiecināmo izmaksu segšanai. Neparedzēto izmaksu izmantošanu pirms izmaksu veikšanas finansējuma saņēmējs saskaņo ar sadarbības iestādi.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- 24.10.2023.)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Ierosinām precizēt šo punktu, svītrojot tajā "neparedzamu apstākļu dēļ", jo projektā var rasties arī cita veida neplānoti izdevumi.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Veikts atbilstošs precizējums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30. Projektā var paredzēt līdzekļus neparedzētiem izdevumiem, kas nepārsniedz piecus procentus no projekta kopējām attiecināmajām izmaksām. Neparedzētie izdevumi ir izdevumi tādu papildu darbu vai pakalpojumu veikšanai, kas kļuvuši nepieciešami, lai varētu izpildīt civiltiesiskā līguma par projekta īstenošanu nosacījumus un izmantotu ar projekta īstenošanu saistīto attiecināmo izmaksu segšanai. Neparedzēto izmaksu izmantošanu pirms izmaksu veikšanas finansējuma saņēmējs saskaņo ar sadarbības iestādi.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37.1. nodrošina regulas Nr. 2021/1060 47. un 50. pantā noteiktos informācijas un publicitātes pasākumus saskaņā ar kārtību, kādā Eiropas Savienības fondu vadībā iesaistītās institūcijas nodrošina šo fondu ieviešanu 2021.–2027. gada plānošanas periodā, un Eiropas Savienības fondu 2021.–2027. gada plānošanas perioda un Atveseļošanas fonda komunikācijas un dizaina vadlīnijām;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- 24.10.2023.)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izteikt noteikumu projekta 37.1.apakšpunktu jaunā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37.1. nodrošina komunikācijas un vizuālās identitātes prasību nodrošināšanas pasākumus saskaņā ar Regulas Nr.2021/1060 47. un 50. pantu un normatīvajiem aktiem, kas nosaka kārtību, kādā Eiropas Savienības fondu vadībā iesaistītās institūcijas nodrošina šo fondu ieviešanu 2021.–2027.gada plānošanas periodā, kā arī ievēro Eiropas Savienības fondu 2021.–2027. gada plānošanas perioda un Atveseļošanas fonda komunikācijas un dizaina vadlīnijas.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Veikts atbilstošs precizējums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37.1. nodrošina komunikācijas un vizuālās identitātes pasākumus saskaņā ar regulas Nr. 2021/1060 47. pantu un 50. pantu un normatīvajiem aktiem, kas nosaka kārtību, kādā Eiropas Savienības fondu vadībā iesaistītās institūcijas nodrošina šo fondu ieviešanu 2021. – 2027. gada plānošanas periodā;</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37.7. uzkrāj datus par projekta ietekmi uz horizontālo principu īstenošanu projekta īstenošanas laikā un pēcuzraudzības periodā ievēro šādus principus: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- 06.02.2024.)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Apakšpunkta redakcija joprojām nosaka datu uzkrāšanu pēcuzraudzības periodā, tāpēc atkārtoti aicinām precizēt apakšpunktu iepriekš piedāvātajā redakcijā, kas nosaka datu uzkrāšanu tikai projekta īstenošanas laikā, bet principu ievērošanu abos minētajos periodos. Vai svītrot 37.7.apakšpunktā vārdus "pēcuzraudzības periodā".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37.7. projekta īstenošanas laikā uzkrāj datus par projekta ietekmi uz horizontālo principu īstenošanu un projekta īstenošanas laikā un pēcuzraudzības periodā ievēro principus: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Tiesību norma precizēta.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37.7. uzkrāj datus par projekta ietekmi uz horizontālo principu īstenošanu projekta īstenošanas laikā un ievēro šādus principus: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37.8. uzkrāj datus par projekta ietekmi uz horizontālo principu īstenošanu projekta īstenošanas un pēcuzraudzības laikā un ievēro šādus principus: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- 24.10.2023.)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nav paredzēta prasība uzkrāt datus par projekta ietekmi uz horizontālo principu īstenošanu pēcuzraudzības laikā, kā arī pasākumam nav noteikta ietekme uz horizontālo principu "Vienlīdzība, iekļaušana, nediskriminācija un pamattiesību ievērošana", lūdzam precizēt apakšpunktu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37.8. projekta īstenošanas laikā uzkrāj datus par projekta ietekmi uz horizontālo principu īstenošanu un projekta īstenošanas laikā un pēcuzraudzības periodā ievēro principus: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37.8.1. klimatdrošināšana;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37.8.2. nenodarīt būtisku kaitējumu;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37.8.3. vienlīdzība, iekļaušana, nediskriminācija un pamattiesību ievērošana;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Veikts atbilstošs precizējums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37.7. uzkrāj datus par projekta ietekmi uz horizontālo principu īstenošanu projekta īstenošanas laikā un ievēro šādus principus: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37.8.3. vienlīdzība, iekļaušana, nediskriminācija un pamattiesību ievērošana;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(LM - 20.10.2023.)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horizontālā principa "Vienlīdzība, iekļaušana, nediskriminācija un pamattiesību ievērošana" vadlīnijās [1] (turpmāk - HP VINPI) noteiktajam, lūdzam rast iespēju papildināt MK noteikumu projekta 37.8.3. apakšpunktā aiz vārdiem "vienlīdzība, iekļaušana, nediskriminācija un pamattiesību ievērošana"  pievienot norādi "ja attiecināms", liekot to iekavās.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Paskaidrojam, ka, saskaņā ar HP VINPI vadlīnijām, pasākumiem, kuriem nav ietekmes uz horizontālo principu finansējuma saņēmējam  nav jāparedz HP VINPI rādītājus, izņemot, ja pats finansējuma saņēmējs to izvēlas. Kā piemēru varam minēt sabiedrības izglītošanas un vides apziņu veicinošus pasākumus (MK noteikumu , kurus īstenojot finansējuma saņēmējs varētu uzkrāt datus par šādiem HP VINPI rādītājus: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Izstrādāto vai pilnveidoto stratēģiju, izglītības programmu, metodisko līdzekļu, vadlīniju, mācību līdzekļu (tai skaitā digitālo), skaits, kuros integrēti jautājumi par dzimumu līdztiesību, personu ar invaliditāti vienlīdzīgām iespējām, diskriminācijas novēršanu vecuma, etniskās piederības un citu iemeslu dēļ, kā arī pamattiesību jautājumi, tostarp par tiesiskajiem un praktiskajiem aspektiem;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Personu skaits, kuras ir piedalījušās apmācību programmās, kurās ir integrēti jautājumi par dzimumu līdztiesības, personu ar invaliditāti vienlīdzīgu iespēju, vecuma nediskriminācijas, etniskās u.c. piederības un pamattiesību jautājumiem, tostarp par  tiesiskajiem un praktiskajiem aspektiem.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Savukārt projektiem, kuros nav paredzēti izglītošanas pasākumi, bet, piemēram, tikai atkritumu pārstrādes iekārtu izveide, HP VINPI rādītāju piemērot būs neiespējami.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Vadlīnijas horizontālā principa “Vienlīdzība, iekļaušana, nediskriminācija un pamattiesību ievērošana” īstenošanai un uzraudzībai (2021-2027) (pieejamas šeit:https://www.lm.gov.lv/lv/vadlinijas-horizontala-principa-vienlidziba-ieklausana-nediskriminacija-un-pamattiesibu-ieverosana-istenosanai-un-uzraudzibai-2021-2027 )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37.8.3. vienlīdzība, iekļaušana, nediskriminācija un pamattiesību ievērošana (ja attiecināms).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Veikts atbilstošs precizējums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37.7.3. vienlīdzība, iekļaušana, nediskriminācija un pamattiesību ievērošana (ja attiecināms);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37.10. ir atbildīgs par dubultā finansējuma riska novēršanu un demarkācijas nodrošināšanu, lai projekta ietvaros plānotais komercdarbības atbalsts nepārklātos ar citiem valsts un ārvalstu finanšu atbalsta instrumentiem.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- 06.02.2024.)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Atkārtoti lūdzam precizēt noteikumu projekta 37.10. apakšpunktu, paredzot, ka finansējuma saņēmējs nodrošina nepārklāšanās principu ar citiem valsts un ārvalstu finanšu atbalsta instrumentiem un dubultā finansējuma neiestāšanos, kā arī atbilstoši komercdarbības atbalsta regulējamam – atbalsta summēšanas (kumulācijas) nosacījumu ievērošanu.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dubultā finansējuma riska novēršana un demarkācija nodrošināma attiecībā uz Eiropas Savienības fondu finansējumu kopumā, nevis tikai ar mērķi, lai projekta ietvaros plānotais </w:t>
            </w:r>
            <w:r w:rsidR="00000000" w:rsidRPr="00000000" w:rsidDel="00000000">
              <w:rPr>
                <w:u w:val="single"/>
                <w:rtl w:val="0"/>
              </w:rPr>
              <w:t xml:space="preserve">komercdarbības atbalsts</w:t>
            </w:r>
            <w:r w:rsidR="00000000" w:rsidRPr="00000000" w:rsidDel="00000000">
              <w:rPr>
                <w:rtl w:val="0"/>
              </w:rPr>
              <w:t xml:space="preserve"> nepārklātos ar citiem valsts un ārvalstu finanšu atbalsta instrumentiem.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Norma precizēta. Attiecībā uz komercdarbības atbalsta summēšanu noteikumu projektā jau iepriekš ir ticis iekļauts 41. punkts.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37.10. nodrošina dubultā finansējuma neiestāšanos un projektā plānoto darbību nepārklāšanos un to nefinansēšanu no citiem valsts un ārvalstu finanšu atbalsta instrumentiem vai citiem publiskiem līdzekļiem.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38. Ja sadarbības iestādei ir pieejami valsts budžeta līdzekļi, tā, izvērtējot plānotā avansa apmēru un tā pamatojumu un pamatojoties uz finansējuma saņēmēja rakstisku avansa pieprasījumu, pēc civiltiesiskā līguma par projekta īstenošanu noslēgšanas var piešķirt finansējuma saņēmējam avansu. Finansējuma saņēmējs avansa pieprasījumu sagatavo un sadarbības iestāde to apstiprina, ņemot vērā, ka plānotā avansa apmērs un tā pamatojums atbilst finansējuma saņēmēja spējai to izlietot sešu mēnešu laikā saimnieciskā gada ietvaros. Finansējuma saņēmējam avansu var piešķirt līdz 30 procentiem no projektam piešķirtā Kohēzijas fonda finansējuma, ievērojot, ka avansu var izmaksāt vairākos maksājumos un avansa un starpposma maksājumu kopsumma nepārsniedz 90 procentus no projektam piešķirtā Kohēzijas fonda finansējuma.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- 24.10.2023.)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projekta iesniedzēji pirmās atlases kārtas ietvaros ir paredzēti komersanti, ierosinām precizēt punktu, svītrojot tajā nosacījumu avansa apgūšanai saimnieciskā gada ietvaros.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Finansējuma saņēmējs avansa pieprasījumu sagatavo un sadarbības iestāde to apstiprina, ņemot vērā, ka plānotā avansa apmērs un tā pamatojums atbilst finansējuma saņēmēja spējai to izlietot sešu mēnešu laikā.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Veikts atbilstošs precizējums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38. Ja sadarbības iestādei ir pieejami valsts budžeta līdzekļi, tā, izvērtējot plānotā avansa apmēru un tā pamatojumu un pamatojoties uz finansējuma saņēmēja rakstisku avansa pieprasījumu, pēc civiltiesiskā līguma par projekta īstenošanu noslēgšanas var piešķirt finansējuma saņēmējam avansu. Finansējuma saņēmējs avansa pieprasījumu sagatavo un sadarbības iestāde to apstiprina, ņemot vērā, ka plānotā avansa apmērs un tā pamatojums atbilst finansējuma saņēmēja spējai to izlietot sešu mēnešu laikā. Finansējuma saņēmējam avansu var piešķirt līdz 30 procentiem no projektam piešķirtā Kohēzijas fonda finansējuma, ievērojot, ka avansu var izmaksāt vairākos maksājumos un avansa un starpposma maksājumu kopsumma nepārsniedz 90 procentus no projektam piešķirtā Kohēzijas fonda finansējuma.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39. Komercdarbības atbalstu šo noteikumu ietvaros piešķir saskaņā ar regulas Nr. 651/2014 47. pantu.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- 06.02.2024.)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Komercdarbības atbalstu šo noteikumu ietvaros piešķir arī saskaņā ar regulu Nr. 2023/2831, līdz ar to lūdzam precizēt noteikumu projekta 39.punktā norādīto teikumu.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Norma papildināta ar atsauci uz regulu Nr. 2023/2831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39. Komercdarbības atbalstu šo noteikumu ietvaros piešķir saskaņā ar regulas Nr. 651/2014 47. pantu un regulu Nr. 2023/2831.</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41. Izmaksas ir attiecināmas no projekta iesnieguma iesniegšanas dienas sadarbības iestādē, izņemot šo noteikumu </w:t>
            </w:r>
            <w:r w:rsidR="00000000" w:rsidRPr="00000000" w:rsidDel="00000000">
              <w:rPr>
                <w:rtl w:val="0"/>
              </w:rPr>
              <w:t xml:space="preserve">24.1. </w:t>
            </w:r>
            <w:r w:rsidR="00000000" w:rsidRPr="00000000" w:rsidDel="00000000">
              <w:rPr>
                <w:rtl w:val="0"/>
              </w:rPr>
              <w:t xml:space="preserve">apakšpunktā</w:t>
            </w:r>
            <w:r w:rsidR="00000000" w:rsidRPr="00000000" w:rsidDel="00000000">
              <w:rPr>
                <w:rtl w:val="0"/>
              </w:rPr>
              <w:t xml:space="preserve"> paredzētās būvprojekta izstrādes izmaksas, kas ir attiecināmas no 2023.gada 1. jūlija.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- 24.10.2023.)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izvērtēt, vai noteikumu projekta 41. punkts būtu pārceļams uz noteikumu projekta III nodaļu.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Punkts pārcelts uz III nodaļu.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43. Ja projekta darbības, izņemot šo noteikumu </w:t>
            </w:r>
            <w:r w:rsidR="00000000" w:rsidRPr="00000000" w:rsidDel="00000000">
              <w:rPr>
                <w:rtl w:val="0"/>
              </w:rPr>
              <w:t xml:space="preserve">24.1. </w:t>
            </w:r>
            <w:r w:rsidR="00000000" w:rsidRPr="00000000" w:rsidDel="00000000">
              <w:rPr>
                <w:rtl w:val="0"/>
              </w:rPr>
              <w:t xml:space="preserve">apakšpunktā</w:t>
            </w:r>
            <w:r w:rsidR="00000000" w:rsidRPr="00000000" w:rsidDel="00000000">
              <w:rPr>
                <w:rtl w:val="0"/>
              </w:rPr>
              <w:t xml:space="preserve"> paredzēto būvprojekta izstrādi, ir uzsāktas un izmaksas radušās pirms projekta iesnieguma iesniegšanas sadarbības iestādē, projekta iesniegums tiek noraidīts.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- 24.10.2023.)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izvērtēt noteikumu projekta 43. punkta nepieciešamību, ņemot vērā, ka noteikumu projekta 41.punkts jau nosaka attiecināmības termiņus.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Izvērtēta punkta nepieciešamība, kā rezultātā punkts tiek saglabāts. Skaidrojam, ka abu priekšlikumā minēto punktu mērķis ir atšķirīgs. Viens no punktiem skaidro, ka pirms projekta iesnieguma iesniegšanas var rasties attiecināmas izmaksas par būvprojekta un tehniskās dokumentācijas izstrādi, un tas nepārkāpj stimulējošas ietekmes nosacījumus. Savukārt otrs punkts jau specificē rīcību, kāda sadarbības iestādei ir jāveic, ja tiek konstatēts, ka kādas citas darbības, kas nav būvprojekts vai tehniskā dokumentācija, ir jau uzsākts veikt pirms projekta iesnieguma iesniegšanas un tās ir iekļautas projekta iesniegumā. Līdz ar to tiek saglabāti abi punkti.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42. Ja projekta darbības, izņemot šo noteikumu </w:t>
            </w:r>
            <w:r w:rsidR="00000000" w:rsidRPr="00000000" w:rsidDel="00000000">
              <w:rPr>
                <w:rtl w:val="0"/>
              </w:rPr>
              <w:t xml:space="preserve">23.1. </w:t>
            </w:r>
            <w:r w:rsidR="00000000" w:rsidRPr="00000000" w:rsidDel="00000000">
              <w:rPr>
                <w:rtl w:val="0"/>
              </w:rPr>
              <w:t xml:space="preserve">apakšpunktā</w:t>
            </w:r>
            <w:r w:rsidR="00000000" w:rsidRPr="00000000" w:rsidDel="00000000">
              <w:rPr>
                <w:rtl w:val="0"/>
              </w:rPr>
              <w:t xml:space="preserve"> minēto būvprojekta izstrādi, ir uzsāktas un izmaksas radušās pirms projekta iesnieguma iesniegšanas sadarbības iestādē, projekta iesniegums tiek noraidīts.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47. Projekta iesniedzējs atbilstoši regulas Nr. 651/2014 47. panta 7. punkta trešajai daļai projekta iesniegumā apraksta un pievieno dokumentārus pierādījumus, ka atbalsta nepiešķiršanas gadījumā ieguldījums netiktu veikts, piemēram, šādu iemeslu dēļ:</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- 24.10.2023.)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attiecībā uz Komisijas regulas Nr.651/2014 47. panta 7. punkta trešās daļas prasības piemērošanu Horvātija ir uzdevusi jautājumu Eiropas Komisijai ar mērķi saprast praktisko šī nosacījuma piemērošanu. Vēršam uzmanību, ka, ja Eiropas Komisijas atbilde uz Horvātijas jautājumu būs pretrunā ar šobrīd paredzēto, lūdzam  virzīt attiecīgus grozījumus noteikumu projektā, precizējot tā 47. punktu, lai nodrošinātu atbilstību Komisijas regulas Nr.651/2014 47. panta 7. punkta prasībām.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Regulāri pārbaudām jautājumus, uz kuriem Eiropas Komisijai lūgts sniegt atbildes 47. panta kontekstā. Kopīgo noteikumu regulas (CPR) ekspertu darba grupas sanāksmes laikā, kas notika 2023. gada 18. oktobrī, Eiropas Komisijas pārstāvjiem tika uzdots jautājums par hipotētisko scenāriju. Uz to tika atbildēts, ka šāds scenārijs var paredzēt arī situācijas, ka ieguldījumi netiek veikti. Precizējumi tiesību normā netiek veikti.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46. Projekta iesniedzējs atbilstoši regulas Nr. 651/2014 47. panta 7. punkta trešajai daļai projekta iesniegumā apraksta un pievieno dokumentārus pierādījumus, ka atbalsta nepiešķiršanas gadījumā ieguldījums netiktu veikts, piemēram, šādu iemeslu dēļ:</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47.1. </w:t>
            </w:r>
            <w:r w:rsidR="00000000" w:rsidRPr="00000000" w:rsidDel="00000000">
              <w:rPr>
                <w:i w:val="1"/>
                <w:rtl w:val="0"/>
              </w:rPr>
              <w:t xml:space="preserve">de minimis</w:t>
            </w:r>
            <w:r w:rsidR="00000000" w:rsidRPr="00000000" w:rsidDel="00000000">
              <w:rPr>
                <w:rtl w:val="0"/>
              </w:rPr>
              <w:t xml:space="preserve"> atbalstu piešķir, ievērojot regulas Nr. 2023/2831 1. panta 1. punkta a), b), c) un d) apakšpunktā minētos nozaru ierobežojumus un regulas Nr. 2023/2831 1. panta 1. punkta e) un f) apakšpunktā minētos darbības ierobežojumus. Ja komersants darbojas nozarēs, kas norādītas minētajā punktā, gan vienā, gan vairākās nozarēs vai citās darbības jomās, uz kurām attiecas šīs regulas darbības jomas, atbalstam, ko piešķir minētajām nozarēm vai darbības jomām, šo regulu piemēro ar nosacījumu, ka darbības vai izmaksas tiek nošķirtas, lai darbības nozarēs, kuras ir izslēgtas no šīs regulas darbības jomas, negūtu labumu no </w:t>
            </w:r>
            <w:r w:rsidR="00000000" w:rsidRPr="00000000" w:rsidDel="00000000">
              <w:rPr>
                <w:i w:val="1"/>
                <w:rtl w:val="0"/>
              </w:rPr>
              <w:t xml:space="preserve">de minimis </w:t>
            </w:r>
            <w:r w:rsidR="00000000" w:rsidRPr="00000000" w:rsidDel="00000000">
              <w:rPr>
                <w:rtl w:val="0"/>
              </w:rPr>
              <w:t xml:space="preserve">atbalsta, ko piešķir saskaņā ar šo regulu;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- 23.02.2024.)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viennozīmīgi būtu skaidrs, ka Komisijas regulas Nr. 2023/2831 1.panta 2.punktā minētais nodalīšanas pienākums ir attiecināms uz darbībām neatbalstāmajās nozarēs, lūdzam noteikumu 47.1.punktu precizēt, piemēram,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47.1. de minimis atbalstu piešķir, ievērojot regulas Nr. 2023/2831 1. panta 1. punkta a), b), c) un d) apakšpunktā minētos nozaru ierobežojumus un regulas Nr. 2023/2831 1. panta 1. punkta e) un f) apakšpunktā minētos darbības ierobežojumus. Ja komersants vienlaikus darbojas vienā vai vairākās nozarēs vai veic citas darbības sfērās, kas neietilpst Komisijas regulas Nr. 2023/2831 darbības jomā, tas nodrošina šo nozaru darbību vai izmaksu nodalīšanu saskaņā ar Komisijas regulas Nr. ​2023/2831 1. panta 2. punktu, lai darbības nozarēs, kuras ir izslēgtas no šīs regulas darbības jomas, negūtu labumu no de minimis atbalsta, ko piešķir saskaņā ar šo regulu;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Veikts tiesību normas precizējums atbilstoši norādītajam piemēram.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47.1. </w:t>
            </w:r>
            <w:r w:rsidR="00000000" w:rsidRPr="00000000" w:rsidDel="00000000">
              <w:rPr>
                <w:i w:val="1"/>
                <w:rtl w:val="0"/>
              </w:rPr>
              <w:t xml:space="preserve">de minimis</w:t>
            </w:r>
            <w:r w:rsidR="00000000" w:rsidRPr="00000000" w:rsidDel="00000000">
              <w:rPr>
                <w:rtl w:val="0"/>
              </w:rPr>
              <w:t xml:space="preserve"> atbalstu piešķir, ievērojot regulas Nr. 2023/2831 1. panta 1. punkta a), b), c) un d) apakšpunktā minētos nozaru ierobežojumus un regulas Nr. 2023/2831 1. panta 1. punkta e) un f) apakšpunktā minētos darbības ierobežojumus. Ja komersants vienlaikus darbojas vienā vai vairākās nozarēs vai veic citas darbības sfērās, kas neietilpst Komisijas regulas Nr. 2023/2831 darbības jomā, tas nodrošina šo nozaru darbību vai izmaksu nodalīšanu saskaņā ar komisijas regulas Nr. ​2023/2831 1. panta 2. punktu, lai darbības nozarēs, kuras ir izslēgtas no šīs regulas darbības jomas, negūtu labumu no </w:t>
            </w:r>
            <w:r w:rsidR="00000000" w:rsidRPr="00000000" w:rsidDel="00000000">
              <w:rPr>
                <w:i w:val="1"/>
                <w:rtl w:val="0"/>
              </w:rPr>
              <w:t xml:space="preserve">de minimis</w:t>
            </w:r>
            <w:r w:rsidR="00000000" w:rsidRPr="00000000" w:rsidDel="00000000">
              <w:rPr>
                <w:rtl w:val="0"/>
              </w:rPr>
              <w:t xml:space="preserve"> atbalsta, ko piešķir saskaņā ar šo regulu;</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47.3. </w:t>
            </w:r>
            <w:r w:rsidR="00000000" w:rsidRPr="00000000" w:rsidDel="00000000">
              <w:rPr>
                <w:i w:val="1"/>
                <w:rtl w:val="0"/>
              </w:rPr>
              <w:t xml:space="preserve">de minimis</w:t>
            </w:r>
            <w:r w:rsidR="00000000" w:rsidRPr="00000000" w:rsidDel="00000000">
              <w:rPr>
                <w:rtl w:val="0"/>
              </w:rPr>
              <w:t xml:space="preserve"> atbalsta uzskaiti veic saskaņā ar normatīvajiem aktiem par </w:t>
            </w:r>
            <w:r w:rsidR="00000000" w:rsidRPr="00000000" w:rsidDel="00000000">
              <w:rPr>
                <w:i w:val="1"/>
                <w:rtl w:val="0"/>
              </w:rPr>
              <w:t xml:space="preserve">de minimis</w:t>
            </w:r>
            <w:r w:rsidR="00000000" w:rsidRPr="00000000" w:rsidDel="00000000">
              <w:rPr>
                <w:rtl w:val="0"/>
              </w:rPr>
              <w:t xml:space="preserve"> atbalsta uzskaites un piešķiršanas kārtību un </w:t>
            </w:r>
            <w:r w:rsidR="00000000" w:rsidRPr="00000000" w:rsidDel="00000000">
              <w:rPr>
                <w:i w:val="1"/>
                <w:rtl w:val="0"/>
              </w:rPr>
              <w:t xml:space="preserve">de minimis</w:t>
            </w:r>
            <w:r w:rsidR="00000000" w:rsidRPr="00000000" w:rsidDel="00000000">
              <w:rPr>
                <w:rtl w:val="0"/>
              </w:rPr>
              <w:t xml:space="preserve"> atbalsta uzskaites veidlapu paraugiem. Dokumentāciju par atbalsta piešķiršanu saskaņā ar regulas Nr. 2023/2831 6. panta 3. punktu sadarbības iestāde glabā 10 gadus no programmas ietvaros pēdējā piešķirtā atbalsta, bet finansējuma saņēmējs – 10 gadus no atbalsta piešķiršanas dienas;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- 06.02.2024.)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iepriekš nosacījumi par dokumentu glabāšanu izrietēja no Komisijas regulas Nr. 1407/2013  6. panta 4. punkta, šobrīd dokumentu glabāšanas nosacījumi izriet no Komisijas regulas Nr. 2023/2831 6.panta 3.punkta. Skaidrojam, ka Komisijas regulas Nr. 2023/2831 6. panta 3. punkts nosaka, ka </w:t>
            </w:r>
            <w:r w:rsidR="00000000" w:rsidRPr="00000000" w:rsidDel="00000000">
              <w:rPr>
                <w:i w:val="1"/>
                <w:rtl w:val="0"/>
              </w:rPr>
              <w:t xml:space="preserve">"Dalībvalstis reģistrēto informāciju par de minimis atbalstu glabā 10 gadus no atbalsta piešķiršanas dienas"</w:t>
            </w:r>
            <w:r w:rsidR="00000000" w:rsidRPr="00000000" w:rsidDel="00000000">
              <w:rPr>
                <w:rtl w:val="0"/>
              </w:rPr>
              <w:t xml:space="preserve">, taču vienlaikus Komisijas regulas Nr. 2023/2831 6. panta 7. punkts nosaka, ka </w:t>
            </w:r>
            <w:r w:rsidR="00000000" w:rsidRPr="00000000" w:rsidDel="00000000">
              <w:rPr>
                <w:i w:val="1"/>
                <w:rtl w:val="0"/>
              </w:rPr>
              <w:t xml:space="preserve">“Pēc rakstiska Komisijas pieprasījuma attiecīgā dalībvalsts 20 darbdienu laikā vai tādā ilgākā laikposmā, kāds noteikts pieprasījumā, sniedz Komisijai visu informāciju, kuru Komisija uzskata par vajadzīgu, lai novērtētu, vai šīs regulas nosacījumi ir izpildīti, un jo īpaši informāciju par uzņēmuma saņemto de minimis atbalsta kopsummu šīs regulas un citu de minimis regulu nozīmē”</w:t>
            </w:r>
            <w:r w:rsidR="00000000" w:rsidRPr="00000000" w:rsidDel="00000000">
              <w:rPr>
                <w:rtl w:val="0"/>
              </w:rPr>
              <w:t xml:space="preserve">, tādējādi pastāv gadījumi, ka Eiropas Komisija, ievērojot Padomes Regulā (ES) 2015/1589 (2015. gada 13. jūlijs), ar ko nosaka sīki izstrādātus noteikumus Līguma par Eiropas Savienības darbību 108. panta piemērošanai (kodificēta redakcija) (jeb Procesuālā regula) noteikto 10 gadu noilguma periodu saistībā ar nelikumīga un nesaderīga komercdarbības atbalsta atgūšanu, var pieprasīt dalībvalstīm iesniegt informāciju, kas pārsniedz Komisijas regulas Nr. 2023/2831 6. panta 1. punktā ietverto informācijas apjomu.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Līdz ar to aicinām papildināt noteikumu 47.3. apakšpunkta redakciju arī ar atsauci uz Komisijas regulas Nr. 2023/2831 6. panta 7. punktu, vai no minētā punkta svītrojot atsauci uz Komisijas regulas Nr. 2023/2831 6. panta 3. punktu, atstājot tajā tikai dokumentu glabāšanas nosacījumus. Vienlaikus lūdzam atbilstoši precizēt anotāciju.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Norma precizēta, svītrojot atsauci uz regulu Nr. 2023/2831.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47.3. </w:t>
            </w:r>
            <w:r w:rsidR="00000000" w:rsidRPr="00000000" w:rsidDel="00000000">
              <w:rPr>
                <w:i w:val="1"/>
                <w:rtl w:val="0"/>
              </w:rPr>
              <w:t xml:space="preserve">de minimis</w:t>
            </w:r>
            <w:r w:rsidR="00000000" w:rsidRPr="00000000" w:rsidDel="00000000">
              <w:rPr>
                <w:rtl w:val="0"/>
              </w:rPr>
              <w:t xml:space="preserve"> atbalsta uzskaiti veic saskaņā ar normatīvajiem aktiem par </w:t>
            </w:r>
            <w:r w:rsidR="00000000" w:rsidRPr="00000000" w:rsidDel="00000000">
              <w:rPr>
                <w:i w:val="1"/>
                <w:rtl w:val="0"/>
              </w:rPr>
              <w:t xml:space="preserve">de minimis</w:t>
            </w:r>
            <w:r w:rsidR="00000000" w:rsidRPr="00000000" w:rsidDel="00000000">
              <w:rPr>
                <w:rtl w:val="0"/>
              </w:rPr>
              <w:t xml:space="preserve"> atbalsta uzskaites un piešķiršanas kārtību un </w:t>
            </w:r>
            <w:r w:rsidR="00000000" w:rsidRPr="00000000" w:rsidDel="00000000">
              <w:rPr>
                <w:i w:val="1"/>
                <w:rtl w:val="0"/>
              </w:rPr>
              <w:t xml:space="preserve">de minimis</w:t>
            </w:r>
            <w:r w:rsidR="00000000" w:rsidRPr="00000000" w:rsidDel="00000000">
              <w:rPr>
                <w:rtl w:val="0"/>
              </w:rPr>
              <w:t xml:space="preserve"> atbalsta uzskaites veidlapu paraugiem. Dokumentāciju par </w:t>
            </w:r>
            <w:r w:rsidR="00000000" w:rsidRPr="00000000" w:rsidDel="00000000">
              <w:rPr>
                <w:i w:val="1"/>
                <w:rtl w:val="0"/>
              </w:rPr>
              <w:t xml:space="preserve">de minimis</w:t>
            </w:r>
            <w:r w:rsidR="00000000" w:rsidRPr="00000000" w:rsidDel="00000000">
              <w:rPr>
                <w:rtl w:val="0"/>
              </w:rPr>
              <w:t xml:space="preserve"> atbalsta piešķiršanu sadarbības iestāde glabā 10 gadus no programmas ietvaros pēdējā piešķirtā atbalsta, bet finansējuma saņēmējs – 10 gadus no atbalsta piešķiršanas dienas;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Pamatojums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- 24.10.2023.)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anotācijas 1.1. sadaļas apakšsadaļu "Apraksts" ar norādi uz Eiropas Savienības fondu 2021.–2027. gada plānošanas perioda vadības likuma 19. panta 13. punktu kā noteikumu projekta izstrādes pamatojošo normu.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atbilstoši precizēta.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Pamatojums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- 24.10.2023.)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anotācijā norādīto informāciju par pirmās atlases kārtas tiešo ietekmi uz Eiropas Savienības stratēģiju Baltijas jūras reģionam ar norādi,  ka investīcijām piemērojams Makroreģionālā un jūras baseinu stratēģijas kods 03 - Baltijas jūras reģiona stratēģija, tādējādi nodrošinot skaidru informācijas izsekojamību par pasākuma ietvaros plānotā atbalsta ietekmi uz Eiropas Savienības stratēģiju Baltijas jūras reģionam.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atbilstoši precizēta.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- 24.10.2023.)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anotācijas 1.3. sadaļu ar nosacījumu, ka finansējuma saņēmējs izstrādā nosacījumus, kā tas pārliecinās par interešu konflikta, krāpšanas un korupcijas risku neesamību, tostarp identificē apstākļus, kuri izraisa vai var izraisīt interešu konfliktu un krāpšanas un korupcijas riskus, kas rada apdraudējumu vai kaitējumu projekta īstenošanā, nosaka veicamos pasākumus un izstrādā darbības plānu interešu konflikta un krāpšanas un korupcijas risku preventīvai novēršanai un gadījumiem, kad interešu konflikts, krāpšana vai korupcija ir atklāta.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atbilstoši precizēta.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(LM - 20.10.2023.)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rast iespēju papildināt sadaļu  </w:t>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aiz teikuma "Projekta iesniegumā būs jāiekļauj sabiedrības izglītošanas pasākumu plāns, kurā ietvertas dažāda veida darbības, piemēram, informatīvā kampaņa dažādām mērķauditorijām par atkritumu pareizas apsaimniekošanas nozīmi, patērētāju kultūras ietekmi uz apkārtējo vidi, izdales materiāli pašvaldībām par iespējām veicināt atkritumu rašanās novēršanu, ilgtspējīgu produktu izvēli, atkritumu dalītas vākšanas un šķirošanas nozīmi un to, kā tas kopumā ietekmē atkritumu pārstrādes efektivitāti un pārstrādes produktu, tiešsaistes informatīvie materiāli izvietošanai finansējuma saņēmēja, pašvaldību, atkritumu apsaimniekotāju vietnēs par projekta būtību un tā pozitīvo ietekmi, iespējām veikt atkritumu pārstrādi uz vietas Latvijā, ievērojot “pašpietiekamības un tuvuma” principu u.c." </w:t>
            </w:r>
            <w:r w:rsidR="00000000" w:rsidRPr="00000000" w:rsidDel="00000000">
              <w:rPr>
                <w:u w:val="single"/>
                <w:rtl w:val="0"/>
              </w:rPr>
              <w:t xml:space="preserve">lūdzam norādīt, ka izglītošanas pasākumu saturā tiks iekļauti arī jautājumi par dzimumu lomu un dzimumu nevienlīdzību un atkritumu apsaimniekošanā.Tāpat ir svarīgi izglītošanā iesaistīt dažādu vecumu vīriešus un zēnus, kā arī sievietes un meitenes, jo īpaši jauniešu vecuma grupu, jo dažādos pētījumos ir pierādīts, ka jaunieši ir vairāk atvērti jaunām iniciatīvām dabas un resursu saudzēšanā  [1]. Lūdzam arī  norādīt, ka izglītojošo pasākumu īstenošanā tiks ievērots vides un informācijas piekļūstamības princips, proti, informācija būs piekļūstama personām ar funkcionāliem traucējumiem ar vairākiem sensorajiem kanāliem (redze, dzirde, tauste).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https://eige.europa.eu/publications-resources/publications/gender-balance-european-green-deal</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VARAM ieskatā MK noteikumu projektam nav ietekmes uz dzimumu līdztiesību un nav pamata uzskatīt, ka Latvijā pastāv saikne starp dzimumu nevienlīdzību un atkritumu apsaimniekošanu. VARAM ieskatā būtiska ir visas sabiedrības iesaiste, nedalot to dzimumos. Jau ilgus gadus ar atkritumu šķirošanas nozīmi tiek iepazīstināti pirmsskolas un pamatskolas audzēkņi, minētās mērķgrupas uztverot kā vienu veselumu. Līdz ar to priekšlikums netiek ņemts vērā. Anotācijā papildināts ar un projektu iesniegumu atlases nolikumā tiks iekļauts aicinājums materiālus izstrādāt, ievērojot vides un piekļūstamības principu.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Tiesību akta projekta ietekmējamās sabiedrības grupas, ietekme uz tautsaimniecības attīstību un administratīvo slogu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- 24.10.2023.)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anotācijas 2. sadaļu ar norādi uz Vides aizsardzības un reģionālās attīstības ministriju, kura pildīs atbildīgās iestādes funkcijas, un anotācijas 7.1. sadaļu ar norādi uz Vides aizsardzības un reģionālās attīstības ministriju.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atbilstoši precizēta 7. sadaļā, jo anotācijas 2. sadaļa tiek vērtēta no ekonomiskās ietekmes skatu punkta, kas nebūtu piekritīgs atbildīgās iestādes gadījumā.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Tiesību akta projekta ietekmējamās sabiedrības grupas, ietekme uz tautsaimniecības attīstību un administratīvo slogu</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2.2.5. uz konkurenci: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- 24.10.2023.)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pārskatīt sniegto pamatojumu - tā kā pasākums pieļauj jebkura atkritumu veida pārstrādi, secināms, ka tas iekļauj arī bioloģiski noārdāmo atkritumu (BNA) pārstrādi. BNA projektos ES fondu 2014.-2020. gada plānošanas periodā (stadijās pabeigts un līgums) vidējais KF finansējuma apmērs ir 9,7 miljoni euro (vienam no projektiem finansējuma apmērs sasniedz 30 miljonus euro), līdz ar to redzam risku, ka vienam projektam tiek piešķirts viss KF finansējums vai tā lielākā daļa.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Pamatojums pārskatīts, neveicot precizējumus. Skaidrojam, ka ES fondu 2014. - 2020. gada plānošanas periodā tikai veidotas BNA pārstrādes iekārtas un kompostēšanas laukumi. BNA pārstrādes iekārtas, uz kuru vidējām izmaksām norādīts priekšlikumā, tika veidotas </w:t>
            </w:r>
            <w:r w:rsidR="00000000" w:rsidRPr="00000000" w:rsidDel="00000000">
              <w:rPr>
                <w:u w:val="single"/>
                <w:rtl w:val="0"/>
              </w:rPr>
              <w:t xml:space="preserve">tikai</w:t>
            </w:r>
            <w:r w:rsidR="00000000" w:rsidRPr="00000000" w:rsidDel="00000000">
              <w:rPr>
                <w:rtl w:val="0"/>
              </w:rPr>
              <w:t xml:space="preserve"> atkritumu apglabāšanas poligonos. Tā kā visos poligonos šādas ir izveidotas, bet privātajam sektoram ir maza interese par šāda atkritumu veida iekārtu izveidi, nesaskatām bažas par būtiskiem konkurences ierobežojumiem. Salīdzināmi būtu ieguldījumi ar ES fondu 2014. - 2020. gada plānošanas perioda 5.2.1.2. pasākuma "Atkritumu pārstrādes veicināšana" pirmo un otro atlases kārtu, kurā dalība mērķēta tieši uz privātajiem komersantiem un nevis sabiedriskā pakalpojuma sniedzējiem - starp šiem projektiem neviens nav īpaši izceļams, piesaistītās KF investīcijas bija robežās no 0,9 līdz 1,9 milj. </w:t>
            </w:r>
            <w:r w:rsidR="00000000" w:rsidRPr="00000000" w:rsidDel="00000000">
              <w:rPr>
                <w:i w:val="1"/>
                <w:rtl w:val="0"/>
              </w:rPr>
              <w:t xml:space="preserve">euro</w:t>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2.2.5. uz konkurenci: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- 06.02.2024.)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veikt šādus precizējumus anotācijas 3.sadaļā: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kārtējo gadu tabulā ir jāprecizē uz 2024.gadu un attiecīgi jāprecizē arī pārējos gadus atbilstoši tiem arī norādot precizētu finansējuma sadalījumu;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noteikumu projekta 5.punktā norādīts, ka atlases kārtas ietvaros uzraudzības rādītāji  ir sasniedzami līdz 2029.gada 31.decembrim, taču anotācijas 3.sadaļas 6.punktā norādīts, ka finansējums tiek plānots arī 2030.gadam, attiecīgi nepieciešams veikt precizējumus.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anotācijas 3. sadaļa. Skaidrojam, ka izmaksas 2030. gadā paredzētas, lai nodrošinātu noslēguma maksājumu apstiprināšanu, proti, projektu īstenošana jāpabeidz līdz 2029. gada 31. decembrim, bet noslēguma maksājuma pieprasījumu atļauts iesniegt 2030. gadā, kad arī nodrošināmi atbilstoši valsts budžeta līdzekļi. Līdzīga pieeja piemērota arī iepriekšējos plānošanas periodos.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- 24.10.2023.)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anotācijas 3.sadaļas punktu “Cita informācija” papildināt ar informāciju, ka pasākuma īstenošanai KF finansējuma daļa tiks pieprasīta no valsts budžeta programmas 80.00.00 “Nesadalītais finansējums Eiropas Savienības politiku instrumentu un pārējās ārvalstu finanšu palīdzības līdzfinansēto projektu un pasākumu īstenošanai”.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Veikts atbilstošs precizējums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8.1.10. uz dzimumu līdztiesību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(LM - 20.10.2023.)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rast iespēju precizēt, ka pasākumam var būt ietekme uz dzimumu līdztiesību, jo dzimumu līdztiesības principa integrēšana atkritumu nozarē var radīt ilgtspējīgāku un taisnīgāku atkritumu nozari.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Lūdzu skatīt piedāvāto redakciju.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Tiek pieņemts, ka atkritumu nozare ir dzimumneitrāla, taču dzimumu nevienlīdzība un normas ir iestrādātas gandrīz visos atkritumu apsaimniekošanas aspektos. Saiknes starp dzimumu nevienlīdzību un atkritumu apsaimniekošanu atzīšana būs galvenais, lai izveidotu ilgtspējīgāku un taisnīgāku atkritumu nozari.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Latvijā nav šādi pētījumi veikti, taču pasaulē valda tendence, ka atkritumu nozarē notiek darba dalīšana, kuras pamatā ir ierastās dzimumu lomas un stereotipi. Kamēr vīrieši mēdz ieņemt augstākas varas amatus, piemēram, nodarbojas ar otrreizējās pārstrādes materiālu iepirkšanu un tālākpārdošanu, sievietes bieži vien nodarbojas ar tādiem darbiem ar mazākiem ienākumiem, piemēram, atkritumu savākšanu, slaucīšanu un atkritumu šķirošanu.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Dzimumu līdztiesības integrēšana atkritumu nozarē un sieviešu līdzdalības stiprināšana atkritumu nozarē var nodrošināt efektīvākas un produktīvākas atkritumu apsaimniekošanas darbības. Sievietēm, kas ir primārās atkritumu apsaimniekošanas pakalpojumu izmantotājas mājsaimniecību līmenī un ir iesaistītas dažāda veida darbā atkritumu nozarē, ir gan zināšanas, gan pieredze. Sievietes ir būtiskas pārmaiņu veicinātājas, virzoties uz efektīvāku, ilgtspējīgāku un godīgāku atkritumu apsaimniekošanu [1]</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ANO vides programma, skatīt šeit: https://www.unep.org/ietc/what-we-do/gender-and-waste-management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VARAM ieskatā MK noteikumu projektam nav ietekmes uz dzimumu līdztiesību. Piedāvātā redakcija, ja to iekļautu anotācijā, tikai turpinātu attīstīt ārvalstu pētījumos konstatēto. Savukārt ārvalstu pētījumi, kas norādīti ANO publikāciju sadaļā, pamatā balstās uz izpēti Āfrikas valstīs, Indijā, Filipīnās u.c. Kā jau minēts priekšlikumā, Latvijā nav veiktu pētījumu par atkritumu apsaimniekošanas aspektiem dzimumu dalījumā. Līdz ar to nav pamata uzskatīt, ka Latvijā pastāv saikne starp dzimumu nevienlīdzību un atkritumu apsaimniekošanu. VARAM ieskatā būtiska ir visas sabiedrības iesaiste, nedalot to dzimumos. Jau ilgus gadus ar atkritumu šķirošanas nozīmi tiek iepazīstināti pirmsskolas un pamatskolas audzēkņi, minētās mērķgrupas uztverot kā vienu veselumu.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8.1.10. uz dzimumu līdztiesību</w:t>
            </w:r>
          </w:p>
        </w:tc>
      </w:tr>
    </w:tbl>
    <w:sectPr>
      <w:headerReference r:id="rId7" w:type="default"/>
      <w:headerReference r:id="rId8" w:type="first"/>
      <w:footerReference r:id="rId2" w:type="default"/>
      <w:footerReference r:id="rId3" w:type="first"/>
      <w:titlePg w:val="true"/>
      <w:pgSz w:w="16833" w:h="11908" w:orient="landscape"/>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23-TA-2123</w:t>
    </w:r>
    <w:r>
      <w:br/>
    </w:r>
    <w:r w:rsidR="00000000" w:rsidRPr="00000000" w:rsidDel="00000000">
      <w:rPr>
        <w:rtl w:val="0"/>
      </w:rPr>
      <w:t xml:space="preserve">29.02.2024. 08.32</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23-TA-2123</w:t>
    </w:r>
    <w:r>
      <w:br/>
    </w:r>
    <w:r w:rsidR="00000000" w:rsidRPr="00000000" w:rsidDel="00000000">
      <w:rPr>
        <w:rtl w:val="0"/>
      </w:rPr>
      <w:t xml:space="preserve">29.02.2024. 08.32</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after="280"/>
      <w:contextualSpacing w:val="1"/>
    </w:pPr>
    <w:rPr>
      <w:b w:val="1"/>
      <w:sz w:val="28"/>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Izziņa_23-TA-2123.docx</dc:title>
</cp:coreProperties>
</file>

<file path=docProps/custom.xml><?xml version="1.0" encoding="utf-8"?>
<Properties xmlns="http://schemas.openxmlformats.org/officeDocument/2006/custom-properties" xmlns:vt="http://schemas.openxmlformats.org/officeDocument/2006/docPropsVTypes"/>
</file>