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25-TA-3079: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Saeimas 2025. gada 16.oktobra paziņojumā “Deklarācija par vardarbības pret sievietēm un vardarbības ģimenē novēršanu un izskaušanu" iekļauto uzdevumu izpildi”“Par Saeimas 2025. gada 16.oktobra paziņojumā “Deklarācija par vardarbības pret sievietēm un vardarbības ģimenē novēršanu un izskaušanu" iekļauto uzdevumu izpildi”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19.12.2025. 11:45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Saeimas 2025. gada 16.oktobra paziņojumā “Deklarācija par vardarbības pret sievietēm un vardarbības ģimenē novēršanu un izskaušanu" iekļauto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ministrijai nav saprotams skaidrojums, kas sniegts Informatīvā ziņojuma 31.lpp attiecībā uz Direktīvas (ES) 2024/1385 prasību pārņemšanu. Informatīvajā ziņojumā norādīts, ka Tieslietu ministrija Direktīvas ieviešanā pilda koordinējošās iestādes funkciju. Papildus norādīts, ka par Direktīvas prasību atbilstošu pārņemšanu Latvijā ir atbildīgs plašs ministriju loks atbilstoši pārstāvētajai nozarei, tostarp, uzskaitījumā norādīta Ekonomikas ministrija. Atbilstoši izvērtējuma rezultātiem atbildīgās ministrijas sagatavos un nepieciešamības gadījumā virzīs  attiecīgo tiesību normu grozījumus vai veiks nepieciešamos pasākumus, nodrošinot, ka tie tiek pieņemti un var stāties spēkā līdz Direktīvas pārņemšanai noteiktajam termiņam.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lūdz skaidrot, par kādu Direktīvas (ES) 2024/1385 prasību atbilstošu pārņemšanu tad ir atbildīgas citas ministrijas, konkrētāk - 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Ekonomikas ministrija piekrita tikai līdzatbildībai par šīs Direktīvas 23.pantu, taču norādam, ka par Direktīvas (ES) 2024/1385 prasību ieviešanu (normatīvo aktu izstrādi) ir atbildīga tā ministrija, kas ESTAPIKs norādīta koordinējošā iestāde, proti, Tieslietu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Saeimas 2025. gada 16.oktobra paziņojumā “Deklarācija par vardarbības pret sievietēm un vardarbības ģimenē novēršanu un izskaušanu" iekļauto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Aicinam IZ II sadaļā, kas attiecas uz Direktīvas pārņemšanu, iekļaut arī informāciju par citu ministriju kompetencē esošo prasību vispārīgu sākotnējo atbilstības izvērtējumu, tai skaitā par iespējamo nepieciešamību veikt grozījumus normatīvajos aktos vai citus īstenošanas pasākumus, lai nepieciešamības gadījumā atbilstoši pārņemtu Direktīvas prasības.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Saeimas 2025. gada 16.oktobra paziņojumā “Deklarācija par vardarbības pret sievietēm un vardarbības ģimenē novēršanu un izskaušanu" iekļauto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IZ  I sadaļas  1.7.Starptautiskā sadarbība punkta, lūdzam precizēt tekstu norādot, ka KPL C. daļas 65. nodaļas nosaukums ir (Personas izdošana Latvijai) un 66.nodaļā (Personas izdošana ārvalstij). Pašlaik norādīts, ka 65. nodaļas nosaukums ir Eiropas apcietināšanas lēmuma izpilde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Saeimas 2025. gada 16.oktobra paziņojumā “Deklarācija par vardarbības pret sievietēm un vardarbības ģimenē novēršanu un izskaušanu" iekļauto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IZ Ievada sadaļas lūdzam ņemt ārā tekstu "vardarbības pret sievietēm un vardarbības ģimenē apkarošanu satura atbilstības izvērtējumu secināms, ka lielākā daļa Latvijā spēkā esošo krimināltiesisko un kriminālprocesuālo normu jau atbilst Direktīvas mērķiem un būtiskajām prasībām", jo tas jau ietverts IZ II sadaļā par Direktīvu, kā arī tas atspoguļo tikai daļu no Direktīvā noteiktā tvēruma un prasībām. Tāpat šajā tekstā nav ietverta pilnvērtīga informācija, ko sākotnēji sniedza Tieslietu ministrija, proti,  tika norādīts, ka tomēr ir identificēti atsevišķi aspekti un nianses, kuru pilnīgai pārņemšanai nepieciešami precizējumi Krimināllikumā un Kriminālprocesa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Ievada daļā jābūt vispārīgākam tekstam, kas ietvertu informācija par Direktīvas ieviešanu kopumā, neizceļot tikai vienu Direktīvas sadaļu.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Saeimas 2025. gada 16.oktobra paziņojumā “Deklarācija par vardarbības pret sievietēm un vardarbības ģimenē novēršanu un izskaušanu" iekļauto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lietot korektu nosaukumu Sabiedrības integrācijas fonda administrētajai valsts budžeta programmai "NVO fonds".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Sabiedrības integrācijas fonds administrē valsts budžeta programmu "NVO fonds", kura mērķis ir stiprināt pilsoniskās sabiedrības ilgtspējīgu attīstību un demokrātiju Latvijā, un organizācijām ir iespēja pieteikt savus projekta pieteikumus atklātā konkursā.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Saeimas 2025. gada 16.oktobra paziņojumā “Deklarācija par vardarbības pret sievietēm un vardarbības ģimenē novēršanu un izskaušanu" iekļauto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visā informatīvā ziņojuma tekstā vārdu "pilsoniskās sabiedrības organizācijas" vai "nevalstiskās organizācijas" vai "NVO" vietā lietot vārdus "biedrības un nodibinājumi" vai "biedrība" vai "nodibinājums", kas atbilst Biedrību un nodibinājumu likumā noteiktajai juridiskajai formai.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Saeimas 2025. gada 16.oktobra paziņojumā “Deklarācija par vardarbības pret sievietēm un vardarbības ģimenē novēršanu un izskaušanu" iekļauto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aicina precizēt informatīvā ziņojuma 3. lapā norādīto: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tiesisko skaidrību, pilnvērtīgu diskusiju sabiedrībā par iecerēto likumprojektu, normatīvā regulējuma normu nedublēšanos un viennozīmīgu interpretāciju, Vardarbības novēršanas likuma izstrādes laikā ir nepieciešama visa Informatīvajā ziņojumā minētā tiesiskā regulējuma pārskatīšana, tai skaitā, esošo likumu pārskatīšana, pārliekot attiecīgās normas vienotajā tiesību aktā. Šādas būtiskas tiesiskā regulējuma izmaiņas nav veicamas līdz 2026.gada 1.martam, kā arī minētajā termiņā nav iespējams nodrošināt nesasteigtu un jēgpilnu sabiedrības līdzdalības iespēju īstenošanu un pilnvērtīgu tiesību aktu projekta saskaņošanas procesu.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Saeimas 2025. gada 16.oktobra paziņojumā “Deklarācija par vardarbības pret sievietēm un vardarbības ģimenē novēršanu un izskaušanu" iekļauto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1.7. sadaļu Starptautiskā sadarbība ar atbilstošu Latvijai saistošo starptautisko dokumentu uzskaitījumu un ietekmes atspoguļojumu, kā tas tika ietverts sākotnējā starpministriju sanāksmes rezultātā sagatavotajā izvērtējumā.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jau ir pievienojusies un piemēro virkni būtisku starptautisku cilvēktiesību dokumentu, kas nodrošina augstus, pārbaudītus un efektīvus standartus sieviešu un bērnu aizsardzībai par vardarbības pret sievietēm un vardarbības ģimenē novēršanu un apkarošanu. Eiropas Padomes  Konvencija par vardarbību pret sievietēm un vardarbību ģimenē novēršanu un apkarošanu, ANO 1979. gada Konvencija par jebkuras sieviešu diskriminācijas izskaušanu, ES Direktīva 2024/1385, kā arī Eiropas Padomes Cilvēka tiesību un pamatbrīvību aizsardzības konvencija kopumā veido tādu normatīvo pamatu, kas jau šobrīd nosaka skaidras prasības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novērst jebkāda veida vardarbību pret sievietēm,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aizsargāt upurus,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pieejamus un kvalitatīvus atbalsta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efektīvi izmeklēt un sodīt vardarbības izdarītājus,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prevenciju, tiesisko palīdzību un rehabilitāciju,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starptautisko uzraudzību, pieredzes apmaiņas un sadarbības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dokumenti ir saistoši Latvijai un ir tieši piemērojami Latvijas tiesību sistēmā. Tajos noteiktie principi un prasības ir iestrādātas normatīvajā regulējumā nacionālā līmenī – gan likumos, gan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deklarācijā minētie starptautiskie dokumenti kopā veido stingru un jau starptautiski pārbaudītu sistēmu,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nosaka skaidrus valsts pienākumus sieviešu un bērnu aizsardzībā;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uzliek valstīm pienākumu nodrošināt drošību, atbalstu, sodīšanu un prevenciju;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nodrošina ekspertu uzraudzību un sniedz iespēju vērsties tiesā (ANO Sieviešu diskriminācijas izskaušanas komiteja (ziņojumu ietvaros), ANO Cilvēktiesību komiteja (ziņojumu un sūdzību izskatīšanas ietvaros), ANO Spīdzināšanas izskaušanas komiteja (ziņojumu ietvaros), Eiropas Padomes Konvencijas par vardarbības pret sievietēm un vardarbības ģimenē apkarošanu uzraudzības komiteja, Lansarotes komiteja, Eiropas Cilvēktiesību tiesa (sūdzību izskatīšanas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aptver visus vardarbības veidus – fizisku, seksuālu, emocionālu, ekonomisku, psiholoģisku un kibervardarbību;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nosaka sievietes un bērnu tiesības uz efektīvu aizsardzību, pieejamu palīdzību un taisnīgu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Cilvēktiesību komiteja tās 2025. gada 18. jūlija noslēguma secinājumos par Latvijas ziņojumu par ANO Starptautiskā pakta par pilsoniskajām un politiskajām tiesībām ieviešanu Latvijā atzinīgi novērtēja Ministru kabinetā pieņemto “Vardarbības pret sievieti un vardarbības ģimenē novēršanas un apkarošanas plānu 2024.-2029.gadam” (turpmāk tekstā – Plāns). Vienlaikus ANO Cilvēktiesību komiteja norādīja arī uz vairākiem nepieciešamajiem pasākumiem, kas Latvijai vēl ir jāveic vardarbības ģimenē un vardarbības pret sievieti novēršanai un apkarošanai, tostarp tā aicināja Latviju stiprināt normatīvo regulējumu sieviešu aizsardzībai pret visām dzimumā balstītām vardarbības formām, cīnīties pret sabiedrībā valdošo attieksmi, kas veicina dzimumu stereotipus un apkarot stereotipus, kas normalizē vardarbību pret sievietēm. Tāpat ANO Cilvēktiesību komiteja aicināja Latviju pastiprināt centienus panākt, ka dzimumā balstīta vardarbība tiek efektīvi izmeklēta, tai skaitā ieviešot pasākumus, kas atvieglotu ziņošanu par šādiem noziegumiem, un uzlabot statistikas datu apkopošanu par nāves gadījumiem, kas iestājušies vardarbības rezultātā, ļaujot labāk izprast tās motivāciju. ANO Cilvēktiesību komiteja rosināja arī nodrošināt piekļuvi informācijai par sieviešu un meiteņu tiesībām uz aizsardzību, kā arī sniegt praktisku palīdzību visā valsts teritorijā, tostarp nodrošinot patversmes un palīdzības centrus. Turklāt ANO Cilvēktiesību komiteja lūdza Latvijai līdz 2028. gada 18. jūlijam iesniegt papildu informāciju par paveikto saistībā ar vardarbības pret sievietēm izskaušanu, tostarp par pasākumiem, lai atvieglotu ziņošanu par šādiem gadījumiem, nodrošinātu to efektīvu izmeklēšanu, kā arī cietušajiem sniegto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arī ANO Sieviešu diskriminācijas izskaušanas komitejas kārtējos ziņojumos par Latviju ietverto rekomendāciju loma vardarbības ģimenē un vardarbības pret sievieti novēršanai un apkarošanai pilnveidošanā.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ANO Īpašais ziņotājs par vardarbību pret sievietēm un meitenēm, tās cēloņiem un sekām un ANO Darba grupas sieviešu un meiteņu diskriminācijas jautājumos vadītājs ir pauduši bažas un norādījuši, ka  Eiropas Padomes Konvencijas par vardarbības pret sievietēm un vardarbības ģimenē apkarošanu uzraudzības mehānisms palīdz ieviest arī galveno cilvēktiesību līgumu uzņemtās saistības, proti, minētā konvencija ievieš standartus, kas ir balstīti uz Eiropas Cilvēktiesību konvenciju, jo īpaši  2., 3., 8. un 14. pantu, kā tos interpretējusi Eiropas Cilvēktiesību tiesa, nosakot prasības efektīvai uz dzimumu balstītas vardarbības novēršanai, aizsardzībai, izmeklēšanai un diskriminējošu reakciju aizliegumu.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noderīgs būs arī Eiropas Padomes Konvencijas par vardarbības pret sievietēm un vardarbības ģimenē apkarošanu uzraudzības komitejas veiktais izvērtējums, kas ļaus vēl padziļinātāk izprast un identificēt nepieciešamos uzlabojumus, lai piedāvātu atbilstošākos tiesiskos un praktiskos risinājumus situācijas uzlabošanai.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Saeimas 2025. gada 16.oktobra paziņojumā “Deklarācija par vardarbības pret sievietēm un vardarbības ģimenē novēršanu un izskaušanu" iekļauto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lpp. Teikumā "Latvijas Nacionālais kultūras centrs (Kultūras ministrijas padotības iestāde) organizē </w:t>
            </w:r>
            <w:r w:rsidR="00000000" w:rsidRPr="00000000" w:rsidDel="00000000">
              <w:rPr>
                <w:u w:val="single"/>
                <w:rtl w:val="0"/>
              </w:rPr>
              <w:t xml:space="preserve">gadā</w:t>
            </w:r>
            <w:r w:rsidR="00000000" w:rsidRPr="00000000" w:rsidDel="00000000">
              <w:rPr>
                <w:rtl w:val="0"/>
              </w:rPr>
              <w:t xml:space="preserve"> kursus profesionālo", aicinām precizēt domu vai arī svītrot vārdu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kultūras centrs (Kultūras ministrijas padotības iestāde) organizē kursus"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Saeimas 2025. gada 16.oktobra paziņojumā “Deklarācija par vardarbības pret sievietēm un vardarbības ģimenē novēršanu un izskaušanu" iekļauto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informatīvā ziņojuma projekta 30.lpp. vārdus "CPL noteikto", kā arī aizstāt vārdu "apbusējības" ar vārdu "savstarpējības", jo notiesāto personu nodošanas/pārņemšanas lietas pēc būtības ir krimināllietās, bet savstarpējības princips, tas ir, ka turpmāk sadarbības partneris sniegs palīdzību, ievērojot tādus pašus principus, ir minēts Kriminālprocesa likuma 675.panta ceturtajā daļā. Vienlaikus kontekstā ar notiesāto nodošanu/pārņemšanu paskaidrojam, ka Latvija ir arī tiesīga nodot notiesātās personas ES dalībvalstīm un ārvalstīm tālākai brīvības atņemšanas soda izciešanai (šobrīd no informatīvā ziņojuma projekta 30.lpp. izriet, ka Latvija var tikai pārņemt notiesātās personas tālākai soda izciešanai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Saeimas 2025. gada 16.oktobra paziņojumā “Deklarācija par vardarbības pret sievietēm un vardarbības ģimenē novēršanu un izskaušanu" iekļauto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11.lpp. Aicinām papildināt sadaļu 1.3.1. Dzimumu līdztiesības politika ar aktuālāko informāciju par Nacionālo rīcības plānu Apvienoto Nāciju Organizācijas Drošības padomes rezolūcijas Nr. 1325 “Par sievietēm, mieru un drošību” mērķu īstenošanai Latvijā 2020.-2025. gadam.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turpina tās pirmā Nacionālā rīcības plāna Apvienoto Nāciju Organizācijas Drošības padomes rezolūcijas Nr. 1325 “Par sievietēm, mieru un drošību” mērķu īstenošanai Latvijā 2020.-2025.gadam ieviešanu un ir uzsākusi darbu pie otrā plāna sagatavošanas 2026.-2030. gada periodam. Jaunajā plānā liels uzsvars tiks likts uz kaitīgu stereotipu izskaušanu, kas kavē sabiedrības pilnīgas potenciāla izmantošanu tās visaptverošai aizsardzībai un noturībai, tā trīs galvenie rīcības virzieni būs 1) sabiedrības izpratnes veicināšana; 2) dzimumu līdztiesības aspektu iekļaušana Latvijas aizsardzības un iekšlietu sektora darbībā; 3) Latvijas pieredzes un zināšanu nodošana tālāk (piem., attīstības sadarbības projekti).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Saeimas 2025. gada 16.oktobra paziņojumā “Deklarācija par vardarbības pret sievietēm un vardarbības ģimenē novēršanu un izskaušanu" iekļauto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1.3.2. Vardarbības mazināšanas politika aicinām sasaistīt norādīto "Žurnālistu un citu mediju profesionāļu drošības plāna 2025.-2027. gadam" ar Deklarācijā par vardarbības pret sievietēm un vardarbības ģimenē novēršanu un izskaušanu doto uzdevumu, proti, attiecināmību uz deklarācijā norādīto  "vispārējas vardarbības novēršanas un izskaušanas likumu, kas attiektos uz jebkādu vardarbību pret sievietēm un bērniem, tostarp vardarbību ģimenē". Pieļaujot, ka minētais ir atspoguļojams informatīvajā ziņojumā, ņemot vērā Kultūras ministrijas 2024. gadā pasūtītajā pētījumā “Žurnālistu un citu mediju profesionāļu drošības situācijas izvērtējums” konstatēto, ka daudz lielākā mērā draudus, diskrimināciju un uzmākšanos piedzīvo </w:t>
            </w:r>
            <w:r w:rsidR="00000000" w:rsidRPr="00000000" w:rsidDel="00000000">
              <w:rPr>
                <w:u w:val="single"/>
                <w:rtl w:val="0"/>
              </w:rPr>
              <w:t xml:space="preserve">žurnālistes sievietes.</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Saeimas 2025. gada 16.oktobra paziņojumā “Deklarācija par vardarbības pret sievietēm un vardarbības ģimenē novēršanu un izskaušanu" iekļauto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projektu apildināt ar iepriekš sūtīto informāciju, jo mūsu ieskatā, šī ir būtiska informācija, kas uzskatāmi parāda, ka izglītības jomā jau šobrīd normatīvais regulējums paredz normas, kas attiecināmas uz vardarbības prevenciju, mazināšanu, novēršanu un vardarbības gadījumu risināšanu.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54. pants nosaka izglītojamā pienākumus, tostarp ievērot izglītības iestādes iekšējās kārtības noteikumus un ar savu rīcību nediskreditēt izglītības iestādi, ievērot pedagogu, skolēnu un citu personu tiesības un intereses, nepieļaut emocionālu un fizisku vardarbību, kā arī neapdraudēt savu un citu personu veselību, drošību un dzīvību. Turklāt saskaņā ar Izglītības likuma 55. panta 8. punktā noteikto katram izglītojamajam ir tiesības uz dzīvībai un veselībai drošiem apstākļiem izglītības iestādē un tās organizētajos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panta pirmā daļa nosaka, ka izglītības iestādes vadītājs ir atbildīgs par izglītības iestādes darbību un tās rezultātiem, par šā likuma un citu izglītības iestādes darbību reglamentējošo normatīvo aktu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Izglītības likumā noteiktais uzliek pašvaldībai pienākumu sniegt konsultatīvu palīdzību bērnu audzināšanā, kā arī nodrošināt atbalsta pasākumus izglītojamiem un viņu ģimenēm, konkretizējot, ka pašvaldības izglītības pārvaldei sadarbībā ar valsts un pašvaldību institūcijām jāveido atbalsta pasākumu sistēma pašvaldības izglītojamiem un viņu ģimenēm (Izglītības likuma 17. panta trešās daļas 18. punkts, 18. panta otrās daļas 14.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30. panta 3.6 daļa nosaka izglītības iestādes vadītājam izvērtēt informāciju par vardarbību pret izglītības procesa īstenošanā iesaistīto personu, informēt izglītības iestādes dibinātāju un risināt situāciju izglītības iestādē. Savukārt izglītības iestādes dibinātājam pēc tam, kad no izglītības iestādes vadītāja saņemta informācija par vardarbību pret izglītības procesa īstenošanā iesaistītajām personām, jānodrošina šīs informācijas izvērtēšana un, ja nepieciešams, iesniegšana tiesībaizsardzības institūcijām, kā arī jāsniedz atbalsts situācijas risināšanai izglītības iestādē (Izglītības likuma 29. panta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panta 37 daļa nosaka, ka izglītības iestādes vadītājam vai viņa pilnvarotai personai ir tiesības savas, izglītojamo, pedagogu vai citu personu drošības, veselības vai dzīvības apdraudējuma gadījumā Ministru kabineta noteiktajā kārtībā pieprasīt, lai izglītojamais uzrāda, un pārbaudīt izglītojamā personīgās mantas, kā arī ierobežot izglītojamā pārvietošanos.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pedagogam ir paredzētas tiesības vardarbības gadījumā saņemt izglītības iestādes vadītāja un dibinātāja atbalstu (Izglītības likuma 52. panta pirmās daļas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54.pants nosaka  izglītojamā pienākumus - nepieļaut emocionālu un fizisku vardarbību; neapdraudēt savu un citu personu veselību, drošību un dzīvību.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pienākums ar izglītības iestādi, tās pedagogiem un citām izglītības procesa īstenošanā iesaistītajām personām, kā arī pašvaldību ir izglītojamā vecākiem, kuriem tostarp jāinformē izglītības iestādes vadītājs par bērna veselības stāvokli un jebkādiem citiem apstākļiem, kas var ietekmēt izglītības programmas apguvi un tajā iesaistītās personas (Izglītības likuma 58.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Vispārējās izglītības likuma 17. panta trešajā daļā noteiktais paredz, ka vispārējās izglītības programmas apguvē tās īstenotāji izglītojamiem nodrošina sistēmisku atbalstu sociāli emocionālās kompetences attīstīšanai.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22. augustā tika pieņemti Ministru kabineta noteikumi Nr. 474 “Kārtība, kādā nodrošināma izglītojamo profilaktiskā veselības aprūpe, pirmā palīdzība un drošība izglītības iestādēs un to organizētajos pasākumos”, attiecīgi nosakot izglītības iestādes vadītāja pienākumu plānot un organizēt izglītojošus pasākumus par izglītojamo veselību un drošību, tai skaitā vardarbības un ievainojumu profilakses jautājumos; ziņot Bērnu aizsardzības centram par valsts vai pašvaldības izglītības iestādes darbinieka un Valsts policijai vai pašvaldības policijai par privātas izglītības iestādes darbinieka iespējamu fizisku vai emocionālu vardarbību pret nepilngadīgu izglītojamo, kā arī Bērnu tiesību aizsardzības likumā noteiktajos gadījumos pieņemt lēmumu par attiecīgā darbinieka atstādināšanu no amata pienākumu pildīšanas; sadarboties ar vecākiem, valsts un pašvaldību institūcijām un nevalstiskajām organizācijām izglītojamo drošības, bērnu tiesību aizsardzības un labbūtības nodrošināšanas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Līdztekus šajos noteikumos noteiktais uzliek par pienākumu izglītības iestādes iekšējās kārtības noteikumos noteikt izglītojamā rīcību, ja izglītības iestādē vai tās organizētajā vai atbalstītajā pasākumā izglītojamais kādas personas darbībā saskata draudus savai vai citu personu drošībai, tostarp vardarbību, kā arī vecāku iesaistes kārtību vardarbības (tai skaitā ņirgāšanās) prevencijas veicināšanā.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noteikumi paredz, ka atbilstoši izglītības iestādes vajadzībām, tās atrašanās vietai un citiem apstākļiem izglītības iestāde izstrādā izglītojamo attīstības vecumposma īpatnībām atbilstošus iekšējās kārtības noteikumus un drošības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Saeimas 2025. gada 16.oktobra paziņojumā “Deklarācija par vardarbības pret sievietēm un vardarbības ģimenē novēršanu un izskaušanu" iekļauto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informatīvā ziņojuma projektu papildināt ar nobeiguma nodaļu, kurā koncentrēti tiktu apkopoti secinājumi par Ministru prezidentes dotā uzdevuma izpildes rezultātiem un turpmāko rīcību.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Saeimas 2025. gada 16.oktobra paziņojumā “Deklarācija par vardarbības pret sievietēm un vardarbības ģimenē novēršanu un izskaušanu" iekļauto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informatīvā ziņojuma projekta apakšnodaļu 1.2. "Pamattiesību, dzimumu līdztiesības un diskriminācijas aizlieguma nodrošināšana" papildināt ar informāciju, ka arī administratīvā pārkāpuma procesā ir nostiprināts vienlīdzibas princips atbilstoši Administratīvās atbildības likuma 27. pantam. Darba likuma 161. pantā ir noteikta administratīvā atbildība par atšķirīgas attieksmes aizlieguma pārkāpšanu darba tiesisko attiecību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Saeimas 2025. gada 16.oktobra paziņojumā “Deklarācija par vardarbības pret sievietēm un vardarbības ģimenē novēršanu un izskaušanu" iekļauto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18.lpp "Saeimas Deklarācijā iekļautie aspekti par speciālistu sagatavošanu un atbilstošas mācību vielas iekļaušanu izglītības programmās jau ir daļēji noteikti normatīvajā regulējumā, paredzot speciālistu pienākumu regulārai profesionālai pilnveidei, kā arī īstenota virkne izglītojošu pasākumu, nodrošināta programmu un metodiku izstrāde, kuros integrēti ar vardarbības atpazīšanu, prevenci un novēršanu saistīti jautājumi. Iespējams vērtējama ģenerālklauzulas iekļaušana Vadarbības mazināšanas likumā, kas speciālistu regulāru mācīšanās un profesionālo zināšanu regulāru apguves procesu nosaka kā pamatprincipu."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Deklarācijā iekļautie aspekti par speciālistu sagatavošanu un atbilstošas mācību </w:t>
            </w:r>
            <w:r w:rsidR="00000000" w:rsidRPr="00000000" w:rsidDel="00000000">
              <w:rPr>
                <w:b w:val="1"/>
                <w:rtl w:val="0"/>
              </w:rPr>
              <w:t xml:space="preserve">satura</w:t>
            </w:r>
            <w:r w:rsidR="00000000" w:rsidRPr="00000000" w:rsidDel="00000000">
              <w:rPr>
                <w:rtl w:val="0"/>
              </w:rPr>
              <w:t xml:space="preserve"> iekļaušanu izglītības programmās jau ir </w:t>
            </w:r>
            <w:r w:rsidR="00000000" w:rsidRPr="00000000" w:rsidDel="00000000">
              <w:rPr>
                <w:b w:val="1"/>
                <w:strike w:val="1"/>
                <w:rtl w:val="0"/>
              </w:rPr>
              <w:t xml:space="preserve">daļēji </w:t>
            </w:r>
            <w:r w:rsidR="00000000" w:rsidRPr="00000000" w:rsidDel="00000000">
              <w:rPr>
                <w:rtl w:val="0"/>
              </w:rPr>
              <w:t xml:space="preserve">noteikti normatīvajā regulējumā, paredzot speciālistu pienākumu regulārai profesionālai pilnveidei, kā arī īstenota virkne izglītojošu pasākumu, nodrošināta programmu un metodiku izstrāde, kuros integrēti ar vardarbības atpazīšanu, prevenci, novēršanu un </w:t>
            </w:r>
            <w:r w:rsidR="00000000" w:rsidRPr="00000000" w:rsidDel="00000000">
              <w:rPr>
                <w:b w:val="1"/>
                <w:rtl w:val="0"/>
              </w:rPr>
              <w:t xml:space="preserve">risināšanu</w:t>
            </w:r>
            <w:r w:rsidR="00000000" w:rsidRPr="00000000" w:rsidDel="00000000">
              <w:rPr>
                <w:rtl w:val="0"/>
              </w:rPr>
              <w:t xml:space="preserve"> saistīti jautājumi. Iespējams vērtējama ģenerālklauzulas iekļaušana Vadarbības mazināšanas likumā, kas speciālistu regulāru mācīšanās un profesionālo zināšanu regulāru apguves procesu nosaka kā pamatprincipu.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 “daļēji”, jo mūsu iesāktā speciālistu sagatavošana un mācību saturs jau šobrīd atbilst vairākām starptautiskām un Latvijā noteiktām normām, kas attiecas uz vardarbības atpazīšanu, prevenci, novēršanu un risināšanu.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secinājumā iekļauto pēdējo teikumu, jo mūsu ieskatā jau šobrīd speciālistu profesionālā pilnveide ir paredzēta vairākos normatīvajos aktos, kā arī vairākos plānošanas dokumentos, piemēram, “Vardarbības pret sievieti un vardarbības ģimenē novēršanas un apkarošanas plānā 2024.–2029. gadam”, kur 1. rīcības virziens paredz vairākus izglītojošus un izpratnes veicinošus pasākumus, tostarp profesionālo pilnveidi speciālistiem.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Saeimas 2025. gada 16.oktobra paziņojumā “Deklarācija par vardarbības pret sievietēm un vardarbības ģimenē novēršanu un izskaušanu" iekļauto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8.lpp. Nepieciešams saskaņot galotnes, teikumā: "Likumā definēta atšķirīgas attieksmes pieļaušana tikai ar tiesiski pamatotu objektīvu mērķi, </w:t>
            </w:r>
            <w:r w:rsidR="00000000" w:rsidRPr="00000000" w:rsidDel="00000000">
              <w:rPr>
                <w:u w:val="single"/>
                <w:rtl w:val="0"/>
              </w:rPr>
              <w:t xml:space="preserve">kā arī nosaka </w:t>
            </w:r>
            <w:r w:rsidR="00000000" w:rsidRPr="00000000" w:rsidDel="00000000">
              <w:rPr>
                <w:rtl w:val="0"/>
              </w:rPr>
              <w:t xml:space="preserve">personas tiesisk</w:t>
            </w:r>
            <w:r w:rsidR="00000000" w:rsidRPr="00000000" w:rsidDel="00000000">
              <w:rPr>
                <w:u w:val="single"/>
                <w:rtl w:val="0"/>
              </w:rPr>
              <w:t xml:space="preserve">o</w:t>
            </w:r>
            <w:r w:rsidR="00000000" w:rsidRPr="00000000" w:rsidDel="00000000">
              <w:rPr>
                <w:rtl w:val="0"/>
              </w:rPr>
              <w:t xml:space="preserve"> aizsardzīb</w:t>
            </w:r>
            <w:r w:rsidR="00000000" w:rsidRPr="00000000" w:rsidDel="00000000">
              <w:rPr>
                <w:u w:val="single"/>
                <w:rtl w:val="0"/>
              </w:rPr>
              <w:t xml:space="preserve">u</w:t>
            </w:r>
            <w:r w:rsidR="00000000" w:rsidRPr="00000000" w:rsidDel="00000000">
              <w:rPr>
                <w:rtl w:val="0"/>
              </w:rPr>
              <w:t xml:space="preserve"> situācijā, ja tā aizstāv savas tiesības nolūkā novērst atšķirīgu attieksmi, vai tiek pārkāpts atšķirīgas attieksmes aizliegums vai aizliegums var radīt nelabvēlīgas sekas."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definēta atšķirīgas attieksmes pieļaušana tikai ar tiesiski pamatotu objektīvu mērķi, kā arī </w:t>
            </w:r>
            <w:r w:rsidR="00000000" w:rsidRPr="00000000" w:rsidDel="00000000">
              <w:rPr>
                <w:u w:val="single"/>
                <w:rtl w:val="0"/>
              </w:rPr>
              <w:t xml:space="preserve">noteikta</w:t>
            </w:r>
            <w:r w:rsidR="00000000" w:rsidRPr="00000000" w:rsidDel="00000000">
              <w:rPr>
                <w:rtl w:val="0"/>
              </w:rPr>
              <w:t xml:space="preserve"> personas tiesisk</w:t>
            </w:r>
            <w:r w:rsidR="00000000" w:rsidRPr="00000000" w:rsidDel="00000000">
              <w:rPr>
                <w:u w:val="single"/>
                <w:rtl w:val="0"/>
              </w:rPr>
              <w:t xml:space="preserve">ā</w:t>
            </w:r>
            <w:r w:rsidR="00000000" w:rsidRPr="00000000" w:rsidDel="00000000">
              <w:rPr>
                <w:rtl w:val="0"/>
              </w:rPr>
              <w:t xml:space="preserve"> aizsardzīb</w:t>
            </w:r>
            <w:r w:rsidR="00000000" w:rsidRPr="00000000" w:rsidDel="00000000">
              <w:rPr>
                <w:u w:val="single"/>
                <w:rtl w:val="0"/>
              </w:rPr>
              <w:t xml:space="preserve">a</w:t>
            </w:r>
            <w:r w:rsidR="00000000" w:rsidRPr="00000000" w:rsidDel="00000000">
              <w:rPr>
                <w:rtl w:val="0"/>
              </w:rPr>
              <w:t xml:space="preserve"> situācijā, ja tā aizstāv savas tiesības nolūkā novērst atšķirīgu attieksmi, vai tiek pārkāpts atšķirīgas attieksmes aizliegums vai aizliegums var radīt nelabvēlīgas sekas.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Saeimas 2025. gada 16.oktobra paziņojumā “Deklarācija par vardarbības pret sievietēm un vardarbības ģimenē novēršanu un izskaušanu" iekļauto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8.lpp. Aicinām precizēt teikumu "Darba likumā ir noteikts vienlīdzīgu tiesību princips, paredzot tiesību uz darbu, taisnīgiem, drošiem un veselībai nekaitīgiem darba apstākļiem, kā arī uz taisnīgu darba </w:t>
            </w:r>
            <w:r w:rsidR="00000000" w:rsidRPr="00000000" w:rsidDel="00000000">
              <w:rPr>
                <w:u w:val="single"/>
                <w:rtl w:val="0"/>
              </w:rPr>
              <w:t xml:space="preserve">samaksu īstenošanu </w:t>
            </w:r>
            <w:r w:rsidR="00000000" w:rsidRPr="00000000" w:rsidDel="00000000">
              <w:rPr>
                <w:rtl w:val="0"/>
              </w:rPr>
              <w:t xml:space="preserve">bez jebkādas tiešas vai netiešas diskriminācijas,", lai būtu skaidra teikumā ietvertā doma. Proti, norādot, ka vienlīdzīgu tiesību princips ir īstenojams bez diskriminācijas, nevis, ka "darba samaksu īstenošanu",  kur nav pabeigta doma un gramatiski neprecīza teikuma konstrukcija.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likumā ir noteikts vienlīdzīgu tiesību princips, paredzot tiesību uz darbu, taisnīgiem, drošiem un veselībai nekaitīgiem darba apstākļiem, kā arī uz taisnīgu darba samaksu. </w:t>
            </w:r>
            <w:r w:rsidR="00000000" w:rsidRPr="00000000" w:rsidDel="00000000">
              <w:rPr>
                <w:u w:val="single"/>
                <w:rtl w:val="0"/>
              </w:rPr>
              <w:t xml:space="preserve">Minētās tiesības </w:t>
            </w:r>
            <w:r w:rsidR="00000000" w:rsidRPr="00000000" w:rsidDel="00000000">
              <w:rPr>
                <w:rtl w:val="0"/>
              </w:rPr>
              <w:t xml:space="preserve">nodrošināmas bez jebkādas tiešas vai netiešas diskriminācijas,"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Saeimas 2025. gada 16.oktobra paziņojumā “Deklarācija par vardarbības pret sievietēm un vardarbības ģimenē novēršanu un izskaušanu" iekļauto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14.lpp ar iepriekš sūtīto informāciju par 2024. gada aptaujas datiem par vardarbības novēršanas un labbūtības veicināšanas programmām izglītības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Saeimas 2025. gada 16.oktobra paziņojumā “Deklarācija par vardarbības pret sievietēm un vardarbības ģimenē novēršanu un izskaušanu" iekļauto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17. lpp: "Ministru kabineta 2025. gada 16. septembra sēdē tika apstiprināts informatīvais ziņojums “Par progresu emocionālās un fiziskās vardarbības izskaušanā un nepieļaušanā izglītības iestādē, kā arī par valsts un pašvaldības institūciju sadarbības rezultātiem” (Ministru kabineta 16.09.2025. sēdes protokols Nr. 37, 46. §). Informatīvais ziņojums sagatavots sadarbībā ar Labklājības ministriju, Bērnu aizsardzības centru, Veselības ministriju, Valsts kanceleju, Valsts policiju, Izglītības kvalitātes valsts dienestu, Valsts izglītības attīstības aģentūru".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Saeimas 2025. gada 16.oktobra paziņojumā “Deklarācija par vardarbības pret sievietēm un vardarbības ģimenē novēršanu un izskaušanu" iekļauto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iepriekš iesniegtajai informācijai, precizēt 17. lpp "2025. gada 5. jūnijā Saeima 1. lasījumā atbalstīja Izglītības un zinātnes ministrijas sagatavotos grozījumus Izglītības likumā (Nr. 935/Lp14), paredzot vardarbības mazināšanu un labbūtības veicināšanu izglītības vidē, nosakot, ka izglītības iestādei ir jāīsteno sistēmiski vardarbības novēršanas un labbūtības veicināšanas pasākumi (tajā skaitā, jāīsteno kāda no labbūtības veicināšanas un vardarbības novēršanas programmām izglītības iestādēs), kā arī noteikts pienākums gan pedagogam, gan izglītojamam piedalīties izglītības iestādes īstenotajos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17.lpp lūdzam iekļaut informāciju: "Vardarbības mazināšanai un labbūtības veicināšanas pasākumiem Izglītības un zinātnes ministrija no saviem iekšējiem resursiem ir novirzījusi 600 tūkstošus eiro, slēdzot sadarbības līgumus ar pašvaldībām. Līdzekļi var tikt novirzīti pedagogu profesionālās kompetences pilnveidei, semināriem, pieredzes apmaiņai, vardarbības mazināšanas un labbūtības veicināšanas programmu iegādei u.c. Vienlaikus pedagogam noteikts pienākums nodrošināt izglītības iestādes izvēlēto vardarbības novēršanas un labbūtības veicināšanas pasākumu īstenošanu, sniegt izglītojamam nepieciešamo palīdzību un atbalstu vardarbības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13.novembrī Saeima 2. lasījumā atbalstīja Izglītības un zinātnes ministrijas sagatavotos grozījumus Izglītības likumā (Nr. 935/Lp14), paredzot vardarbības mazināšanu un labbūtības veicināšanu izglītības vidē, nosakot, ka izglītības iestādei ir jāīsteno sistēmiski vardarbības novēršanas un labbūtības veicināšanas pasākumi (tajā skaitā, jāīsteno kāda no labbūtības veicināšanas un vardarbības novēršanas programmām izglītības iestādēs), kā arī noteikts pienākums gan pedagogam, gan izglītojamam piedalīties izglītības iestādes īstenotajos pasākumos, kā arī izglītojamam saņemt nepieciešamo palīdzību un atbalstu vardarbības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Saeimas 2025. gada 16.oktobra paziņojumā “Deklarācija par vardarbības pret sievietēm un vardarbības ģimenē novēršanu un izskaušanu" iekļauto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7.lpp. Aicinām precizēt teikumu: "Kopumā Ministru kabinets neiebilst, ka laika gaitā pie noteiktiem nosacījumiem var rasties nepieciešamība terminu iekļaušanai tiesību aktos", norādot, ka nepieciešamības gadījumā ir atbalstāma </w:t>
            </w:r>
            <w:r w:rsidR="00000000" w:rsidRPr="00000000" w:rsidDel="00000000">
              <w:rPr>
                <w:u w:val="single"/>
                <w:rtl w:val="0"/>
              </w:rPr>
              <w:t xml:space="preserve">noteiktās jomas</w:t>
            </w:r>
            <w:r w:rsidR="00000000" w:rsidRPr="00000000" w:rsidDel="00000000">
              <w:rPr>
                <w:rtl w:val="0"/>
              </w:rPr>
              <w:t xml:space="preserve"> terminu </w:t>
            </w:r>
            <w:r w:rsidR="00000000" w:rsidRPr="00000000" w:rsidDel="00000000">
              <w:rPr>
                <w:u w:val="single"/>
                <w:rtl w:val="0"/>
              </w:rPr>
              <w:t xml:space="preserve">definīciju</w:t>
            </w:r>
            <w:r w:rsidR="00000000" w:rsidRPr="00000000" w:rsidDel="00000000">
              <w:rPr>
                <w:rtl w:val="0"/>
              </w:rPr>
              <w:t xml:space="preserve"> iekļaušana normatīvajā aktā.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atbalsta nepieciešamības gadījumā terminu </w:t>
            </w:r>
            <w:r w:rsidR="00000000" w:rsidRPr="00000000" w:rsidDel="00000000">
              <w:rPr>
                <w:u w:val="single"/>
                <w:rtl w:val="0"/>
              </w:rPr>
              <w:t xml:space="preserve">definīciju </w:t>
            </w:r>
            <w:r w:rsidR="00000000" w:rsidRPr="00000000" w:rsidDel="00000000">
              <w:rPr>
                <w:rtl w:val="0"/>
              </w:rPr>
              <w:t xml:space="preserve">iekļaušanu tiesību aktos, </w:t>
            </w:r>
            <w:r w:rsidR="00000000" w:rsidRPr="00000000" w:rsidDel="00000000">
              <w:rPr>
                <w:u w:val="single"/>
                <w:rtl w:val="0"/>
              </w:rPr>
              <w:t xml:space="preserve">kas regulē vardarbības pret sievietēm un vardarbības ģimenē novēršanas un izskaušanas jomu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Saeimas 2025. gada 16.oktobra paziņojumā “Deklarācija par vardarbības pret sievietēm un vardarbības ģimenē novēršanu un izskaušanu" iekļauto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5.lpp. Sadaļā 1.1. Termini un to skaidrojums norādīts, ka "Spēkā esošajā regulējumā ar vardarbību ģimenē saistītie termini tiesību aktos nav definēti", lai gan tālāk seko uzskaitījums, kur dažādos likumos tomēr atsevišķi termini ir skaidroti un ir atrodamas definīcijas apjomā, kas attiecināms uz katru konkrēto normatīvo aktu. Aicinām papildināt Informatīvo ziņojumu, norādot, ka katrā atsevišķajā normatīvajā aktā ir atrodams attiecināmo terminu skaidrojums.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nacionālajā normatīvajā regulējumā ar vardarbību ģimenē saistītie termini tiesību aktos definēti uz konkrēto normu attiecināmā apmērā.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Saeimas 2025. gada 16.oktobra paziņojumā “Deklarācija par vardarbības pret sievietēm un vardarbības ģimenē novēršanu un izskaušanu" iekļauto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lpp. vārdā "norādīt</w:t>
            </w:r>
            <w:r w:rsidR="00000000" w:rsidRPr="00000000" w:rsidDel="00000000">
              <w:rPr>
                <w:u w:val="single"/>
                <w:rtl w:val="0"/>
              </w:rPr>
              <w:t xml:space="preserve">ā</w:t>
            </w:r>
            <w:r w:rsidR="00000000" w:rsidRPr="00000000" w:rsidDel="00000000">
              <w:rPr>
                <w:rtl w:val="0"/>
              </w:rPr>
              <w:t xml:space="preserve">jiem" labot kļūdu.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norādīt</w:t>
            </w:r>
            <w:r w:rsidR="00000000" w:rsidRPr="00000000" w:rsidDel="00000000">
              <w:rPr>
                <w:u w:val="single"/>
                <w:rtl w:val="0"/>
              </w:rPr>
              <w:t xml:space="preserve">a</w:t>
            </w:r>
            <w:r w:rsidR="00000000" w:rsidRPr="00000000" w:rsidDel="00000000">
              <w:rPr>
                <w:rtl w:val="0"/>
              </w:rPr>
              <w:t xml:space="preserve">jiem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25-TA-3079</w:t>
    </w:r>
    <w:r>
      <w:br/>
    </w:r>
    <w:r w:rsidR="00000000" w:rsidRPr="00000000" w:rsidDel="00000000">
      <w:rPr>
        <w:rtl w:val="0"/>
      </w:rPr>
      <w:t xml:space="preserve">06.01.2026. 07.16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25-TA-3079</w:t>
    </w:r>
    <w:r>
      <w:br/>
    </w:r>
    <w:r w:rsidR="00000000" w:rsidRPr="00000000" w:rsidDel="00000000">
      <w:rPr>
        <w:rtl w:val="0"/>
      </w:rPr>
      <w:t xml:space="preserve">06.01.2026. 07.16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Izziņa_25-TA-3079.docx</dc:title>
</cp:coreProperties>
</file>

<file path=docProps/custom.xml><?xml version="1.0" encoding="utf-8"?>
<Properties xmlns="http://schemas.openxmlformats.org/officeDocument/2006/custom-properties" xmlns:vt="http://schemas.openxmlformats.org/officeDocument/2006/docPropsVTypes"/>
</file>