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22-TA-1707: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finanšu tehnoloģiju sektora attīstības stratēģiju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ziņojumā sadaļā "Kopsavilkums" iekļautos FKTK aptaujas datus, kas ilustrē, ka Latvijas finanšu sektora institūcijas 5 reizes mazāk izmanto mākslīgo intelektu, 11 reizes mazāk izmanto lielos datus, bet blokķēdes tehnoloģiju izmanto 32 reizes mazāk, lūgums iekļaut analīzi, kas skaidrotu, kāpēc Latvijas finanšu sektorā tehnoloģijas tiek izmantotas tik maz (salīdzinājumā ar iepriekš minētajām valstīm, it īpaši no tām valstīm, kuru finanšu institūcijas darbojas arī Latvijā). Bez izskaidrojošas analīzes ir grūti izvērtēt, vai informatīvajā ziņojumā ierosinātās rekomendācijas ir pamatotas, vērstas uz galveno izaicinājumu risināšanu un sasniegs definēto vīziju.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Aptaujas pilnā apmērā nav publiski pieejamas. Tādēļ šobrīd detalizētāku informāciju nav iespējams pievienot.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"Kopsavilkums" sadaļā tiek minēti dati no Finanšu un kapitāla tirgus komisijas aptaujas, lai norādītu, cik liels īpatsvars no konkrētas tehnoloģijas tiek izmantots Latvijas finanšu sektorā. Lūgums atšifrēt minētās aptaujas nosaukumu, veikšanas laiku un aptaujāto dalībnieku skaitu, kā arī, ja iespējams, norādi, kur var detalizētāk iepazīties ar minētās aptaujas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informācijas avots ir FKTK veikta aptauja, kas šobrīd nav publiski pieejama.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informatīvā ziņojuma un tajā iekļautā aktivitāšu plāna struktūru, piemēram, strukturēt nepieciešamās aktivitātes atbilstoši sadaļā "Stratēģijas attīstības virzienu izpildes priekšnosacījumi un rekomendācijas" minētajam, lai būtu nepārprotami skaidrs, kuras aktivitātes palīdzēs īstenot katru konkrēto priekšnosacījumu vai rekomendāciju.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visus stratēģijas mērķus un uzdevumus, tie tika sagrupēti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AtbAtbalstoša vides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Fintech ekosistēmas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pieejamības nodrošināšana Latvijā un Latvijas kā fintech attīstības centra atpazīstamības veicināšana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struktūra tika saskaņota darba grupā un pietiekami sasaista rekomendācijas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aktivitāšu plāna tabulā atsevišķi nodalīt kolonnu "Mērķis / uzdevums", jo mērķis nevar būt vienlaikus uzdevums un otrādi. Attiecīgi, lūdzam precizēt katra uzdevuma mērķi, lai būtu skaidri saprotams, kas ar konkrētā uzdevuma izpildi tiks sasniegts.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informatīvā ziņojuma sadaļas "Aktivitāšu plāns" 12. uzdevuma "Veikt izvērtējumu par valsts atbalsta programmām, kur ierobežota finanšu starpniecības nozare, lai saprastu, kādi ierobežojumi pastāv attiecībā uz finanšu pakalpojumiem. Atkarībā no rezultātiem paplašināt esošās vai ieviest attiecīgas atbalsta programmas atbilstoši identificētai tirgus nepilnībai un valsts atbalsta regulējumam" iekļaušanu un lūdz to svītrot. 2022. gada maija sanāksmē Ekonomikas ministrija informēja Finanšu ministriju, ka šāda tirgus nepilnība nepastāv un tiek turpinātas sarunas ar finanšu nozari par to, kuras atbalsta programmas nav pieejamas. Turklāt, šobrīd atbalsta programmas ir noslēguma fāzē līdz ar to neredzam lietderīgumu šād izvērtējuma veikšanai. Informējam, ka Ekonomikas ministrija ir atvērta un atbalsta jaunu finanšu tirgus dalībnieku ienākšanu uzņēmēju kreditēšanā, taču vienlaikus vērš uzmanību, ka, piemēram, sabiedrībai "Altum" savā darbībā ir jāievēro stingri risku pārvaldības nosacījumi, it īpaši jautājumos, kas saistāmi ar noziedzīgi iegūtu līdzekļu un terorisma un proliferācijas finansēšanas novēršanas prasību ievērošanu, kuras kopumā Eiropas Savienībā un tostarp arī Latvijā ir stingri reglamentētas, nepieļaujot atkāpes no noteiktajām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informatīvā ziņojuma sadaļas "Aktivitāšu plāns" 21. uzdevumu "Iekļaut Fintech stratēģiju, kā vienu no jaunā valsts tēla stratēģijas sastāvdaļām", jo valsts tēla stratēģija jau ir izstrādāta un apstiprināta Ministru kabinetā (skatīt Ministru kabineta 2021. gada 31. augusta informatīvo ziņojumu "Par vienota Latvias valsts tēla ieviešanas stratēģiju"). Turklāt, norādām, ka valsts tēls ir attīstīts tā, lai visas nozares varētu būt iesaistītas kopējā valsts tēla attīstībā, tāpēc nevis </w:t>
            </w:r>
            <w:r w:rsidR="00000000" w:rsidRPr="00000000" w:rsidDel="00000000">
              <w:rPr>
                <w:i w:val="1"/>
                <w:rtl w:val="0"/>
              </w:rPr>
              <w:t xml:space="preserve">fintech </w:t>
            </w:r>
            <w:r w:rsidR="00000000" w:rsidRPr="00000000" w:rsidDel="00000000">
              <w:rPr>
                <w:rtl w:val="0"/>
              </w:rPr>
              <w:t xml:space="preserve">nozarei ir jābūt daļai no valsts tēla, bet valsts tēlam ir jābūt daļai no </w:t>
            </w:r>
            <w:r w:rsidR="00000000" w:rsidRPr="00000000" w:rsidDel="00000000">
              <w:rPr>
                <w:i w:val="1"/>
                <w:rtl w:val="0"/>
              </w:rPr>
              <w:t xml:space="preserve">fintech </w:t>
            </w:r>
            <w:r w:rsidR="00000000" w:rsidRPr="00000000" w:rsidDel="00000000">
              <w:rPr>
                <w:rtl w:val="0"/>
              </w:rPr>
              <w:t xml:space="preserve">nozares attīstības.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lietot vienu terminu "</w:t>
            </w:r>
            <w:r w:rsidR="00000000" w:rsidRPr="00000000" w:rsidDel="00000000">
              <w:rPr>
                <w:i w:val="1"/>
                <w:rtl w:val="0"/>
              </w:rPr>
              <w:t xml:space="preserve">fintech</w:t>
            </w:r>
            <w:r w:rsidR="00000000" w:rsidRPr="00000000" w:rsidDel="00000000">
              <w:rPr>
                <w:rtl w:val="0"/>
              </w:rPr>
              <w:t xml:space="preserve">" pašlaik lietoto trīs terminu ("fintech", "Fintech", "FinTech")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"No augstāk minētām valstīm finanšu sektorā  MIn tehnoloģijas izmantoja 37% un 24% plāno ieviest, ar lieliem datiem strādā 59% un 18% plāno uzsākt darboties gada laikā, blokķēdes – 32% izmanto un 22% plāno sākt izmantot." un teikumā "Savukārt Latvijā MIn tehnoloģijas izmanto 7%, lielus datus 5%, blokķēdes (viedo līgumu kontekstā) 1%." norādīt, kas izmanto minētās tehnoloģijas. No pašreizējā teksta izriet, ka tehnoloģiju izmantotāji ir procenti.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saīsinājumu sarakstu vai arī tekstā sniegt atšifrējumu sekojošiem saīsinājumiem: </w:t>
            </w:r>
            <w:r w:rsidR="00000000" w:rsidRPr="00000000" w:rsidDel="00000000">
              <w:rPr>
                <w:i w:val="1"/>
                <w:rtl w:val="0"/>
              </w:rPr>
              <w:t xml:space="preserve">fintech</w:t>
            </w:r>
            <w:r w:rsidR="00000000" w:rsidRPr="00000000" w:rsidDel="00000000">
              <w:rPr>
                <w:rtl w:val="0"/>
              </w:rPr>
              <w:t xml:space="preserve">, MIn, MI, IKT, IS, CB, IC, BL, LD, DeFi, MI/ENI, NILLTPFN, RegTech.</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Saīsinājumu saraksts (IZ pielikumā) papildināts vai arī lietotie saīsinājumi nomainīti.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Teikumu "Kopā ar citām Baltijas valstīm Latvijai ir iespēja kļūt par inovāciju un darbības centru, pateicoties labvēlīgiem apstākļiem finanšu tehnoloģiju uzņēmumu darbībai." papildināt, norādot par kādas darbības centru Latvijai ir iespēja kļūt.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"Turpināt pilnveidot finanšu pakalpojumu regulējumu, lai tas būtu draudzīgs fintech izveidei un attīstībai, atbilstu tendencēm finanšu pakalpojumu tirgū un tehnoloģiju attīstībai, lai Latvijā varētu ātrāk realizēt inovatīvas idejas." vārdu "draudzīgs" aizstāt ar sinonīmu.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pilnveidot finanšu pakalpojumu regulējumu, lai tas būtu veicinošs fintech izveidei un attīstībai, atbilstu tendencēm finanšu pakalpojumu tirgū un tehnoloģiju attīstībai, lai Latvijā varētu ātrāk realizēt inovatīvas idejas.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tekstā, ņemot vērā šo un citus priekšlikumus: Turpināt pilnveidot finanšu pakalpojumu regulējumu, lai tas veicinātu fintech un ilgtspējīgu kopējo Latvijas finanšu sistēmas attīstību, atbilstu tendencēm finanšu pakalpojumu tirgū un tehnoloģiju attīstībai, lai Latvijā varētu ātrāk realizēt inovatīvas idejas.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teikumu "Šāda ekosistēmai nepieciešama dinamiska un atvērta sadarbība starp galvenajiem tās dalībniekiem, t.i. uzņēmējiem, nozares profesionāļiem, uzraugiem, valsts pārvaldes, investoriem, finanšu sektora dalībniekiem un citām pusēm (piem., zinošiem profesionālo pakalpojumu sniedzējiem, izglītības iestādēm, utt.).", aizstājot "Šāda" ar "Šādai" un "pārvaldes" ar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Šādai ekosistēmai nepieciešama dinamiska un atvērta sadarbība starp galvenajiem tās dalībniekiem, t.i. uzņēmējiem, nozares profesionāļiem, uzraugiem, valsts pārvaldi, investoriem, finanšu sektora dalībniekiem un citām pusēm (piem., zinošiem profesionālo pakalpojumu sniedzējiem, izglītības iestādēm,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Aktivitāšu plāna 1. punktā saskatām divus rezultatīvos rādītājus: 1) Ieviests ES vienotais regulējums kriptoaktīvu tirgiem (MiCA) un 2) Veikts izvērtējums par Latvijas mēroga regulējuma nepieciešamību līdz tas stājas spēkā. Līdz ar to ierosinām noteikt arī divus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Aktivitāšu plāna 3., 4., 7., 8., 11., 15., 16., 18., 19., 20., 21., 22. punktu rezultatīvie rādītāji, mūsuprāt, nav izmērāmi. Tas var apgrūtināt attiecīgo mērķu / uzdevumu izpildes konstatēšanu. Ierosinām precizēt rezultatīvos rādītājus tā, lai tie būtu izmērāmi.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Daļas pasākumu rezultātus būtu grūti izmērīt kvantitatīvi.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Aktivitāšu plāna 4., 14., 15., 17., 18. un 20. punktos kā atbildīgās vai līdzatbildīgās institūcijas norādītas nozares organizācijas un Fintech nozares organizācijas. Ierosinām uzskaitīt visas nozares organizācijas, Fintech nozares organizācijas vai atsaucē norādīt, kur pieejams nozares organizāciju un Fintech nozares organizāciju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aktivitāšu plāna 21. punkta termiņu, lai tas nebūtu pagātnē.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Aktivitāšu plāna 7. punktā "NILLTPF procedūras" un "NILLTPF prasības" (attiecīgā locījumā) aizstāt ar "NILLTPFN procedūras" un "NILLTPFN prasības"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Aktivitāšu plāna 7. punktā vārdus "riskos balstītos" aizstāt ar vārdiem "risku novērtējumā balstītas" atbilstoši Noziedzīgi iegūtu līdzekļu legalizācijas un terorisma un proliferācijas finansēšanas novēršanas likumā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Vīzijas precizēšana iekļaujot vārdu drošus fintech biznesa modeļus.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aicina izteikt vīziju šādā formulējumā: Latvija kā ES līmenī nozīmīgs fintech centrs, kur fintech uzņēmumi ir inovāciju un konkurences veicinātāji finanšu sektorā, attīstot nozīmīgus, drošus un starptautiski mērogojamus biznesa modeļus.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vārda "fintech" lietojums.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aicina precizēt vārda "fintech" lietojumu un konsekventi pieturēties vārdu rakstīt ar mazo burtu.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regulējuma virsmērķis.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aicina izteikt 4.1. punktu šādā redakcijā: Turpināt pilnveidot finanšu pakalpojumu regulējumu, lai tas būtu draudzīgs fintech izveidei un ilgtspējīgai kopējai Latvijas finanšu sistēmas attīstībai, atbilstu tendencēm finanšu pakalpojumu tirgū un tehnoloģiju attīstībai, lai Latvijā varētu ātrāk realizēt inovatīvas idejas.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Numurācija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ierosina no pārskatāmības viedokļa 4. punkta apakšpunktus apzīmēt ar 4.1., 4.2., utt.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8.stratēģijas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aicina pārfomulēt šādi: "8. Latvijā jāveido kvalitatīva iekšējā komunikācija, lai gan esošie ekosistēmas dalībnieki, gan citi interesanti uzzinātu par iespējām darboties fintech jomā un pieejamajiem resursiem tirgū. Savukārt, komunikāciju ārpus Latvijas jāveido iepriekš nosakot mērķa tirgus, lai tajos veicinātu Latvijas, kā fintech centra, atpazīstamību.".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DORA pieminēšana.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ierosina, ka ņemot vērā, ka tabulas 1. punktā ir pieminēta MICA, atsaukties arī uz ES Digital Operational Resilience Act (DORA).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pareizrakstība.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aicina novērst pareizrakstības kļūdas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w:t>
            </w:r>
            <w:r w:rsidR="00000000" w:rsidRPr="00000000" w:rsidDel="00000000">
              <w:rPr>
                <w:rtl w:val="0"/>
              </w:rPr>
              <w:t xml:space="preserve">Banka aicina saīsinājumu sarakstā lietot korektus institūciju pilnos nosaukumus, piemēram, Latvijas Banka, 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Sadaļā 1.2.1 "Kognitīvās tehnoloģijas un mākslīgais intelekts" Latvijas Banka aicina papildināt sadaļu, ka MIn risinājumi nedrīkst diskriminēt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1.2.3 "Lielie dati un analīze" Latvijas Banka ierosina līdzvērtīgi DLT sadaļai sniegt skaidrojumu, kas ir "lielie dati" un "atvērtie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rtl w:val="0"/>
              </w:rPr>
              <w:t xml:space="preserve">Latvijas Banka aicina aizstāt vārdu "kriptovalūtas" ar vārdu "kriptoaktīvi".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Sadaļā 1.4 "Sektorālā analīze" L</w:t>
            </w:r>
            <w:r w:rsidR="00000000" w:rsidRPr="00000000" w:rsidDel="00000000">
              <w:rPr>
                <w:rtl w:val="0"/>
              </w:rPr>
              <w:t xml:space="preserve">atvijas Banka aicina vismaz pāris teikumos aprakstīt situāciju par 2021.gadu, lai sniegtu ieskatu vai tendences turpinās.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Banka aicina pārstrādāt sadaļu 1.4.2. "Kolektīvās finansēšanas platformas un investīciju platformas (ieguldījumu pakalpojumu sniedzēji)" ievērojot, ka investīciju platformas ir saņēmušas IBS licences un tādēļ ir notikušas būtiskas pārmaiņas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ierosina sadaļā 1.4.4 "Virtuālo aktīvu pakalpojumu sniedzēji", ņemot vēra kriptoaktīvu vērtības svārstīgumu un regulējuma trūkumu, nenorādīt, ka virtuālo valūtu ekonomiskais mērķis ir ieguldījumi, visur vārdu "kriptovalūtas", vārdus "virtuālās valūtas" un vārdus "virtuālie aktīvi" aizstājot ar vārdu "kriptoaktīvi".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Latvijas Banka aicina precizēt sadaļas 1.5.1.2 "Kolektīvās finansēšanas pakalpojumu regulējums" un 1.5.1.4. "Ieguldījumu pakalpojumu regulējums" </w:t>
            </w:r>
            <w:r w:rsidR="00000000" w:rsidRPr="00000000" w:rsidDel="00000000">
              <w:rPr>
                <w:rtl w:val="0"/>
              </w:rPr>
              <w:t xml:space="preserve"> redakcijas ievērojot, ka likumi jau ir pieņemti un izsludināti.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Sadaļā 1.8 "Kapitāla pieejamība" attēlā "Pieejamais kapitāls un investētais kapitāls 2019. gada beigās, miljoni eiro (visi ekonomikas segmenti" </w:t>
            </w:r>
            <w:r w:rsidR="00000000" w:rsidRPr="00000000" w:rsidDel="00000000">
              <w:rPr>
                <w:rtl w:val="0"/>
              </w:rPr>
              <w:t xml:space="preserve">Latvijas Banka aicina precizēt, vai dati ir par Latviju vai Baltiju kopumā, kā arī aicina pēdējā rindkopā precizēt fonda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ņemts vērā, izņemot nr. 5, kur jaunākā informācija nav tūlītēji pieejama, un daļēji nr. 7, kur, lai arī kriptoaktīvi ir augsta riska instrumenti no ieguldījumu viedokļa, tie tomēr tiek lietoti šim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"Kopsavilkums" sadaļā atšifrēt saīsinājumus, piemēram, MIn.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"Kopsavilkums" sadaļā minēto "Doing business" pētījumu, norādām, ka pētījums esošajā versijā ir partraucis savu darbību; pēdējais pētījums iznācis 2019. gada oktobrī "Doing Business 2020", līdz ar to aicinām izvērtēt nepieciešamību atsaukties uz šo pētījumu, kā arī iekļaut atsauces uz aktuālākiem pētījumiem.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"Kopsavilkums" sadaļā dzēsta atsauce uz "Doing business" pētījumu.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fintech sektora attīstības stratēģiju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Ierosinu precizēt informāciju par Latvijas Bankas sniegtajiem pakalpojumiem un izteikt Informatīvā ziņojuma pielikuma "Latvijas fintech ekosistēma un izvērtējuma par pieeju maksājumu infrastruktūrai kopsavilkums" 1.11.1.apakšpunkta otro rindkopu jaunā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piedāvātā infrastruktūra ir efektīvākā (pakalpojumu skaita un izmaksu ziņā) starp iepriekšminētajām sistēmām (STEP2, RT1 un Centrolink) un funkcionāli plašākā maksājumu infrastruktūra eiro zonā, piedāvājot kredīta pārvedumus, tai skaitā zibmaksājumus, EKS sistēmā, kā arī zibsaišu servisu. Plānots, ka drīzumā būs pieejams zibprasījumu serviss, piedāvājot to ne tikai kredītiestādēm, bet arī licencētām elektroniskās naudas un maksājumu iestādēm, e-rēķinu sistēmu operatoriem un tirgotājus apkalpojošiem finanšu tehnoloģiju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22-TA-1707</w:t>
    </w:r>
    <w:r>
      <w:br/>
    </w:r>
    <w:r w:rsidR="00000000" w:rsidRPr="00000000" w:rsidDel="00000000">
      <w:rPr>
        <w:rtl w:val="0"/>
      </w:rPr>
      <w:t xml:space="preserve">31.10.2022. 15.50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22-TA-1707</w:t>
    </w:r>
    <w:r>
      <w:br/>
    </w:r>
    <w:r w:rsidR="00000000" w:rsidRPr="00000000" w:rsidDel="00000000">
      <w:rPr>
        <w:rtl w:val="0"/>
      </w:rPr>
      <w:t xml:space="preserve">31.10.2022. 15.50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Izziņa_22-TA-1707.docx</dc:title>
</cp:coreProperties>
</file>

<file path=docProps/custom.xml><?xml version="1.0" encoding="utf-8"?>
<Properties xmlns="http://schemas.openxmlformats.org/officeDocument/2006/custom-properties" xmlns:vt="http://schemas.openxmlformats.org/officeDocument/2006/docPropsVTypes"/>
</file>