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22-TA-1017: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25. oktobra noteikumos Nr. 692 "Darbības programmas "Izaugsme un nodarbinātība" 1.2.1. specifiskā atbalsta mērķa "Palielināt privātā sektora investīcijas P&amp;A" 1.2.1.2. pasākuma "Atbalsts tehnoloģiju pārneses sistēmas pilnveidošanai"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izvērtējumu par Ministru kabineta 2016. gada 25. oktobra noteikumu Nr. 692 "Darbības programmas "Izaugsme un nodarbinātība" 1.2.1. specifiskā atbalsta mērķa "Palielināt privātā sektora investīcijas P&amp;A" 1.2.1.2. pasākuma "Atbalsts tehnoloģiju pārneses sistēmas pilnveidošanai" īstenošanas noteikumi" grozījumu ietekmi uz finansējuma saņēmēju, kura projekts jau  ir apstiprināts.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ierosinātajiem grozījumiem nav ietekmes uz iepriekšējās kārtās apstiprinātajiem projektiem, jo to īstenošanai paredzētais termiņš bija pietiekams, lai veiktu visas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grozījumi attiecībā uz pārejas nosacījumu attiektos tikai uz pēdējās (papildu 4.kārtas) publiskā konkursā atlasītiem projektiem, kuru īstenošanu plānots uzsākt 2022.gada 1.jūnijā, pētniecības darbībām jābūt veiktām ne vēlāk kā līdz 2022.gada 31.decembrim un komercializācijas darbībām ne vēlāk kā līdz 2023.gada 30.jūnijam. Ņemot vērā projektu īso īstenošanas laiku, publiskās pētniecības iestādes nevar garantēt, ka  komercializācija noslēgsies rezultatīvi.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izvērtējot iesniegtos projektus, tika secināts, ka tie iesniegti augstā gatavības pakāpē, līdz ar to pārejas nosacījums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par ierosināto grozījumu ietekmi uz finansējuma saņēmēju un projektu iesniedzējiem/īstenošanā esošajiem projektiem, t.sk., vai būs nepieciešami kādi grozījumi līgumos.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ierosinātajiem grozījumiem nav ietekmes uz iepriekšējās kārtās apstiprinātajiem projektiem, jo to īstenošanai paredzētais termiņš bija pietiekams, lai veiktu visas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grozījumi attiecībā uz pārejas nosacījumu attiektos tikai uz pēdējās (papildu 4.kārtas) publiskā konkursā atlasītiem projektiem, kuru īstenošanu plānots uzsākt 2022.gada 1.jūnijā, pētniecības darbībām jābūt veiktām ne vēlāk kā līdz 2022.gada 31.decembrim un komercializācijas darbībām ne vēlāk kā līdz 2023.gada 30.jūnijam. Ņemot vērā projektu īso īstenošanas laiku, publiskās pētniecības iestādes nevar garantēt, ka  komercializācija noslēgsies rezultatīvi.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izvērtējot iesniegtos projektus, tika secināts, ka tie iesniegti augstā gatavības pakāpē, līdz ar to pārejas nosacījums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atsaucēm uz konkrētiem MKN projekta punktiem, kuru izmaiņas attiecīgi anotācijā tiek paskaidrotas.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kādā apmērā radies programmā identificētais finansējuma pārpalikums.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kopējā aprēķinātā summa ir 800 000 EUR, kas veidojas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600 000 EUR no 101 īstenota projekta ar 1.posma darbībām, 24 pabeigtiem projektiem ar 2.posma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200 000 EUR no 30 projektiem ar 2.posma darbībām, kas noslēdzas līdz 2022.gada beigām. Lai noskaidrotu precīzākas summas, provizoriski tika veiktas projektu īstenotāju aptaujas.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atlikums veido aptuveni 5% no programmas kopējā finansējuma un ir pieejams tikai tad, kad iepriekš plānotajās 3 atlases kārtās projekti noslēdzas. Lai šo finansējumu izmantotu atbilstoši programmas mērķim, tika izsludināta papildu 4.atlases kārta.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tiek ietekmēta 1.2.1.SAM rādītāju izpilde, ņemot vērā minēto faktu, ka atsevišķas pētniecības organizācijas ir pārtraukušas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MKN 692 8.2.1.apakšpunktā minētais rādītājs pētniecības rezultātu komercializācijas projektiem ir 100 un tas ir jau sasniegts ar 101 īstenotu projektu, jo rādītāja ietvaros tiek uzskaitīti 1.posma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projektu pārtraukšana tehnoloģijas pārneses projektos attiecībā uz 2.posmu atbilst starptautiskai praksei. Projektu pārtraukšanu ietekmē informācijas trūkums par tehnoloģijām zemākā gatavības stadijā. Ne vienmēr projekta sākumā plānotās tehniskās īpašības pētniecības iestādēm izdodas sasniegt. To var redzēt, kad projekta pētniecības darbības ir pilnībā pabeigtas.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papildu 4.kārtas projekti veicinās kopējās programmas efektivitāti un pienesumu, jo tiek īstenoti tikai kā 2.posma projekti augstā gatavības pakāpē ar mērķi komercializēt produktu vai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atsauci, saskaņā ar kuru MKN noteikto atbalstāmo darbību plānots izsludināt ceturto projektu iesniegumu atlases kārtu pētniecības rezultātu komercializācijas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atbalstu paredzēts sniegt MKN 692 35. un 37. punktā minētajām darbībām. Atbalsts ir plānots tikai projektu 2.posmam.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izvērtējot 4.atlases kārtā iesniegtos projektus, tika secināts, ka tie iesniegti augstā gatavības pakāpē, līdz ar to pārejas nosacījums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tādas projektu iesniegumu atlases kārtas izsludināšanu pētniecības rezultātu komercializācijas projektiem, kas nenodrošina pētniecības projektu komercializāciju līdz galam, ņemot vērā to, ka šāds ir šī pasākuma mērķis, t.sk. ir jāveicina rādītāja "atbalstīto pētniecības rezultātu komercializācijas projektu skaits" sasniegšana.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izvērtējot 4.atlases kārtā iesniegtos projektus, tika secināts, ka tie iesniegti augstā gatavības pakāpē, līdz ar to pārejas nosacījums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Finansējuma saņēmējs lēmumu par atbalsta piešķiršanu saskaņā ar regulu Nr.  </w:t>
            </w:r>
            <w:r w:rsidR="00000000" w:rsidRPr="00000000" w:rsidDel="00000000">
              <w:rPr>
                <w:rtl w:val="0"/>
              </w:rPr>
              <w:t xml:space="preserve">651/2014</w:t>
            </w:r>
            <w:r w:rsidR="00000000" w:rsidRPr="00000000" w:rsidDel="00000000">
              <w:rPr>
                <w:rtl w:val="0"/>
              </w:rPr>
              <w:t xml:space="preserve"> var pieņemt līdz šīs regulas darbības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programma (attiecībā uz atbalstu saskaņā ar Komisijas 2014.gada 17.jūnija Regulu (ES) Nr.651/2014, ar ko noteiktas atbalsta kategorijas atzīst par saderīgām ar iekšējo tirgu, piemērojot Līguma 107. un 108.pantu (turpmāk - regula Nr.651/2014) ir paziņota Eiropas Komisijai līdz 2021.gada 30.jūnijam, attiecīgi, pēc šī datuma komercdarbības atbalstu ar minēto regulu piešķirt nedrīkst, pretējā gadījumā atbalsts kvalificējams kā nelikumīgs. Ja plānots pagarināt atbalsta programmu, lai pieņemtu jaunus lēmumus par atbalsta piešķiršanu ar regulu Nr.651/2014, lūdzam anotāciju papildināt ar informāciju, ka 20 darba dienu laikā pēc grozījumu stāšanās spēkā Eiropas Komisijā tiks iesniegta kopsavilkuma informācija, izmantojot SANI2 sistēmu, kā arī iekļaut anotācijā skaidrojumu. Vienlaikus lūdzam anotācijā ietvert skaidrojumu ka/vai no 2021.gada 30.jūnija līdz grozījumu spēkā stāšanās brīdim nav pieņemti lēmumi par atbalsta piešķiršanu saskaņā ar regulu Nr.651/2014.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notifikācija SANI2 sistēmā ir veikta 2020.gadā un ar FM 14.12.2020. vēstuli Nr.7-3/18/6681 ir saņemts apstiprinājums par atbalsta shēmas pagarināšanu līdz 31.12.2023. (EK piešķirtais lietas Nr. SA60011)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Finansējuma saņēmējs lēmumu par atbalsta piešķiršanu saskaņā ar regulu Nr. </w:t>
            </w:r>
            <w:r w:rsidR="00000000" w:rsidRPr="00000000" w:rsidDel="00000000">
              <w:rPr>
                <w:rtl w:val="0"/>
              </w:rPr>
              <w:t xml:space="preserve">651/2014</w:t>
            </w:r>
            <w:r w:rsidR="00000000" w:rsidRPr="00000000" w:rsidDel="00000000">
              <w:rPr>
                <w:rtl w:val="0"/>
              </w:rPr>
              <w:t xml:space="preserve"> var pieņemt līdz šīs regulas darbības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Šo noteikumu 31.4.apakšpunktā minēto nosacījumu var nepiemērot, ja pētniecības projekta īstenošanai piešķirts finansējums pēc 2022.gada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31.4.apakšpunktā minētais nosacījums ir viens no nosacījumiem, kas jāizpilda, lai varētu nodrošināt, ka atbalsts tiek piešķirts ar saimniecisku darbību nesaistītam pētniecības projektam. Attiecīgi aicinām saglabāt attiecīgo nosacījumu MKN arī pēc 2022.gada 1.janvāra. Ja pēc 2022.gada 1.janvāra piešķirtajam  finansējumam pētniecības organizāciju iesniegtajiem projektiem šo nosacījumu nepiemēros, lūdzam precizēt MKN un nodrošināt, ka attiecībā uz  33., 35. vai 37.  punktā minētajiem projektiem tiek piemēroti komercdarbības atbalsta kontroles nosacījumi, ja iespējams, vai piemērots 39.</w:t>
            </w:r>
            <w:r w:rsidR="00000000" w:rsidRPr="00000000" w:rsidDel="00000000">
              <w:rPr>
                <w:vertAlign w:val="superscript"/>
                <w:rtl w:val="0"/>
              </w:rPr>
              <w:t xml:space="preserve">2</w:t>
            </w:r>
            <w:r w:rsidR="00000000" w:rsidRPr="00000000" w:rsidDel="00000000">
              <w:rPr>
                <w:rtl w:val="0"/>
              </w:rPr>
              <w:t xml:space="preserve"> punktā noteiktais. Ar atbilstošu skaidrojumu par pieejas maiņu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izvērtējot 4.atlases kārtā iesniegtos projektus, tika secināts, ka tie iesniegti augstā gatavības pakāpē, līdz ar to pārejas nosacījums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Šo noteikumu 31.4.apakšpunktā minēto nosacījumu var nepiemērot, ja pētniecības projekta īstenošanai piešķirts finansējums pēc 2022.gada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2016. gada 25. oktobra noteikumu Nr. 692 "Darbības programmas "Izaugsme un nodarbinātība" 1.2.1. specifiskā atbalsta mērķa "Palielināt privātā sektora investīcijas P&amp;A" 1.2.1.2. pasākuma "Atbalsts tehnoloģiju pārneses sistēmas pilnveidošanai" īstenošanas noteikumi""(turpmāk- Noteikumi) regulētā pasākuma mērķis ir, sniedzot ieguldījumu Latvijas Viedās specializācijas stratēģijas mērķu sasniegšanā, atbalstīt pētniecības rezultātu komercializācijas kompetences attīstīšanu valsts pētniecības organizācijās, sekmējot šo pētniecības organizāciju īpašumā esošo pētniecības rezultātu komercializāciju gan Latvijā, gan ārvalstīs, lai palielinātu pētniecības organizāciju ienākumus no pētījumu rezultātu komercializēšanas vai pārvērstu pētījumu rezultātus veiksmīgā uzņēmējdarbībā, veicināt inovācijas aktivitāti sīkajos (mikro), mazajos, vidējos un lielajos komersantos, tehnoloģiju pārneses ceļā sniedzot tiem atbalstu jaunu vai būtiski uzlabotu produktu vai tehnoloģiju attīstībai, kā arī sekmēt jaunuzņēmumu veidošanos Latvijā, tai skaitā nodrošinot Latvijas pārstāvja ārvalstīs darbību, veicinot pētniecību, un inovatīvu ideju, produktu vai procesu izmantošanu saimnieciskajā darbībā – pētniecības rezultātu komercializāciju.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noteikumu projekta 9. punktā ietvertais regulējums ir tiešā pretrunā Noteikumu mērķim, jo paredz iespēju piešķirt finansējumu darbībām, kuras, iespējams, nerezultēsies pētniecības rezultātu komercializācijā.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skaidrots, ka pārejas nosacījums nepieciešams, lai salīdzinoši īsā laika perioda dēļ, kas pēc projektu pieteikumu atlases izsludināšanas un projektu apstiprināšanas paliks praktiskai projekta realizācijai, kā arī ņemot vērā laikietilpīgās komercializācijas procesuālās darbības, pētniecības organizācijām nebūtu obligāts nosacījums veikt projekta rezultāta komercializāciju projekta īstenošana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9. punkta redakcija pieļauj iespēju pētniecības rezultātu nekomercializēt, nevis nosaka iespēju veikt projekta rezultātu komercializāciju pēc projekta īstenošanas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Tieslietu ministrija neatbalsta noteikumu projekta 9. punktā ietvertā regulējuma iekļaušanu Noteikumos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Ekonomikas ministriju izvērsti pamatot noteikumu projekta nepieciešamību piemērot atšķirīgu regulējumu projektiem, kuriem pētniecības projekta īstenošanai piešķirts finansējums pēc 2022.gada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izvērtēt noteikumu projekta 9. punkta iekļautā regulējuma nepieciešamību. Ja regulējuma nepieciešamība ir pamatota un samērīga, tad lūdzam precizēt noteikumu 9. punkta redakciju, papildinot to ar nosacījumu, kādā termiņā iepriekš minētajam projekta iesniedzējam ir jāveic projekta rezultātu komercializācija, t.i., kādā termiņā pēc projekta īstenošanas laika projekta iesniedzējam ir jāveic projekta rezultātu komercializācija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izvērtējot 4.atlases kārtā iesniegtos projektus, tika secināts, ka tie iesniegti augstā gatavības pakāpē, līdz ar to pārejas nosacījums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Šo noteikumu 31.4.apakšpunktā minēto nosacījumu var nepiemērot, ja pētniecības projekta īstenošanai piešķirts finansējums pēc 2022.gada 1.janvāra.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šādai MKN punkta redakcijai. Skaidrojam, ka ir jānodrošina pētniecības projektu komercializācija līdz galam, ņemot vērā to, ka šāds ir šī pasākuma mērķis, t.sk. ir jāveicina rādītāja "atbalstīto pētniecības rezultātu komercializācijas projektu skaits" sasniegšana.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izvērtējot 4.atlases kārtā iesniegtos projektus, tika secināts, ka tie iesniegti augstā gatavības pakāpē, līdz ar to pārejas nosacījums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izziņas 2.punktā iekļauto skaidrojumu - ar izvērtējumu par ierosināto grozījumu ietekmi uz finansējuma saņēmēju un projektu iesniedzējiem/īstenošanā esošajiem projektiem, t.sk., vai būs nepieciešami kādi grozījumi līgumos.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vai </w:t>
            </w:r>
            <w:r w:rsidR="00000000" w:rsidRPr="00000000" w:rsidDel="00000000">
              <w:rPr>
                <w:rtl w:val="0"/>
              </w:rPr>
              <w:t xml:space="preserve">37.</w:t>
            </w:r>
            <w:r w:rsidR="00000000" w:rsidRPr="00000000" w:rsidDel="00000000">
              <w:rPr>
                <w:rtl w:val="0"/>
              </w:rPr>
              <w:t xml:space="preserve"> punktā minētais projekts neatbilst šo noteikumu 2.1. apakšpunkta un 31. punkta nosacījumiem, labuma guvējam ir pienākums atmaksāt atbalsta sniedzējam visu projekta ietvaros saņemto publisko finansējumu kopā ar procentiem atbilstoši Komercdarbības atbalsta kontroles likuma IV un V nodaļas nosacījumiem. Aprēķins veicams, sākot ar dienu, kad publiskais finansējums tika izmaksāts labuma guvējam.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atbalsts saskaņā ar Komercdarbības atbalsta kontroles likumā noteikto būs atgūstams vai nu  ar IV daļā, vai V daļā noteikto, kā arī to, ka nelikumīgs komercdarbības atbalsts ir atgūstams no līdzekļiem, kas brīvi no komercdarbības atbalsta, lūdzam izvērtēt iespēju precizēt 39.</w:t>
            </w:r>
            <w:r w:rsidR="00000000" w:rsidRPr="00000000" w:rsidDel="00000000">
              <w:rPr>
                <w:vertAlign w:val="superscript"/>
                <w:rtl w:val="0"/>
              </w:rPr>
              <w:t xml:space="preserve">2</w:t>
            </w:r>
            <w:r w:rsidR="00000000" w:rsidRPr="00000000" w:rsidDel="00000000">
              <w:rPr>
                <w:rtl w:val="0"/>
              </w:rPr>
              <w:t xml:space="preserve"> punktu,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noteikumu 33., 35. vai 37. punktā minētais projekts neatbilst šo noteikumu 2.1. apakšpunkta un 31. punkta nosacījumiem, labuma guvējam ir pienākums atmaksāt atbalsta sniedzējam visu projekta ietvaros saņemto publisko finansējumu kopā ar procentiem, no līdzekļiem, kas brīvi no komercdarbības atbalsta, atbilstoši Komercdarbības atbalsta kontroles likuma IV vai V nodaļas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vai </w:t>
            </w:r>
            <w:r w:rsidR="00000000" w:rsidRPr="00000000" w:rsidDel="00000000">
              <w:rPr>
                <w:rtl w:val="0"/>
              </w:rPr>
              <w:t xml:space="preserve">37.</w:t>
            </w:r>
            <w:r w:rsidR="00000000" w:rsidRPr="00000000" w:rsidDel="00000000">
              <w:rPr>
                <w:rtl w:val="0"/>
              </w:rPr>
              <w:t xml:space="preserve"> punktā minētais projekts neatbilst šo noteikumu 2.1. apakšpunkta un 31. punkta nosacījumiem, labuma guvējam ir pienākums atmaksāt atbalsta sniedzējam visu projekta ietvaros saņemto publisko finansējumu kopā ar procentiem, no līdzekļiem, kas brīvi no komercdarbības atbalsta, atbilstoši Komercdarbības atbalsta kontroles likuma IV vai V nodaļas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r w:rsidR="00000000" w:rsidRPr="00000000" w:rsidDel="00000000">
              <w:rPr>
                <w:vertAlign w:val="superscript"/>
                <w:rtl w:val="0"/>
              </w:rPr>
              <w:t xml:space="preserve">1</w:t>
            </w:r>
            <w:r w:rsidR="00000000" w:rsidRPr="00000000" w:rsidDel="00000000">
              <w:rPr>
                <w:rtl w:val="0"/>
              </w:rPr>
              <w:t xml:space="preserve"> Ja tiek konstatēts Komisijas regulas Nr. 1407/2013 prasību pārkāpums, komercdarbības atbalsta saņēmējam ir pienākums atmaksāt atbalsta sniedzējam visu projekta ietvaros saņemto komercdarbības atbalstu kopā ar procentiem atbilstoši Komercdarbības atbalsta kontroles likuma IV un V nodaļas nosacījumiem. Aprēķins veicams, sākot ar dienu, kad nelikumīgais valsts atbalsts tika izmaksāts komercdarbības atbalsta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atbalsts saskaņā ar Komercdarbības atbalsta kontroles likumā noteikto būs atgūstams vai nu  ar IV daļā, vai V daļā noteikto, kā arī to, ka nelikumīgs komercdarbības atbalsts ir atgūstams no līdzekļiem, kas brīvi no komercdarbības atbalsta, lūdzam izvērtēt iespēju precizēt 88.</w:t>
            </w:r>
            <w:r w:rsidR="00000000" w:rsidRPr="00000000" w:rsidDel="00000000">
              <w:rPr>
                <w:vertAlign w:val="superscript"/>
                <w:rtl w:val="0"/>
              </w:rPr>
              <w:t xml:space="preserve">1</w:t>
            </w:r>
            <w:r w:rsidR="00000000" w:rsidRPr="00000000" w:rsidDel="00000000">
              <w:rPr>
                <w:rtl w:val="0"/>
              </w:rPr>
              <w:t xml:space="preserve"> punktu,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Komisijas regulas Nr. 1407/2013, komercdarbības atbalsta saņēmējam ir pienākums atmaksāt atbalsta sniedzējam visu projekta ietvaros saņemto de minimis atbalstu kopā ar procentiem no līdzekļiem, kas brīvi no komercdarbības atbalsta, atbilstoši Komercdarbības atbalsta kontroles likuma IV vai V nodaļas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kontroles normas, tostarp nosacījumi, kas izriet no Komisijas regulas Nr. 1407/2013, komercdarbības atbalsta saņēmējam ir pienākums atmaksāt atbalsta sniedzējam visu projekta ietvaros saņemto de minimis atbalstu kopā ar procentiem no līdzekļiem, kas brīvi no komercdarbības atbalsta, atbilstoši Komercdarbības atbalsta kontroles likuma IV vai V nodaļas nosacījumiem.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Ja tiek konstatēts Komisijas regulas Nr. 651/2014 prasību pārkāpums, komercdarbības atbalsta saņēmējam ir pienākums atmaksāt atbalsta sniedzējam visu projekta ietvaros saņemto nelikumīgo komercdarbības atbalstu kopā ar procentiem atbilstoši Komercdarbības atbalsta kontroles likuma IV un V nodaļas nosacījumiem. Aprēķins veicams, sākot ar dienu, kad nelikumīgais valsts atbalsts tika izmaksāts komercdarbības atbalsta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atbalsts saskaņā ar Komercdarbības atbalsta kontroles likumā noteikto būs atgūstams vai nu  ar IV daļā, vai V daļā noteikto, kā arī to, ka nelikumīgs komercdarbības atbalsts ir atgūstams no līdzekļiem, kas brīvi no komercdarbības atbalsta, lūdzam izvērtēt iespēju precizēt 104.punktu,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Komisijas regulas Nr. 651/2014, komercdarbības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Ja tiek pārkāptas šajos noteikumos noteiktās komercdarbības atbalsta kontroles normas, tostarp nosacījumi, kas izriet no Komisijas regulas Nr. 651/2014, komercdarbības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22-TA-1017</w:t>
    </w:r>
    <w:r>
      <w:br/>
    </w:r>
    <w:r w:rsidR="00000000" w:rsidRPr="00000000" w:rsidDel="00000000">
      <w:rPr>
        <w:rtl w:val="0"/>
      </w:rPr>
      <w:t xml:space="preserve">20.06.2022. 14.09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22-TA-1017</w:t>
    </w:r>
    <w:r>
      <w:br/>
    </w:r>
    <w:r w:rsidR="00000000" w:rsidRPr="00000000" w:rsidDel="00000000">
      <w:rPr>
        <w:rtl w:val="0"/>
      </w:rPr>
      <w:t xml:space="preserve">20.06.2022. 14.09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Izziņa_22-TA-1017.docx</dc:title>
</cp:coreProperties>
</file>

<file path=docProps/custom.xml><?xml version="1.0" encoding="utf-8"?>
<Properties xmlns="http://schemas.openxmlformats.org/officeDocument/2006/custom-properties" xmlns:vt="http://schemas.openxmlformats.org/officeDocument/2006/docPropsVTypes"/>
</file>