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"Problēmas apraksts" par projekta “Energoefektivitātes uzlabošana Latvijas Kultūras akadēmijas Tabakas fabrikas kvartāla ēkās Miera ielā 58a, Rīgā” Nr. 1.2.1.4.i.0/1/25/I/CFLA/010 īstenošanā identificētajiem riskiem saskaņā ar Latvijas Kultūras akadēmijas 30.07.2025. vēstulē Nr. 1.0-3.3/68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 sadaļas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aktualizēt informāciju sadaļā "Pašreizējā situācija" par pabeigtiem projektiem, šobrīd ir 3 pabeigti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 sadaļas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“Detalizēts ieņēmumu un izdevumu aprēķins (ja nepieciešams, detalizētu ieņēmumu un izdevumu aprēķinu var pievienot anotācijas (ex-ante) pielikumā)” ir norādīts, ka papildus attiecināmais finansējums 1.2.1.4.i. investīcijai “Energoefektivitātes uzlabošana valsts sektora ēkās, t. sk. vēsturiskajās ēkās “ (turpmāk – 1.2.1.4.i investīcija) paredzēts 1 153 624 euro, savukārt Ministra kabineta 2023. gada 8.augusta noteikumu Nr. 443 “Eiropas Savienības Atveseļošanas un noturības mehānisma plāna 1.2.reformu un investīciju virziena "Energoefektivitātes uzlabošana" 1.2.1.4.i. investīcijas "Energoefektivitātes uzlabošana valsts sektora ēkās, t. sk. vēsturiskajās ēkās" īstenošanas noteikumi" (turpmāk – noteikumi Nr.443) 7.punkta plānotā redakcija paredz palielināt kopējo investīcijas finansējumu par 1 153 625 euro. Lūdzam izvērtēt un veikt attiecīgus precizējumus. Vienlaikus lūdzam anotācijas 3.sadaļas 5.1.apakšpunktā norādīt precizēto finansiālo ietekmi un punktā “Cita informācija” precizēt gadu un ministriju, kura pieprasīs nepieciešamo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ievērojot ka papildu finansējuma saņēmējs ir valsts akciju sabiedrība "Valsts nekustamie īpašumi" un Latvijas Nacionālā bibliotēka.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paredzētās izmaiņas pieejamajā finansējumā, lūdzam izvērtēt nepieciešamību veikt grozījumus Ministru kabineta noteikumos, ar kuriem tiek īstenota 5.1.1.2.i. investīcija "Atbalsta instruments pētniecībai un internacionalizācijai" . Nepieciešamības gadījumā lūdzam atbilstoši papildināt noteikumu projekta anotācijas 4. sadaļu, skaidrojot paredzēto grozījumu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3. un 5. punktu tiek veiktas izmaiņas Ministru kabineta 2023. gada 8. augusta noteikumu Nr. 443 "Eiropas Savienības Atveseļošanas un noturības mehānisma plāna 1.2. reformu un investīciju virziena "Energoefektivitātes uzlabošana" 1.2.1.4.i. investīcijas "Energoefektivitātes uzlabošana valsts sektora ēkās, t. sk. vēsturiskajās ēkās" īstenošanas noteikumi" vienībās, ar kurām iepriekš ieviests Komisijas 2021. gada 28. septembra Deleģētās regulas (ES) 2021/2106, ar kuru, nosakot atveseļošanas un noturības rezultātu pārskata kopējos rādītājus un detalizētos elementus, papildina Eiropas Parlamenta un Padomes Regulu (ES) 2021/241, ar ko izveido Atveseļošanas un noturības mehānismu, pielikums, aicinām papildināt noteikumu projekta anotācijas 5. sadaļu ar skaidrojumu par minētā pielikuma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1.2.1.4.i. investīcijas "Energoefektivitātes uzlabošana valsts sektora ēkās, t. sk. vēsturiskajās ēkās" ietvaros par Atveseļošanas fonda finansējuma ietaupījumu kopumā 953 408 </w:t>
            </w:r>
            <w:r w:rsidR="00000000" w:rsidRPr="00000000" w:rsidDel="00000000">
              <w:rPr>
                <w:i w:val="1"/>
                <w:rtl w:val="0"/>
              </w:rPr>
              <w:t xml:space="preserve">euro</w:t>
            </w:r>
            <w:r w:rsidR="00000000" w:rsidRPr="00000000" w:rsidDel="00000000">
              <w:rPr>
                <w:rtl w:val="0"/>
              </w:rPr>
              <w:t xml:space="preserve"> apmērā, ko veido Atveseļošanas fonda finansējuma ietaupījums no 5.1.1.2.i. investīcijas "Atbalsta instruments pētniecībai un internacionalizācijai".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sēdes protokollēmuma projekta 2.punktā norādīto pārdalāmo finansējumu 1.2.1.4.i investīcijai ar noteikumu Nr.433 7.punkta plānotajā redakcijā paredzēto pārdalāmo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tiek plānots pārdalīt finansējumu 1.2.1.4.i investīcijai, vienlaikus nevirzot  grozījumus 5.1.1.2.i investīcijas "Atbalsta instruments pētniecībai un internacionalizācijai" (turpmāk - 5.1.1.2.i investīcija) regulējošos noteikumos administratīvā sloga mazināšanas nolūkos, aicinām to norādīt protokollēmuma projektā, kā arī izsekojamībai papildināt anotāciju ar informāciju par precīzu 5.1.1.2.i investīcijas gala finansējuma apmēru pēc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 punkts un papildināta informācija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izstrādē ir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MK noteikumi Nr. 116). Ņemot vērā, ka noteikumu projekts par papildus finansējuma nepieciešamību 1.2.1.4.i. investīcijai tiek virzīts steidzamības kārtā, vienlaikus netiek virzīti grozījumi MK noteikumos Nr. 116.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1.2.1.4.i. investīcijas "Energoefektivitātes uzlabošana valsts sektora ēkās, t. sk. vēsturiskajās ēkās" ietvaros par Atveseļošanas un noturības mehānisma (turpmāk - Atveseļošanas fonds) finansējuma ietaupījumu kopumā 953 409 </w:t>
            </w:r>
            <w:r w:rsidR="00000000" w:rsidRPr="00000000" w:rsidDel="00000000">
              <w:rPr>
                <w:i w:val="1"/>
                <w:rtl w:val="0"/>
              </w:rPr>
              <w:t xml:space="preserve">euro</w:t>
            </w:r>
            <w:r w:rsidR="00000000" w:rsidRPr="00000000" w:rsidDel="00000000">
              <w:rPr>
                <w:rtl w:val="0"/>
              </w:rPr>
              <w:t xml:space="preserve"> apmērā, ko veido Atveseļošanas fonda finansējuma ietaupījums no 5.1.1.2.i. investīcijas "Atbalsta instruments pētniecībai un internacionalizācijai".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kuras pārziņā ir šī protokollēmuma 3. punktā minētā 5.1.1.2.i. investīcija "Atbalsta instruments pētniecībai un internacionalizācijai", kuras ietvaros ir konstatēts Atveseļošanas fonda finansējuma ietaupījums, īstenošana, neuzņemas saistības par Atveseļošanas fonda finansējuma ietaupījumu šī protokollēmuma 3. 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vai precizēt norādi "kuras pārziņā ir šī protokollēmuma 3. punktā minētā 5.1.1.2.i. investīcija "Atbalsta instruments pētniecībai un internacionalizācijai"". Ierosinām tā vietā nepieciešamības gadījumā atsaukties uz Ekonomikas ministriju kā nozares ministriju, ievērojot normatīvajos aktos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kā par Atveseļošanas fonda investīciju ieviešanu atbildīgā nozares ministrija, kuras ietvaros ir konstatēts Atveseļošanas fonda finansējuma ietaupījums, neuzņemas saistības par Atveseļošanas fonda finansējuma ietaupījumu šī protokollēmuma 3. punktā minētajā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Aģentūra projekta dzīves ciklā uzrauga, vai tiek izpildīts šo noteikumu </w:t>
            </w:r>
            <w:r w:rsidR="00000000" w:rsidRPr="00000000" w:rsidDel="00000000">
              <w:rPr>
                <w:rtl w:val="0"/>
              </w:rPr>
              <w:t xml:space="preserve">56.1.</w:t>
            </w:r>
            <w:r w:rsidR="00000000" w:rsidRPr="00000000" w:rsidDel="00000000">
              <w:rPr>
                <w:rtl w:val="0"/>
              </w:rPr>
              <w:t xml:space="preserve">,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56.2.</w:t>
            </w:r>
            <w:r w:rsidR="00000000" w:rsidRPr="00000000" w:rsidDel="00000000">
              <w:rPr>
                <w:rtl w:val="0"/>
              </w:rPr>
              <w:t xml:space="preserve"> un </w:t>
            </w:r>
            <w:r w:rsidR="00000000" w:rsidRPr="00000000" w:rsidDel="00000000">
              <w:rPr>
                <w:rtl w:val="0"/>
              </w:rPr>
              <w:t xml:space="preserve">56.3.</w:t>
            </w:r>
            <w:r w:rsidR="00000000" w:rsidRPr="00000000" w:rsidDel="00000000">
              <w:rPr>
                <w:rtl w:val="0"/>
              </w:rPr>
              <w:t xml:space="preserve"> apakšpunktā</w:t>
            </w:r>
            <w:r w:rsidR="00000000" w:rsidRPr="00000000" w:rsidDel="00000000">
              <w:rPr>
                <w:rtl w:val="0"/>
              </w:rPr>
              <w:t xml:space="preserve">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56.</w:t>
            </w:r>
            <w:r w:rsidR="00000000" w:rsidRPr="00000000" w:rsidDel="00000000">
              <w:rPr>
                <w:vertAlign w:val="superscript"/>
                <w:rtl w:val="0"/>
              </w:rPr>
              <w:t xml:space="preserve">1 </w:t>
            </w:r>
            <w:r w:rsidR="00000000" w:rsidRPr="00000000" w:rsidDel="00000000">
              <w:rPr>
                <w:rtl w:val="0"/>
              </w:rPr>
              <w:t xml:space="preserve"> un 56.3.apakšpunktu nosacījuma uzraudzībai ieviest pašdeklarācijas principu.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59.</w:t>
            </w:r>
            <w:r w:rsidR="00000000" w:rsidRPr="00000000" w:rsidDel="00000000">
              <w:rPr>
                <w:vertAlign w:val="superscript"/>
                <w:rtl w:val="0"/>
              </w:rPr>
              <w:t xml:space="preserve">2</w:t>
            </w:r>
            <w:r w:rsidR="00000000" w:rsidRPr="00000000" w:rsidDel="00000000">
              <w:rPr>
                <w:rtl w:val="0"/>
              </w:rPr>
              <w:t xml:space="preserve"> punktu un papildināta informācija anotācijas 1. sadaļas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Aģentūra projekta dzīves ciklā uzrauga, vai tiek izpildīts šo noteikumu </w:t>
            </w:r>
            <w:r w:rsidR="00000000" w:rsidRPr="00000000" w:rsidDel="00000000">
              <w:rPr>
                <w:rtl w:val="0"/>
              </w:rPr>
              <w:t xml:space="preserve">56.1.</w:t>
            </w:r>
            <w:r w:rsidR="00000000" w:rsidRPr="00000000" w:rsidDel="00000000">
              <w:rPr>
                <w:rtl w:val="0"/>
              </w:rPr>
              <w:t xml:space="preserve">,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56.2.</w:t>
            </w:r>
            <w:r w:rsidR="00000000" w:rsidRPr="00000000" w:rsidDel="00000000">
              <w:rPr>
                <w:rtl w:val="0"/>
              </w:rPr>
              <w:t xml:space="preserve"> un </w:t>
            </w:r>
            <w:r w:rsidR="00000000" w:rsidRPr="00000000" w:rsidDel="00000000">
              <w:rPr>
                <w:rtl w:val="0"/>
              </w:rPr>
              <w:t xml:space="preserve">56.3.</w:t>
            </w:r>
            <w:r w:rsidR="00000000" w:rsidRPr="00000000" w:rsidDel="00000000">
              <w:rPr>
                <w:rtl w:val="0"/>
              </w:rPr>
              <w:t xml:space="preserve"> apakšpunktā</w:t>
            </w:r>
            <w:r w:rsidR="00000000" w:rsidRPr="00000000" w:rsidDel="00000000">
              <w:rPr>
                <w:rtl w:val="0"/>
              </w:rPr>
              <w:t xml:space="preserve">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nemainīt kultūras nosacījumu uzraudzības kārtību, proti, Kultūras ministrija projekta dzīves ciklā uzrauga, vai tiek izpildīti šo noteikumu 56.1. un 56.2. apakšpunktā minētie nosacījumi, un par tā izpildi rakstiski informē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59. punkts un papildināta informācija anotācijas 1. sadaļas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Ministra kabineta 2023. gada 8.augusta noteikumu Nr. 443 “Eiropas Savienības Atveseļošanas un noturības mehānisma plāna 1.2.reformu un investīciju virziena "Energoefektivitātes uzlabošana" 1.2.1.4.i. investīcijas "Energoefektivitātes uzlabošana valsts sektora ēkās, t. sk. vēsturiskajās ēkās" īstenošanas noteikumi" pielikumā norādīto finansējumu pabeigtajiem projektiem atbilstoši faktiskajiem datiem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pielikumā norādīto 1.2.1.4.i investīcijas paredzamo būvdarbu līguma kopsummu ar noteikumu projekta 2.punktā ierosināto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un papildināta informācija anotācijas 1. sadaļas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25-TA-1742</w:t>
    </w:r>
    <w:r>
      <w:br/>
    </w:r>
    <w:r w:rsidR="00000000" w:rsidRPr="00000000" w:rsidDel="00000000">
      <w:rPr>
        <w:rtl w:val="0"/>
      </w:rPr>
      <w:t xml:space="preserve">08.09.2025. 10.42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25-TA-1742</w:t>
    </w:r>
    <w:r>
      <w:br/>
    </w:r>
    <w:r w:rsidR="00000000" w:rsidRPr="00000000" w:rsidDel="00000000">
      <w:rPr>
        <w:rtl w:val="0"/>
      </w:rPr>
      <w:t xml:space="preserve">08.09.2025. 10.42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Izziņa_25-TA-1742.docx</dc:title>
</cp:coreProperties>
</file>

<file path=docProps/custom.xml><?xml version="1.0" encoding="utf-8"?>
<Properties xmlns="http://schemas.openxmlformats.org/officeDocument/2006/custom-properties" xmlns:vt="http://schemas.openxmlformats.org/officeDocument/2006/docPropsVTypes"/>
</file>