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Maksājumu pakalpojumu un elektroniskās naudas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maksājumu pakalpojumu un elektroniskās naudas iestādēm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izdarīt grozījumu piedāvātajā redakcijā, lai saskaņotu likuma prasības ar regulas 2022/2554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daļā izteikt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digitālās darbības noturības stratēģiju un informācijas drošības politiku, ar ko paredz noteikumus, lai aizsargātu savu un attiecīgā gadījumā klientu datu, informācijas aktīvu un informācijas un komunikāciju tehnoloģiju aktīvu pieejamību, autentiskumu, integritāti un konfidencialitāti saskaņā ar Regulas Nr. 2022/2554 un Finanšu tirgus digitālās darbības noturības likuma prasībām, kā arī detalizētu ar sniegtajiem pakalpojumiem saistītā riska novērtējumu un riska mazināšanas pasākumu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precizēts, izsakot Maksājumu pakalpojumu un elektroniskās naudas likuma 11. panta pirmās daļas 18.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9. panta 4. punkta “a” apakšpunktu un Finanšu tirgus digitālās darbības noturības likuma prasībām, kā arī detalizētu ar sniegtajiem pakalpojumiem saistītā riska novērtējumu un riska mazināšanas pasākumu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kārtību, kādā tiek izmantoti informācijas un komunikāciju tehnoloģiju pakalpojumi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grozījumu projekta </w:t>
            </w:r>
            <w:r w:rsidR="00000000" w:rsidRPr="00000000" w:rsidDel="00000000">
              <w:rPr>
                <w:b w:val="1"/>
                <w:rtl w:val="0"/>
              </w:rPr>
              <w:t xml:space="preserve">izslēgt </w:t>
            </w:r>
            <w:r w:rsidR="00000000" w:rsidRPr="00000000" w:rsidDel="00000000">
              <w:rPr>
                <w:rtl w:val="0"/>
              </w:rPr>
              <w:t xml:space="preserve">normu par 11. panta pirmās daļas papildināšanu ar 5.</w:t>
            </w:r>
            <w:r w:rsidR="00000000" w:rsidRPr="00000000" w:rsidDel="00000000">
              <w:rPr>
                <w:vertAlign w:val="superscript"/>
                <w:rtl w:val="0"/>
              </w:rPr>
              <w:t xml:space="preserve">1</w:t>
            </w:r>
            <w:r w:rsidR="00000000" w:rsidRPr="00000000" w:rsidDel="00000000">
              <w:rPr>
                <w:rtl w:val="0"/>
              </w:rPr>
              <w:t xml:space="preserve"> punktu, jo attiecīgi grozāms šīs panta daļas 18.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1. pants (skatīt precizējumu pie 2. priekšlikuma).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digitālās darbības noturības stratēģiju un informācijas drošības politiku saskaņā ar Eiropas Parlamenta un Padomes 2022. gada 14. decembra Regulu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 kā arī detalizētu ar sniegtajiem pakalpojumiem saistītā riska novērtējumu un riska mazināšanas pasākumu aprakstu.”;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14. punktā vārdus un skaitļus “šā likuma 104.</w:t>
            </w:r>
            <w:r w:rsidR="00000000" w:rsidRPr="00000000" w:rsidDel="00000000">
              <w:rPr>
                <w:vertAlign w:val="superscript"/>
                <w:rtl w:val="0"/>
              </w:rPr>
              <w:t xml:space="preserve">2</w:t>
            </w:r>
            <w:r w:rsidR="00000000" w:rsidRPr="00000000" w:rsidDel="00000000">
              <w:rPr>
                <w:rtl w:val="0"/>
              </w:rPr>
              <w:t xml:space="preserve"> panta” ar vārdiem un skaitļiem “Regulas Nr. 2022/2554 III nodaļas”;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precizējama pēc 5.</w:t>
            </w:r>
            <w:r w:rsidR="00000000" w:rsidRPr="00000000" w:rsidDel="00000000">
              <w:rPr>
                <w:vertAlign w:val="superscript"/>
                <w:rtl w:val="0"/>
              </w:rPr>
              <w:t xml:space="preserve">1</w:t>
            </w:r>
            <w:r w:rsidR="00000000" w:rsidRPr="00000000" w:rsidDel="00000000">
              <w:rPr>
                <w:rtl w:val="0"/>
              </w:rPr>
              <w:t xml:space="preserve"> punkta svītrošanas no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14. punktā vārdus un skaitļus “šā likuma 104.</w:t>
            </w:r>
            <w:r w:rsidR="00000000" w:rsidRPr="00000000" w:rsidDel="00000000">
              <w:rPr>
                <w:vertAlign w:val="superscript"/>
                <w:rtl w:val="0"/>
              </w:rPr>
              <w:t xml:space="preserve">2</w:t>
            </w:r>
            <w:r w:rsidR="00000000" w:rsidRPr="00000000" w:rsidDel="00000000">
              <w:rPr>
                <w:rtl w:val="0"/>
              </w:rPr>
              <w:t xml:space="preserve"> panta” ar vārdiem un skaitļiem “Eiropas Parlamenta un Padomes 2022. gada 14. decembra Regulas (ES) 2022/2554 par finanšu nozares digitālās darbības noturību un ar ko groza Regulas (EK) Nr. 1060/2009, (ES) Nr. 648/2012, (ES) Nr. 600/2014, (ES) Nr. 909/2014 un (ES) 2016/1011 (turpmāk – Regula Nr. 2022/2554) III nodaļas”;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likumprojekta 1. pantā veikts, saglabājot atsauci uz Regulu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14. punktā vārdus un skaitļus “šā likuma 104.</w:t>
            </w:r>
            <w:r w:rsidR="00000000" w:rsidRPr="00000000" w:rsidDel="00000000">
              <w:rPr>
                <w:vertAlign w:val="superscript"/>
                <w:rtl w:val="0"/>
              </w:rPr>
              <w:t xml:space="preserve">2</w:t>
            </w:r>
            <w:r w:rsidR="00000000" w:rsidRPr="00000000" w:rsidDel="00000000">
              <w:rPr>
                <w:rtl w:val="0"/>
              </w:rPr>
              <w:t xml:space="preserve"> panta” ar vārdiem un skaitļiem “Regulas Nr. 2022/2554 III nodaļas”;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Maksājumu pakalpojumu un elektroniskās naudas likuma 26.</w:t>
            </w:r>
            <w:r w:rsidR="00000000" w:rsidRPr="00000000" w:rsidDel="00000000">
              <w:rPr>
                <w:vertAlign w:val="superscript"/>
                <w:rtl w:val="0"/>
              </w:rPr>
              <w:t xml:space="preserve">12</w:t>
            </w:r>
            <w:r w:rsidR="00000000" w:rsidRPr="00000000" w:rsidDel="00000000">
              <w:rPr>
                <w:rtl w:val="0"/>
              </w:rPr>
              <w:t xml:space="preserve"> pantu ar trešo daļu.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w:t>
            </w:r>
            <w:r w:rsidR="00000000" w:rsidRPr="00000000" w:rsidDel="00000000">
              <w:rPr>
                <w:vertAlign w:val="superscript"/>
                <w:rtl w:val="0"/>
              </w:rPr>
              <w:t xml:space="preserve">12</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likuma 26.</w:t>
            </w:r>
            <w:r w:rsidR="00000000" w:rsidRPr="00000000" w:rsidDel="00000000">
              <w:rPr>
                <w:vertAlign w:val="superscript"/>
                <w:rtl w:val="0"/>
              </w:rPr>
              <w:t xml:space="preserve">9</w:t>
            </w:r>
            <w:r w:rsidR="00000000" w:rsidRPr="00000000" w:rsidDel="00000000">
              <w:rPr>
                <w:rtl w:val="0"/>
              </w:rPr>
              <w:t xml:space="preserve"> un 26.</w:t>
            </w:r>
            <w:r w:rsidR="00000000" w:rsidRPr="00000000" w:rsidDel="00000000">
              <w:rPr>
                <w:vertAlign w:val="superscript"/>
                <w:rtl w:val="0"/>
              </w:rPr>
              <w:t xml:space="preserve">11</w:t>
            </w:r>
            <w:r w:rsidR="00000000" w:rsidRPr="00000000" w:rsidDel="00000000">
              <w:rPr>
                <w:rtl w:val="0"/>
              </w:rPr>
              <w:t xml:space="preserve"> pantā minētajiem pārkāpumiem iekasētās soda naudas ieskaitāmas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26.</w:t>
            </w:r>
            <w:r w:rsidR="00000000" w:rsidRPr="00000000" w:rsidDel="00000000">
              <w:rPr>
                <w:vertAlign w:val="superscript"/>
                <w:rtl w:val="0"/>
              </w:rPr>
              <w:t xml:space="preserve">12</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pantā minēto soda naudu ieskaita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104.</w:t>
            </w:r>
            <w:r w:rsidR="00000000" w:rsidRPr="00000000" w:rsidDel="00000000">
              <w:rPr>
                <w:vertAlign w:val="superscript"/>
                <w:rtl w:val="0"/>
              </w:rPr>
              <w:t xml:space="preserve">1</w:t>
            </w:r>
            <w:r w:rsidR="00000000" w:rsidRPr="00000000" w:rsidDel="00000000">
              <w:rPr>
                <w:rtl w:val="0"/>
              </w:rPr>
              <w:t xml:space="preserve"> panta grozījumus piedāvātajā redakcijā, saskaņojot likuma un regulas 2022/2554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Licencēta iestāde izveido un pārvalda tīklu un informācijas sistēmu atbilstoši Regulas Nr. 2022/2554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redakciju, jo aktuālā likuma redakcijā jau ir minēta regula 2022/2554.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56.</w:t>
            </w:r>
            <w:r w:rsidR="00000000" w:rsidRPr="00000000" w:rsidDel="00000000">
              <w:rPr>
                <w:vertAlign w:val="superscript"/>
                <w:rtl w:val="0"/>
              </w:rPr>
              <w:t xml:space="preserve">3</w:t>
            </w:r>
            <w:r w:rsidR="00000000" w:rsidRPr="00000000" w:rsidDel="00000000">
              <w:rPr>
                <w:rtl w:val="0"/>
              </w:rPr>
              <w:t xml:space="preserve"> panta pirmās daļas 2. punktā vārdus un skaitļus "Eiropas Parlamenta un Padomes 2022. gada 14. decembra regulas (ES) 2022/2554 par finanšu nozares digitālās darbības noturību un ar ko groza regulas (EK) Nr. 1060/2009, (ES) Nr. 648/2012, (ES) Nr. 600/2014, (ES) Nr. 909/2014 un (ES) 2016/1011" ar vārdiem un skaitļiem "Regulas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Aizstāt 56.</w:t>
            </w:r>
            <w:r w:rsidR="00000000" w:rsidRPr="00000000" w:rsidDel="00000000">
              <w:rPr>
                <w:vertAlign w:val="superscript"/>
                <w:rtl w:val="0"/>
              </w:rPr>
              <w:t xml:space="preserve">3</w:t>
            </w:r>
            <w:r w:rsidR="00000000" w:rsidRPr="00000000" w:rsidDel="00000000">
              <w:rPr>
                <w:rtl w:val="0"/>
              </w:rPr>
              <w:t xml:space="preserve"> panta pirmās daļas 2. punktā vārdus un skaitļus "Eiropas Parlamenta un Padomes 2022. gada 14. decembra regulas (ES) 2022/2554 par finanšu nozares digitālās darbības noturību un ar ko groza regulas (EK) Nr. 1060/2009, (ES) Nr. 648/2012, (ES) Nr. 600/2014, (ES) Nr. 909/2014 un (ES) 2016/1011" ar vārdiem un skaitļiem "Regulas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likuma 56. pantu ar 2.</w:t>
            </w:r>
            <w:r w:rsidR="00000000" w:rsidRPr="00000000" w:rsidDel="00000000">
              <w:rPr>
                <w:vertAlign w:val="superscript"/>
                <w:rtl w:val="0"/>
              </w:rPr>
              <w:t xml:space="preserve">4</w:t>
            </w:r>
            <w:r w:rsidR="00000000" w:rsidRPr="00000000" w:rsidDel="00000000">
              <w:rPr>
                <w:rtl w:val="0"/>
              </w:rPr>
              <w:t xml:space="preserve"> daļu.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56. pantu ar 2.</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Par šajā pantā minētajiem pārkāpumiem iekasētās soda naudas ieskaitāmas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56. pantu ar 2.</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Šajā pantā minēto soda naudu ieskaita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lai tā būtu saskaņota ar priekšlikumu par likuma 104.</w:t>
            </w:r>
            <w:r w:rsidR="00000000" w:rsidRPr="00000000" w:rsidDel="00000000">
              <w:rPr>
                <w:vertAlign w:val="superscript"/>
                <w:rtl w:val="0"/>
              </w:rPr>
              <w:t xml:space="preserve">1</w:t>
            </w:r>
            <w:r w:rsidR="00000000" w:rsidRPr="00000000" w:rsidDel="00000000">
              <w:rPr>
                <w:rtl w:val="0"/>
              </w:rPr>
              <w:t xml:space="preserve"> panta trešās daļas izteikšanu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ceturto un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redakciju, jo aktuālā likuma tekstā jau ir minēta regula 2022/2554.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48. punktā vārdus un skaitļus "Eiropas Parlamenta un Padomes 2022. gada 14. decembra regulai (ES) 2022/2554 par finanšu nozares digitālās darbības noturību un ar ko groza regulas (EK) Nr. 1060/2009, (ES) Nr. 648/2012, (ES) Nr. 600/2014, (ES) Nr. 909/2014 un (ES) 2016/1011" ar vārdiem un skaitļiem "Regulai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pārejas noteikumu 48. punktā vārdus un skaitļus “Eiropas Parlamenta un Padomes 2022. gada 14. decembra regulai (ES) 2022/2554 par finanšu nozares digitālās darbības noturību un ar ko groza regulas (EK) Nr. 1060/2009, (ES) Nr. 648/2012, (ES) Nr. 600/2014, (ES) Nr. 909/2014 un (ES) 2016/1011” ar vārdiem un skaitļiem “Regulai Nr.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norādīto likuma spēkā stāšanās termiņu (nākamā diena pēc izsludināšanas), norādot, ka likums stāsies spēkā vispārējā kārtībā, vai atbilstoši precizēt likumprojektu, jo pašreiz tāds spēkā stāšanās termiņš likumprojektā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nepieciešams un paredzēts izslēgt Maksājumu pakalpojumu un elektroniskās naudas likums (turpmāk - likums) 104.</w:t>
            </w:r>
            <w:r w:rsidR="00000000" w:rsidRPr="00000000" w:rsidDel="00000000">
              <w:rPr>
                <w:vertAlign w:val="superscript"/>
                <w:rtl w:val="0"/>
              </w:rPr>
              <w:t xml:space="preserve">1</w:t>
            </w:r>
            <w:r w:rsidR="00000000" w:rsidRPr="00000000" w:rsidDel="00000000">
              <w:rPr>
                <w:rtl w:val="0"/>
              </w:rPr>
              <w:t xml:space="preserve"> panta trešo, ceturto un piekto daļu. Proti, lūdzam izvērstāk skaidrot, kā tieši likumprojekta 3. panta grozījumi pārņem Eiropas Parlamenta un Padomes 2022. gada 14. decembra direktīvas (ES) 2022/2556 ar ko groza Direktīvas 2009/65/EK, 2009/138/EK, 2011/61/ES, 2013/36/ES, 2014/59/ES, 2014/65/ES, (ES) 2015/2366 un (ES) 2016/2341 attiecībā uz finanšu nozares digitālās darbības noturību (turpmāk - Direktīva Nr. 2022/2556) prasības. No likumprojekta 3. pantā izteiktās likuma 104.</w:t>
            </w:r>
            <w:r w:rsidR="00000000" w:rsidRPr="00000000" w:rsidDel="00000000">
              <w:rPr>
                <w:vertAlign w:val="superscript"/>
                <w:rtl w:val="0"/>
              </w:rPr>
              <w:t xml:space="preserve">1</w:t>
            </w:r>
            <w:r w:rsidR="00000000" w:rsidRPr="00000000" w:rsidDel="00000000">
              <w:rPr>
                <w:rtl w:val="0"/>
              </w:rPr>
              <w:t xml:space="preserve"> panta otrās daļas izriet, ka varētu arī būt maksājumu pakalpojuma sniedzēji, uz kuriem neattiecas Regulas 2022/2554 un Finanšu tirgus digitālās darbības noturības likuma prasības. Attiecīgi aicinām anotācijā pamatot, kādēļ nepieciešami tieši šādi grozījumi, tostarp attiecīgo likuma vienību (arī pilnvarojumu Latvijas Bankai - sk. likuma 104.</w:t>
            </w:r>
            <w:r w:rsidR="00000000" w:rsidRPr="00000000" w:rsidDel="00000000">
              <w:rPr>
                <w:vertAlign w:val="superscript"/>
                <w:rtl w:val="0"/>
              </w:rPr>
              <w:t xml:space="preserve">1</w:t>
            </w:r>
            <w:r w:rsidR="00000000" w:rsidRPr="00000000" w:rsidDel="00000000">
              <w:rPr>
                <w:rtl w:val="0"/>
              </w:rPr>
              <w:t xml:space="preserve"> panta ceturto un piekto daļu) izslēgšana. Līdzīgi lūdzam pamatot arī likumprojekta 4. pantā ietvertos grozījumus. Citastarp lūdzam izvērstāk pamatot, kā tieši likumprojekta 3. un 4. pantā </w:t>
            </w:r>
            <w:r w:rsidR="00000000" w:rsidRPr="00000000" w:rsidDel="00000000">
              <w:rPr>
                <w:u w:val="single"/>
                <w:rtl w:val="0"/>
              </w:rPr>
              <w:t xml:space="preserve">pilnībā</w:t>
            </w:r>
            <w:r w:rsidR="00000000" w:rsidRPr="00000000" w:rsidDel="00000000">
              <w:rPr>
                <w:rtl w:val="0"/>
              </w:rPr>
              <w:t xml:space="preserve"> pārņemts Direktīvas 2022/2556 7. panta 4. un 5. punkts (Eiropas Parlamenta un Padomes 2015. gada 25. novembra direktīvas 2015/2366/ES par maksājumu pakalpojumiem iekšējā tirgū, ar ko groza direktīvas 2002/65/EK, 2009/110/EK un  2013/36/ES un regulu (ES) Nr. 1093/2010 un atceļ direktīvu 2007/64/EK, 95. panta 1. punkta otrās daļas </w:t>
            </w:r>
            <w:r w:rsidR="00000000" w:rsidRPr="00000000" w:rsidDel="00000000">
              <w:rPr>
                <w:u w:val="single"/>
                <w:rtl w:val="0"/>
              </w:rPr>
              <w:t xml:space="preserve">apakšpunkti</w:t>
            </w:r>
            <w:r w:rsidR="00000000" w:rsidRPr="00000000" w:rsidDel="00000000">
              <w:rPr>
                <w:rtl w:val="0"/>
              </w:rPr>
              <w:t xml:space="preserve"> un 96. panta 7. punkta </w:t>
            </w:r>
            <w:r w:rsidR="00000000" w:rsidRPr="00000000" w:rsidDel="00000000">
              <w:rPr>
                <w:u w:val="single"/>
                <w:rtl w:val="0"/>
              </w:rPr>
              <w:t xml:space="preserve">apakšpunkti</w:t>
            </w:r>
            <w:r w:rsidR="00000000" w:rsidRPr="00000000" w:rsidDel="00000000">
              <w:rPr>
                <w:rtl w:val="0"/>
              </w:rPr>
              <w:t xml:space="preserve">). Arī citviet anotācijas skaidrojumos aicinām ne tikai citēt, bet pamatot grozījumus pēc būtības, sniedzot skaidrojumu, kādēļ tie nepieciešami un kā tieši tie pārņem Direktīvas 2022/2556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likumprojekts ir precizēts un Maksājumu pakalpojumu un elektroniskās naudas likuma 104.</w:t>
            </w:r>
            <w:r w:rsidR="00000000" w:rsidRPr="00000000" w:rsidDel="00000000">
              <w:rPr>
                <w:vertAlign w:val="superscript"/>
                <w:rtl w:val="0"/>
              </w:rPr>
              <w:t xml:space="preserve">1</w:t>
            </w:r>
            <w:r w:rsidR="00000000" w:rsidRPr="00000000" w:rsidDel="00000000">
              <w:rPr>
                <w:rtl w:val="0"/>
              </w:rPr>
              <w:t xml:space="preserve"> pantā tiek izslēgta ceturtā un piektā daļa, savukārt trešā daļa tiek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un elektroniskās naudas likuma 104.</w:t>
            </w:r>
            <w:r w:rsidR="00000000" w:rsidRPr="00000000" w:rsidDel="00000000">
              <w:rPr>
                <w:vertAlign w:val="superscript"/>
                <w:rtl w:val="0"/>
              </w:rPr>
              <w:t xml:space="preserve">1</w:t>
            </w:r>
            <w:r w:rsidR="00000000" w:rsidRPr="00000000" w:rsidDel="00000000">
              <w:rPr>
                <w:rtl w:val="0"/>
              </w:rPr>
              <w:t xml:space="preserve"> panta ceturtā un piektā daļa noteic maksājumu pakalpojumu sniedzēja pienākumu Latvijas Bankai iesniegt novērtējumu par operacionālajiem un drošības riskiem un adekvātu riska mazināšanas pasākumu un kontroles mehānismu ieviešanu, kā arī deleģējumu Latvijas Bankai detalizētāk noteikt kārtību šādai ziņošanai. Pēc būtības šī funkcija turpmāk tiek noteikta Regulā Nr. 2022/2554, konkrēti tās 19. pantā, tādēļ šo normu nav nepieciešamība saglabāt Maksājumu pakalpojumu un elektroniskās naudas likumā. Savukārt uz Regulas 2022/2554 19. un 20. panta pamata Eiropas Uzraudzības iestādes izdos regulatīvo tehnisko standartu. Minētais skaidrojums attiecas arī uz Maksājumu pakalpojumu un elektroniskās naudas likuma 104.</w:t>
            </w:r>
            <w:r w:rsidR="00000000" w:rsidRPr="00000000" w:rsidDel="00000000">
              <w:rPr>
                <w:vertAlign w:val="superscript"/>
                <w:rtl w:val="0"/>
              </w:rPr>
              <w:t xml:space="preserve">2</w:t>
            </w:r>
            <w:r w:rsidR="00000000" w:rsidRPr="00000000" w:rsidDel="00000000">
              <w:rPr>
                <w:rtl w:val="0"/>
              </w:rPr>
              <w:t xml:space="preserve"> panta trešās un ceturtās daļas izslēgšanu.".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anotācijas 4. sadaļu, norādot informāciju par saistītajiem tiesību aktu projektiem. Izziņā nekorekti norādīts, ka "anotācijas 4. sadaļa aizpildāma, ja saistītu likumprojektu izstrādā/virza </w:t>
            </w:r>
            <w:r w:rsidR="00000000" w:rsidRPr="00000000" w:rsidDel="00000000">
              <w:rPr>
                <w:u w:val="single"/>
                <w:rtl w:val="0"/>
              </w:rPr>
              <w:t xml:space="preserve">kāda cita</w:t>
            </w:r>
            <w:r w:rsidR="00000000" w:rsidRPr="00000000" w:rsidDel="00000000">
              <w:rPr>
                <w:rtl w:val="0"/>
              </w:rPr>
              <w:t xml:space="preserve"> institūcija". Vēršam uzmanību, ka anotācijas 4. sadaļā norāda citastarp saistīto tiesību aktu nosaukumu, pamatojumu un aprakstu, kā arī atbildīgo institūciju (Vadlīnijas tiesību akta projekta sākotnējās ietekmes novērtēšanai un novērtējuma ziņojuma sagatavošanai Vienotajā tiesību aktu izstrādes un saskaņošanas portālā. Rīga: Valsts kanceleja, 2021, 43. lpp.). Attiecīgi atkārtoti aicinām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4. sadaļu, norādot informāciju par saistītajiem tiesību aktu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apakšsadaļas 1. tabulā norādīto informāciju par Eiropas Parlamenta un Padomes 2022. gada 14. decembra direktīvas (ES) 2022/2556, ar ko groza Direktīvas 2009/65/EK, 2009/138/EK, 2011/61/ES, 2013/36/ES, 2014/59/ES, 2014/65/ES, (ES) 2015/2366 un (ES) 2016/2341 attiecībā uz finanšu nozares digitālās darbības noturību (turpmāk - Direktīva Nr. 2022/2556),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informāciju par Direktīvas Nr. 2022/2556 7. panta 2. punkta "b" apakšpunkta pārņemšanu atbilstoši izziņas 13. punktā ietvertajam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tabulu ar informāciju par Direktīvas Nr. 2022/2556 7. panta 1. punkta pārņemšanu atbilstoši anotācijas 1.3. apakšsadaļā ietvertajam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tabulā ietvert anotācijas 1.3. apakšsadaļā norādīto informāciju: "</w:t>
            </w:r>
            <w:r w:rsidR="00000000" w:rsidRPr="00000000" w:rsidDel="00000000">
              <w:rPr>
                <w:i w:val="1"/>
                <w:rtl w:val="0"/>
              </w:rPr>
              <w:t xml:space="preserve">Direktīvas Nr. 2022/2554 7. panta 1. punkts nav jāpārņem, jo tas jau atbilst Maksājumu pakalpojumu un elektroniskās naudas likuma 3. panta pirmās daļas 9. punktam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tabulā sniegt informāciju par Direktīvas Nr. 2022/2554 7. panta 2. punkta "b" apakšpunkta pārņemšanu, skaidrojot, kur tas pārņemts.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5. sadaļas tabula, kā arī papildināta anotācijas 1.3.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7. panta 2. punkta "b" apakšpunkts pēc tā būtības tiks pārņemts </w:t>
            </w:r>
            <w:r w:rsidR="00000000" w:rsidRPr="00000000" w:rsidDel="00000000">
              <w:rPr>
                <w:rtl w:val="0"/>
              </w:rPr>
              <w:t xml:space="preserve">Latvijas Bankas 2024. gada 29. janvāra noteikumos Nr. 270 "Maksājumu iestāžu un elektroniskās naudas iestāžu licencēšanas, reģistrētas darbības atļaujas izsniegšanas un informācijas sniegšanas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24-TA-2443</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24-TA-2443</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Izziņa_24-TA-2443.docx</dc:title>
</cp:coreProperties>
</file>

<file path=docProps/custom.xml><?xml version="1.0" encoding="utf-8"?>
<Properties xmlns="http://schemas.openxmlformats.org/officeDocument/2006/custom-properties" xmlns:vt="http://schemas.openxmlformats.org/officeDocument/2006/docPropsVTypes"/>
</file>