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5A9E4A" w14:textId="77777777" w:rsidR="00E50B37" w:rsidRDefault="00E50B37"/>
    <w:tbl>
      <w:tblPr>
        <w:tblStyle w:val="Reatabula"/>
        <w:tblpPr w:vertAnchor="page" w:horzAnchor="page" w:tblpYSpec="top"/>
        <w:tblW w:w="11907" w:type="dxa"/>
        <w:tblLayout w:type="fixed"/>
        <w:tblLook w:val="04A0" w:firstRow="1" w:lastRow="0" w:firstColumn="1" w:lastColumn="0" w:noHBand="0" w:noVBand="1"/>
      </w:tblPr>
      <w:tblGrid>
        <w:gridCol w:w="5323"/>
        <w:gridCol w:w="6584"/>
      </w:tblGrid>
      <w:tr w:rsidR="00E50B37" w14:paraId="6C675F8B" w14:textId="77777777">
        <w:tc>
          <w:tcPr>
            <w:tcW w:w="5323" w:type="dxa"/>
            <w:vMerge w:val="restart"/>
            <w:tcBorders>
              <w:top w:val="nil"/>
              <w:left w:val="nil"/>
              <w:bottom w:val="nil"/>
              <w:right w:val="nil"/>
            </w:tcBorders>
            <w:shd w:val="clear" w:color="auto" w:fill="012169"/>
          </w:tcPr>
          <w:p w14:paraId="387750F4" w14:textId="77777777" w:rsidR="00E50B37" w:rsidRDefault="00645276">
            <w:pPr>
              <w:pStyle w:val="Galvene"/>
              <w:widowControl w:val="0"/>
            </w:pPr>
            <w:r>
              <w:rPr>
                <w:noProof/>
              </w:rPr>
              <w:drawing>
                <wp:anchor distT="0" distB="0" distL="0" distR="0" simplePos="0" relativeHeight="38" behindDoc="0" locked="0" layoutInCell="1" allowOverlap="1" wp14:anchorId="6A0C8A99" wp14:editId="7E2E0D3C">
                  <wp:simplePos x="0" y="0"/>
                  <wp:positionH relativeFrom="column">
                    <wp:align>center</wp:align>
                  </wp:positionH>
                  <wp:positionV relativeFrom="page">
                    <wp:align>center</wp:align>
                  </wp:positionV>
                  <wp:extent cx="1130300" cy="1144905"/>
                  <wp:effectExtent l="0" t="0" r="0" b="0"/>
                  <wp:wrapNone/>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pic:cNvPicPr>
                            <a:picLocks noChangeAspect="1" noChangeArrowheads="1"/>
                          </pic:cNvPicPr>
                        </pic:nvPicPr>
                        <pic:blipFill>
                          <a:blip r:embed="rId11"/>
                          <a:stretch>
                            <a:fillRect/>
                          </a:stretch>
                        </pic:blipFill>
                        <pic:spPr bwMode="auto">
                          <a:xfrm>
                            <a:off x="0" y="0"/>
                            <a:ext cx="1130300" cy="1144905"/>
                          </a:xfrm>
                          <a:prstGeom prst="rect">
                            <a:avLst/>
                          </a:prstGeom>
                        </pic:spPr>
                      </pic:pic>
                    </a:graphicData>
                  </a:graphic>
                </wp:anchor>
              </w:drawing>
            </w:r>
            <w:r>
              <w:t>fdp</w:t>
            </w:r>
          </w:p>
        </w:tc>
        <w:tc>
          <w:tcPr>
            <w:tcW w:w="6583" w:type="dxa"/>
            <w:tcBorders>
              <w:top w:val="nil"/>
              <w:left w:val="nil"/>
              <w:bottom w:val="nil"/>
              <w:right w:val="nil"/>
            </w:tcBorders>
            <w:shd w:val="clear" w:color="auto" w:fill="0057B8" w:themeFill="accent1"/>
            <w:tcMar>
              <w:top w:w="1134" w:type="dxa"/>
              <w:left w:w="567" w:type="dxa"/>
              <w:bottom w:w="284" w:type="dxa"/>
              <w:right w:w="851" w:type="dxa"/>
            </w:tcMar>
          </w:tcPr>
          <w:p w14:paraId="546972D6" w14:textId="77777777" w:rsidR="00E50B37" w:rsidRDefault="00645276">
            <w:pPr>
              <w:pStyle w:val="FDPVaaksatruna-mazsteksts"/>
              <w:widowControl w:val="0"/>
            </w:pPr>
            <w:r>
              <w:t xml:space="preserve"> </w:t>
            </w:r>
          </w:p>
        </w:tc>
      </w:tr>
      <w:tr w:rsidR="00E50B37" w14:paraId="3C92AEC8" w14:textId="77777777">
        <w:tc>
          <w:tcPr>
            <w:tcW w:w="5323" w:type="dxa"/>
            <w:vMerge/>
            <w:tcBorders>
              <w:top w:val="nil"/>
              <w:left w:val="nil"/>
              <w:bottom w:val="nil"/>
              <w:right w:val="nil"/>
            </w:tcBorders>
          </w:tcPr>
          <w:p w14:paraId="54C95599" w14:textId="77777777" w:rsidR="00E50B37" w:rsidRDefault="00E50B37">
            <w:pPr>
              <w:pStyle w:val="FDPList1"/>
              <w:widowControl w:val="0"/>
              <w:numPr>
                <w:ilvl w:val="0"/>
                <w:numId w:val="0"/>
              </w:numPr>
              <w:spacing w:after="0" w:line="400" w:lineRule="exact"/>
              <w:jc w:val="left"/>
            </w:pPr>
          </w:p>
        </w:tc>
        <w:tc>
          <w:tcPr>
            <w:tcW w:w="6583" w:type="dxa"/>
            <w:tcBorders>
              <w:top w:val="nil"/>
              <w:left w:val="nil"/>
              <w:bottom w:val="nil"/>
              <w:right w:val="nil"/>
            </w:tcBorders>
            <w:shd w:val="clear" w:color="auto" w:fill="9D2234" w:themeFill="accent5"/>
            <w:tcMar>
              <w:top w:w="284" w:type="dxa"/>
              <w:left w:w="567" w:type="dxa"/>
              <w:bottom w:w="284" w:type="dxa"/>
              <w:right w:w="851" w:type="dxa"/>
            </w:tcMar>
          </w:tcPr>
          <w:p w14:paraId="4AE5C365" w14:textId="1146B39E" w:rsidR="00E50B37" w:rsidRDefault="00FC72D8">
            <w:pPr>
              <w:pStyle w:val="FDPVaaksatruna-mazsteksts"/>
              <w:widowControl w:val="0"/>
            </w:pPr>
            <w:r>
              <w:t>Pieņemts</w:t>
            </w:r>
            <w:r w:rsidR="00645276">
              <w:t xml:space="preserve"> F</w:t>
            </w:r>
            <w:r>
              <w:t xml:space="preserve">iskālās disciplīnas padomes sēdē Nr.5(51) 2021. gada protokols Nr. </w:t>
            </w:r>
            <w:r w:rsidR="00EC6C8F">
              <w:t>§1.1</w:t>
            </w:r>
          </w:p>
          <w:p w14:paraId="6B85DA59" w14:textId="77777777" w:rsidR="00E50B37" w:rsidRDefault="00E50B37">
            <w:pPr>
              <w:pStyle w:val="FDPVaaksatruna-mazsteksts"/>
              <w:widowControl w:val="0"/>
            </w:pPr>
          </w:p>
          <w:p w14:paraId="09166E50" w14:textId="77777777" w:rsidR="00E50B37" w:rsidRDefault="00E50B37">
            <w:pPr>
              <w:pStyle w:val="FDPVaaksatruna-mazsteksts"/>
              <w:widowControl w:val="0"/>
            </w:pPr>
          </w:p>
        </w:tc>
      </w:tr>
    </w:tbl>
    <w:p w14:paraId="6247FF94" w14:textId="77777777" w:rsidR="00E50B37" w:rsidRDefault="00E50B37">
      <w:pPr>
        <w:pStyle w:val="FDPNosaukumsLVaaks"/>
      </w:pPr>
    </w:p>
    <w:tbl>
      <w:tblPr>
        <w:tblStyle w:val="Reatabula"/>
        <w:tblpPr w:topFromText="1985" w:vertAnchor="page" w:tblpXSpec="center" w:tblpYSpec="center"/>
        <w:tblW w:w="9338" w:type="dxa"/>
        <w:jc w:val="center"/>
        <w:tblLayout w:type="fixed"/>
        <w:tblLook w:val="04A0" w:firstRow="1" w:lastRow="0" w:firstColumn="1" w:lastColumn="0" w:noHBand="0" w:noVBand="1"/>
      </w:tblPr>
      <w:tblGrid>
        <w:gridCol w:w="9338"/>
      </w:tblGrid>
      <w:tr w:rsidR="00E50B37" w14:paraId="3DAEC29A" w14:textId="77777777">
        <w:trPr>
          <w:trHeight w:val="5670"/>
          <w:jc w:val="center"/>
        </w:trPr>
        <w:tc>
          <w:tcPr>
            <w:tcW w:w="9338" w:type="dxa"/>
            <w:tcBorders>
              <w:top w:val="nil"/>
              <w:left w:val="nil"/>
              <w:bottom w:val="nil"/>
              <w:right w:val="nil"/>
            </w:tcBorders>
            <w:vAlign w:val="center"/>
          </w:tcPr>
          <w:p w14:paraId="7F24B132" w14:textId="77777777" w:rsidR="00E50B37" w:rsidRDefault="00645276">
            <w:pPr>
              <w:pStyle w:val="FDPNosaukumsLVaaks"/>
              <w:widowControl w:val="0"/>
            </w:pPr>
            <w:r>
              <w:t>FDP Uzraudzības ziņojums par vidēja termiņa budžeta ietvaru 2022-2024 un 2022. gada budžetu</w:t>
            </w:r>
          </w:p>
        </w:tc>
      </w:tr>
    </w:tbl>
    <w:p w14:paraId="746C5619" w14:textId="77777777" w:rsidR="00E50B37" w:rsidRDefault="00E50B37">
      <w:pPr>
        <w:pStyle w:val="FDPNosaukumsLVaaks"/>
      </w:pPr>
    </w:p>
    <w:tbl>
      <w:tblPr>
        <w:tblStyle w:val="Reatabula"/>
        <w:tblpPr w:leftFromText="181" w:rightFromText="181" w:tblpYSpec="bottom"/>
        <w:tblW w:w="9338" w:type="dxa"/>
        <w:tblLayout w:type="fixed"/>
        <w:tblCellMar>
          <w:left w:w="0" w:type="dxa"/>
          <w:right w:w="0" w:type="dxa"/>
        </w:tblCellMar>
        <w:tblLook w:val="04A0" w:firstRow="1" w:lastRow="0" w:firstColumn="1" w:lastColumn="0" w:noHBand="0" w:noVBand="1"/>
      </w:tblPr>
      <w:tblGrid>
        <w:gridCol w:w="9338"/>
      </w:tblGrid>
      <w:tr w:rsidR="00E50B37" w14:paraId="7A9ED0A4" w14:textId="77777777">
        <w:trPr>
          <w:trHeight w:hRule="exact" w:val="567"/>
        </w:trPr>
        <w:tc>
          <w:tcPr>
            <w:tcW w:w="9338" w:type="dxa"/>
            <w:tcBorders>
              <w:top w:val="nil"/>
              <w:left w:val="nil"/>
              <w:bottom w:val="nil"/>
              <w:right w:val="nil"/>
            </w:tcBorders>
            <w:vAlign w:val="bottom"/>
          </w:tcPr>
          <w:p w14:paraId="7B2FFA36" w14:textId="77777777" w:rsidR="00E50B37" w:rsidRDefault="00645276">
            <w:pPr>
              <w:pStyle w:val="FDPVaaksDatums"/>
              <w:widowControl w:val="0"/>
            </w:pPr>
            <w:r>
              <w:t>2021</w:t>
            </w:r>
          </w:p>
        </w:tc>
      </w:tr>
    </w:tbl>
    <w:p w14:paraId="39B71A7D" w14:textId="77777777" w:rsidR="00E50B37" w:rsidRDefault="00645276">
      <w:pPr>
        <w:pStyle w:val="FDPNosaukumsLVaaks"/>
      </w:pPr>
      <w:r>
        <w:br w:type="column"/>
      </w:r>
      <w:bookmarkStart w:id="0" w:name="_Toc81860265"/>
      <w:r>
        <w:lastRenderedPageBreak/>
        <w:t>Saturs</w:t>
      </w:r>
      <w:bookmarkEnd w:id="0"/>
    </w:p>
    <w:sdt>
      <w:sdtPr>
        <w:rPr>
          <w:rFonts w:cstheme="minorHAnsi"/>
          <w:b w:val="0"/>
          <w:bCs w:val="0"/>
          <w:szCs w:val="20"/>
        </w:rPr>
        <w:id w:val="-733698594"/>
        <w:docPartObj>
          <w:docPartGallery w:val="Table of Contents"/>
          <w:docPartUnique/>
        </w:docPartObj>
      </w:sdtPr>
      <w:sdtEndPr/>
      <w:sdtContent>
        <w:p w14:paraId="6973277D" w14:textId="056E1E7F" w:rsidR="006E3A5F" w:rsidRDefault="00645276">
          <w:pPr>
            <w:pStyle w:val="Saturs1"/>
            <w:rPr>
              <w:rFonts w:asciiTheme="minorHAnsi" w:eastAsiaTheme="minorEastAsia" w:hAnsiTheme="minorHAnsi" w:cstheme="minorBidi"/>
              <w:b w:val="0"/>
              <w:bCs w:val="0"/>
              <w:noProof/>
              <w:color w:val="auto"/>
              <w:sz w:val="22"/>
              <w:szCs w:val="22"/>
              <w:lang w:eastAsia="lv-LV"/>
            </w:rPr>
          </w:pPr>
          <w:r>
            <w:fldChar w:fldCharType="begin"/>
          </w:r>
          <w:r>
            <w:rPr>
              <w:rStyle w:val="IndexLink"/>
              <w:webHidden/>
              <w:lang w:eastAsia="en-GB"/>
            </w:rPr>
            <w:instrText>TOC \z \o "1-9" \h</w:instrText>
          </w:r>
          <w:r>
            <w:rPr>
              <w:rStyle w:val="IndexLink"/>
              <w:lang w:eastAsia="en-GB"/>
            </w:rPr>
            <w:fldChar w:fldCharType="separate"/>
          </w:r>
          <w:hyperlink w:anchor="_Toc84839725" w:history="1">
            <w:r w:rsidR="006E3A5F" w:rsidRPr="002263FA">
              <w:rPr>
                <w:rStyle w:val="Hipersaite"/>
                <w:noProof/>
                <w:lang w:eastAsia="en-GB"/>
              </w:rPr>
              <w:t>Kopsavilkums</w:t>
            </w:r>
            <w:r w:rsidR="006E3A5F">
              <w:rPr>
                <w:noProof/>
                <w:webHidden/>
              </w:rPr>
              <w:tab/>
            </w:r>
            <w:r w:rsidR="006E3A5F">
              <w:rPr>
                <w:noProof/>
                <w:webHidden/>
              </w:rPr>
              <w:fldChar w:fldCharType="begin"/>
            </w:r>
            <w:r w:rsidR="006E3A5F">
              <w:rPr>
                <w:noProof/>
                <w:webHidden/>
              </w:rPr>
              <w:instrText xml:space="preserve"> PAGEREF _Toc84839725 \h </w:instrText>
            </w:r>
            <w:r w:rsidR="006E3A5F">
              <w:rPr>
                <w:noProof/>
                <w:webHidden/>
              </w:rPr>
            </w:r>
            <w:r w:rsidR="006E3A5F">
              <w:rPr>
                <w:noProof/>
                <w:webHidden/>
              </w:rPr>
              <w:fldChar w:fldCharType="separate"/>
            </w:r>
            <w:r w:rsidR="006E3A5F">
              <w:rPr>
                <w:noProof/>
                <w:webHidden/>
              </w:rPr>
              <w:t>3</w:t>
            </w:r>
            <w:r w:rsidR="006E3A5F">
              <w:rPr>
                <w:noProof/>
                <w:webHidden/>
              </w:rPr>
              <w:fldChar w:fldCharType="end"/>
            </w:r>
          </w:hyperlink>
        </w:p>
        <w:p w14:paraId="01BECBCB" w14:textId="6E805720" w:rsidR="006E3A5F" w:rsidRDefault="00473674">
          <w:pPr>
            <w:pStyle w:val="Saturs1"/>
            <w:rPr>
              <w:rFonts w:asciiTheme="minorHAnsi" w:eastAsiaTheme="minorEastAsia" w:hAnsiTheme="minorHAnsi" w:cstheme="minorBidi"/>
              <w:b w:val="0"/>
              <w:bCs w:val="0"/>
              <w:noProof/>
              <w:color w:val="auto"/>
              <w:sz w:val="22"/>
              <w:szCs w:val="22"/>
              <w:lang w:eastAsia="lv-LV"/>
            </w:rPr>
          </w:pPr>
          <w:hyperlink w:anchor="_Toc84839726" w:history="1">
            <w:r w:rsidR="006E3A5F" w:rsidRPr="002263FA">
              <w:rPr>
                <w:rStyle w:val="Hipersaite"/>
                <w:caps/>
                <w:noProof/>
              </w:rPr>
              <w:t>Saīsinājumi</w:t>
            </w:r>
            <w:r w:rsidR="006E3A5F">
              <w:rPr>
                <w:noProof/>
                <w:webHidden/>
              </w:rPr>
              <w:tab/>
            </w:r>
            <w:r w:rsidR="006E3A5F">
              <w:rPr>
                <w:noProof/>
                <w:webHidden/>
              </w:rPr>
              <w:fldChar w:fldCharType="begin"/>
            </w:r>
            <w:r w:rsidR="006E3A5F">
              <w:rPr>
                <w:noProof/>
                <w:webHidden/>
              </w:rPr>
              <w:instrText xml:space="preserve"> PAGEREF _Toc84839726 \h </w:instrText>
            </w:r>
            <w:r w:rsidR="006E3A5F">
              <w:rPr>
                <w:noProof/>
                <w:webHidden/>
              </w:rPr>
            </w:r>
            <w:r w:rsidR="006E3A5F">
              <w:rPr>
                <w:noProof/>
                <w:webHidden/>
              </w:rPr>
              <w:fldChar w:fldCharType="separate"/>
            </w:r>
            <w:r w:rsidR="006E3A5F">
              <w:rPr>
                <w:noProof/>
                <w:webHidden/>
              </w:rPr>
              <w:t>8</w:t>
            </w:r>
            <w:r w:rsidR="006E3A5F">
              <w:rPr>
                <w:noProof/>
                <w:webHidden/>
              </w:rPr>
              <w:fldChar w:fldCharType="end"/>
            </w:r>
          </w:hyperlink>
        </w:p>
        <w:p w14:paraId="0F9CD502" w14:textId="42301322" w:rsidR="006E3A5F" w:rsidRDefault="00473674">
          <w:pPr>
            <w:pStyle w:val="Saturs1"/>
            <w:rPr>
              <w:rFonts w:asciiTheme="minorHAnsi" w:eastAsiaTheme="minorEastAsia" w:hAnsiTheme="minorHAnsi" w:cstheme="minorBidi"/>
              <w:b w:val="0"/>
              <w:bCs w:val="0"/>
              <w:noProof/>
              <w:color w:val="auto"/>
              <w:sz w:val="22"/>
              <w:szCs w:val="22"/>
              <w:lang w:eastAsia="lv-LV"/>
            </w:rPr>
          </w:pPr>
          <w:hyperlink w:anchor="_Toc84839727" w:history="1">
            <w:r w:rsidR="006E3A5F" w:rsidRPr="002263FA">
              <w:rPr>
                <w:rStyle w:val="Hipersaite"/>
                <w:noProof/>
              </w:rPr>
              <w:t xml:space="preserve">1. </w:t>
            </w:r>
            <w:r w:rsidR="006E3A5F" w:rsidRPr="002263FA">
              <w:rPr>
                <w:rStyle w:val="Hipersaite"/>
                <w:rFonts w:eastAsiaTheme="minorHAnsi"/>
                <w:noProof/>
              </w:rPr>
              <w:t>Fiskālās politikas attīstība</w:t>
            </w:r>
            <w:r w:rsidR="006E3A5F">
              <w:rPr>
                <w:noProof/>
                <w:webHidden/>
              </w:rPr>
              <w:tab/>
            </w:r>
            <w:r w:rsidR="006E3A5F">
              <w:rPr>
                <w:noProof/>
                <w:webHidden/>
              </w:rPr>
              <w:fldChar w:fldCharType="begin"/>
            </w:r>
            <w:r w:rsidR="006E3A5F">
              <w:rPr>
                <w:noProof/>
                <w:webHidden/>
              </w:rPr>
              <w:instrText xml:space="preserve"> PAGEREF _Toc84839727 \h </w:instrText>
            </w:r>
            <w:r w:rsidR="006E3A5F">
              <w:rPr>
                <w:noProof/>
                <w:webHidden/>
              </w:rPr>
            </w:r>
            <w:r w:rsidR="006E3A5F">
              <w:rPr>
                <w:noProof/>
                <w:webHidden/>
              </w:rPr>
              <w:fldChar w:fldCharType="separate"/>
            </w:r>
            <w:r w:rsidR="006E3A5F">
              <w:rPr>
                <w:noProof/>
                <w:webHidden/>
              </w:rPr>
              <w:t>9</w:t>
            </w:r>
            <w:r w:rsidR="006E3A5F">
              <w:rPr>
                <w:noProof/>
                <w:webHidden/>
              </w:rPr>
              <w:fldChar w:fldCharType="end"/>
            </w:r>
          </w:hyperlink>
        </w:p>
        <w:p w14:paraId="0EA4724B" w14:textId="72B40173" w:rsidR="006E3A5F" w:rsidRDefault="00473674">
          <w:pPr>
            <w:pStyle w:val="Saturs2"/>
            <w:rPr>
              <w:rFonts w:asciiTheme="minorHAnsi" w:eastAsiaTheme="minorEastAsia" w:hAnsiTheme="minorHAnsi" w:cstheme="minorBidi"/>
              <w:noProof/>
              <w:color w:val="auto"/>
              <w:sz w:val="22"/>
              <w:szCs w:val="22"/>
              <w:lang w:eastAsia="lv-LV"/>
            </w:rPr>
          </w:pPr>
          <w:hyperlink w:anchor="_Toc84839728" w:history="1">
            <w:r w:rsidR="006E3A5F" w:rsidRPr="002263FA">
              <w:rPr>
                <w:rStyle w:val="Hipersaite"/>
                <w:noProof/>
              </w:rPr>
              <w:t>1.1. 2021. gada perspektīva</w:t>
            </w:r>
            <w:r w:rsidR="006E3A5F">
              <w:rPr>
                <w:noProof/>
                <w:webHidden/>
              </w:rPr>
              <w:tab/>
            </w:r>
            <w:r w:rsidR="006E3A5F">
              <w:rPr>
                <w:noProof/>
                <w:webHidden/>
              </w:rPr>
              <w:fldChar w:fldCharType="begin"/>
            </w:r>
            <w:r w:rsidR="006E3A5F">
              <w:rPr>
                <w:noProof/>
                <w:webHidden/>
              </w:rPr>
              <w:instrText xml:space="preserve"> PAGEREF _Toc84839728 \h </w:instrText>
            </w:r>
            <w:r w:rsidR="006E3A5F">
              <w:rPr>
                <w:noProof/>
                <w:webHidden/>
              </w:rPr>
            </w:r>
            <w:r w:rsidR="006E3A5F">
              <w:rPr>
                <w:noProof/>
                <w:webHidden/>
              </w:rPr>
              <w:fldChar w:fldCharType="separate"/>
            </w:r>
            <w:r w:rsidR="006E3A5F">
              <w:rPr>
                <w:noProof/>
                <w:webHidden/>
              </w:rPr>
              <w:t>9</w:t>
            </w:r>
            <w:r w:rsidR="006E3A5F">
              <w:rPr>
                <w:noProof/>
                <w:webHidden/>
              </w:rPr>
              <w:fldChar w:fldCharType="end"/>
            </w:r>
          </w:hyperlink>
        </w:p>
        <w:p w14:paraId="55C15314" w14:textId="75E4F9AD" w:rsidR="006E3A5F" w:rsidRDefault="00473674">
          <w:pPr>
            <w:pStyle w:val="Saturs2"/>
            <w:rPr>
              <w:rFonts w:asciiTheme="minorHAnsi" w:eastAsiaTheme="minorEastAsia" w:hAnsiTheme="minorHAnsi" w:cstheme="minorBidi"/>
              <w:noProof/>
              <w:color w:val="auto"/>
              <w:sz w:val="22"/>
              <w:szCs w:val="22"/>
              <w:lang w:eastAsia="lv-LV"/>
            </w:rPr>
          </w:pPr>
          <w:hyperlink w:anchor="_Toc84839729" w:history="1">
            <w:r w:rsidR="006E3A5F" w:rsidRPr="002263FA">
              <w:rPr>
                <w:rStyle w:val="Hipersaite"/>
                <w:noProof/>
              </w:rPr>
              <w:t>1.2. Fiskālā pozīcija 2022-2024 gadiem</w:t>
            </w:r>
            <w:r w:rsidR="006E3A5F">
              <w:rPr>
                <w:noProof/>
                <w:webHidden/>
              </w:rPr>
              <w:tab/>
            </w:r>
            <w:r w:rsidR="006E3A5F">
              <w:rPr>
                <w:noProof/>
                <w:webHidden/>
              </w:rPr>
              <w:fldChar w:fldCharType="begin"/>
            </w:r>
            <w:r w:rsidR="006E3A5F">
              <w:rPr>
                <w:noProof/>
                <w:webHidden/>
              </w:rPr>
              <w:instrText xml:space="preserve"> PAGEREF _Toc84839729 \h </w:instrText>
            </w:r>
            <w:r w:rsidR="006E3A5F">
              <w:rPr>
                <w:noProof/>
                <w:webHidden/>
              </w:rPr>
            </w:r>
            <w:r w:rsidR="006E3A5F">
              <w:rPr>
                <w:noProof/>
                <w:webHidden/>
              </w:rPr>
              <w:fldChar w:fldCharType="separate"/>
            </w:r>
            <w:r w:rsidR="006E3A5F">
              <w:rPr>
                <w:noProof/>
                <w:webHidden/>
              </w:rPr>
              <w:t>11</w:t>
            </w:r>
            <w:r w:rsidR="006E3A5F">
              <w:rPr>
                <w:noProof/>
                <w:webHidden/>
              </w:rPr>
              <w:fldChar w:fldCharType="end"/>
            </w:r>
          </w:hyperlink>
        </w:p>
        <w:p w14:paraId="749D0A11" w14:textId="6E7B5B27" w:rsidR="006E3A5F" w:rsidRDefault="00473674">
          <w:pPr>
            <w:pStyle w:val="Saturs2"/>
            <w:rPr>
              <w:rFonts w:asciiTheme="minorHAnsi" w:eastAsiaTheme="minorEastAsia" w:hAnsiTheme="minorHAnsi" w:cstheme="minorBidi"/>
              <w:noProof/>
              <w:color w:val="auto"/>
              <w:sz w:val="22"/>
              <w:szCs w:val="22"/>
              <w:lang w:eastAsia="lv-LV"/>
            </w:rPr>
          </w:pPr>
          <w:hyperlink w:anchor="_Toc84839730" w:history="1">
            <w:r w:rsidR="006E3A5F" w:rsidRPr="002263FA">
              <w:rPr>
                <w:rStyle w:val="Hipersaite"/>
                <w:noProof/>
              </w:rPr>
              <w:t>1.3. Pēdējo gadu fiskālā retrospekcija</w:t>
            </w:r>
            <w:r w:rsidR="006E3A5F">
              <w:rPr>
                <w:noProof/>
                <w:webHidden/>
              </w:rPr>
              <w:tab/>
            </w:r>
            <w:r w:rsidR="006E3A5F">
              <w:rPr>
                <w:noProof/>
                <w:webHidden/>
              </w:rPr>
              <w:fldChar w:fldCharType="begin"/>
            </w:r>
            <w:r w:rsidR="006E3A5F">
              <w:rPr>
                <w:noProof/>
                <w:webHidden/>
              </w:rPr>
              <w:instrText xml:space="preserve"> PAGEREF _Toc84839730 \h </w:instrText>
            </w:r>
            <w:r w:rsidR="006E3A5F">
              <w:rPr>
                <w:noProof/>
                <w:webHidden/>
              </w:rPr>
            </w:r>
            <w:r w:rsidR="006E3A5F">
              <w:rPr>
                <w:noProof/>
                <w:webHidden/>
              </w:rPr>
              <w:fldChar w:fldCharType="separate"/>
            </w:r>
            <w:r w:rsidR="006E3A5F">
              <w:rPr>
                <w:noProof/>
                <w:webHidden/>
              </w:rPr>
              <w:t>15</w:t>
            </w:r>
            <w:r w:rsidR="006E3A5F">
              <w:rPr>
                <w:noProof/>
                <w:webHidden/>
              </w:rPr>
              <w:fldChar w:fldCharType="end"/>
            </w:r>
          </w:hyperlink>
        </w:p>
        <w:p w14:paraId="47982C48" w14:textId="1F924950" w:rsidR="006E3A5F" w:rsidRDefault="00473674">
          <w:pPr>
            <w:pStyle w:val="Saturs2"/>
            <w:rPr>
              <w:rFonts w:asciiTheme="minorHAnsi" w:eastAsiaTheme="minorEastAsia" w:hAnsiTheme="minorHAnsi" w:cstheme="minorBidi"/>
              <w:noProof/>
              <w:color w:val="auto"/>
              <w:sz w:val="22"/>
              <w:szCs w:val="22"/>
              <w:lang w:eastAsia="lv-LV"/>
            </w:rPr>
          </w:pPr>
          <w:hyperlink w:anchor="_Toc84839731" w:history="1">
            <w:r w:rsidR="006E3A5F" w:rsidRPr="002263FA">
              <w:rPr>
                <w:rStyle w:val="Hipersaite"/>
                <w:noProof/>
              </w:rPr>
              <w:t>1.4. Ekonomikas stabilizācijas pasākumu fiskālā ietekme</w:t>
            </w:r>
            <w:r w:rsidR="006E3A5F">
              <w:rPr>
                <w:noProof/>
                <w:webHidden/>
              </w:rPr>
              <w:tab/>
            </w:r>
            <w:r w:rsidR="006E3A5F">
              <w:rPr>
                <w:noProof/>
                <w:webHidden/>
              </w:rPr>
              <w:fldChar w:fldCharType="begin"/>
            </w:r>
            <w:r w:rsidR="006E3A5F">
              <w:rPr>
                <w:noProof/>
                <w:webHidden/>
              </w:rPr>
              <w:instrText xml:space="preserve"> PAGEREF _Toc84839731 \h </w:instrText>
            </w:r>
            <w:r w:rsidR="006E3A5F">
              <w:rPr>
                <w:noProof/>
                <w:webHidden/>
              </w:rPr>
            </w:r>
            <w:r w:rsidR="006E3A5F">
              <w:rPr>
                <w:noProof/>
                <w:webHidden/>
              </w:rPr>
              <w:fldChar w:fldCharType="separate"/>
            </w:r>
            <w:r w:rsidR="006E3A5F">
              <w:rPr>
                <w:noProof/>
                <w:webHidden/>
              </w:rPr>
              <w:t>18</w:t>
            </w:r>
            <w:r w:rsidR="006E3A5F">
              <w:rPr>
                <w:noProof/>
                <w:webHidden/>
              </w:rPr>
              <w:fldChar w:fldCharType="end"/>
            </w:r>
          </w:hyperlink>
        </w:p>
        <w:p w14:paraId="33E7949B" w14:textId="5612EFA5" w:rsidR="006E3A5F" w:rsidRDefault="00473674">
          <w:pPr>
            <w:pStyle w:val="Saturs1"/>
            <w:rPr>
              <w:rFonts w:asciiTheme="minorHAnsi" w:eastAsiaTheme="minorEastAsia" w:hAnsiTheme="minorHAnsi" w:cstheme="minorBidi"/>
              <w:b w:val="0"/>
              <w:bCs w:val="0"/>
              <w:noProof/>
              <w:color w:val="auto"/>
              <w:sz w:val="22"/>
              <w:szCs w:val="22"/>
              <w:lang w:eastAsia="lv-LV"/>
            </w:rPr>
          </w:pPr>
          <w:hyperlink w:anchor="_Toc84839732" w:history="1">
            <w:r w:rsidR="006E3A5F" w:rsidRPr="002263FA">
              <w:rPr>
                <w:rStyle w:val="Hipersaite"/>
                <w:noProof/>
              </w:rPr>
              <w:t>2. Fiskālie riski</w:t>
            </w:r>
            <w:r w:rsidR="006E3A5F">
              <w:rPr>
                <w:noProof/>
                <w:webHidden/>
              </w:rPr>
              <w:tab/>
            </w:r>
            <w:r w:rsidR="006E3A5F">
              <w:rPr>
                <w:noProof/>
                <w:webHidden/>
              </w:rPr>
              <w:fldChar w:fldCharType="begin"/>
            </w:r>
            <w:r w:rsidR="006E3A5F">
              <w:rPr>
                <w:noProof/>
                <w:webHidden/>
              </w:rPr>
              <w:instrText xml:space="preserve"> PAGEREF _Toc84839732 \h </w:instrText>
            </w:r>
            <w:r w:rsidR="006E3A5F">
              <w:rPr>
                <w:noProof/>
                <w:webHidden/>
              </w:rPr>
            </w:r>
            <w:r w:rsidR="006E3A5F">
              <w:rPr>
                <w:noProof/>
                <w:webHidden/>
              </w:rPr>
              <w:fldChar w:fldCharType="separate"/>
            </w:r>
            <w:r w:rsidR="006E3A5F">
              <w:rPr>
                <w:noProof/>
                <w:webHidden/>
              </w:rPr>
              <w:t>23</w:t>
            </w:r>
            <w:r w:rsidR="006E3A5F">
              <w:rPr>
                <w:noProof/>
                <w:webHidden/>
              </w:rPr>
              <w:fldChar w:fldCharType="end"/>
            </w:r>
          </w:hyperlink>
        </w:p>
        <w:p w14:paraId="563CDEF7" w14:textId="072716B3" w:rsidR="006E3A5F" w:rsidRDefault="00473674">
          <w:pPr>
            <w:pStyle w:val="Saturs1"/>
            <w:rPr>
              <w:rFonts w:asciiTheme="minorHAnsi" w:eastAsiaTheme="minorEastAsia" w:hAnsiTheme="minorHAnsi" w:cstheme="minorBidi"/>
              <w:b w:val="0"/>
              <w:bCs w:val="0"/>
              <w:noProof/>
              <w:color w:val="auto"/>
              <w:sz w:val="22"/>
              <w:szCs w:val="22"/>
              <w:lang w:eastAsia="lv-LV"/>
            </w:rPr>
          </w:pPr>
          <w:hyperlink w:anchor="_Toc84839733" w:history="1">
            <w:r w:rsidR="006E3A5F" w:rsidRPr="002263FA">
              <w:rPr>
                <w:rStyle w:val="Hipersaite"/>
                <w:noProof/>
              </w:rPr>
              <w:t>3. Makroekonomiskās vides novērtējums</w:t>
            </w:r>
            <w:r w:rsidR="006E3A5F">
              <w:rPr>
                <w:noProof/>
                <w:webHidden/>
              </w:rPr>
              <w:tab/>
            </w:r>
            <w:r w:rsidR="006E3A5F">
              <w:rPr>
                <w:noProof/>
                <w:webHidden/>
              </w:rPr>
              <w:fldChar w:fldCharType="begin"/>
            </w:r>
            <w:r w:rsidR="006E3A5F">
              <w:rPr>
                <w:noProof/>
                <w:webHidden/>
              </w:rPr>
              <w:instrText xml:space="preserve"> PAGEREF _Toc84839733 \h </w:instrText>
            </w:r>
            <w:r w:rsidR="006E3A5F">
              <w:rPr>
                <w:noProof/>
                <w:webHidden/>
              </w:rPr>
            </w:r>
            <w:r w:rsidR="006E3A5F">
              <w:rPr>
                <w:noProof/>
                <w:webHidden/>
              </w:rPr>
              <w:fldChar w:fldCharType="separate"/>
            </w:r>
            <w:r w:rsidR="006E3A5F">
              <w:rPr>
                <w:noProof/>
                <w:webHidden/>
              </w:rPr>
              <w:t>25</w:t>
            </w:r>
            <w:r w:rsidR="006E3A5F">
              <w:rPr>
                <w:noProof/>
                <w:webHidden/>
              </w:rPr>
              <w:fldChar w:fldCharType="end"/>
            </w:r>
          </w:hyperlink>
        </w:p>
        <w:p w14:paraId="78428FB4" w14:textId="07152BFB" w:rsidR="006E3A5F" w:rsidRDefault="00473674">
          <w:pPr>
            <w:pStyle w:val="Saturs2"/>
            <w:rPr>
              <w:rFonts w:asciiTheme="minorHAnsi" w:eastAsiaTheme="minorEastAsia" w:hAnsiTheme="minorHAnsi" w:cstheme="minorBidi"/>
              <w:noProof/>
              <w:color w:val="auto"/>
              <w:sz w:val="22"/>
              <w:szCs w:val="22"/>
              <w:lang w:eastAsia="lv-LV"/>
            </w:rPr>
          </w:pPr>
          <w:hyperlink w:anchor="_Toc84839734" w:history="1">
            <w:r w:rsidR="006E3A5F" w:rsidRPr="002263FA">
              <w:rPr>
                <w:rStyle w:val="Hipersaite"/>
                <w:noProof/>
              </w:rPr>
              <w:t>3.1. Latvijas makroekonomikas vides aktuālais pārskats</w:t>
            </w:r>
            <w:r w:rsidR="006E3A5F">
              <w:rPr>
                <w:noProof/>
                <w:webHidden/>
              </w:rPr>
              <w:tab/>
            </w:r>
            <w:r w:rsidR="006E3A5F">
              <w:rPr>
                <w:noProof/>
                <w:webHidden/>
              </w:rPr>
              <w:fldChar w:fldCharType="begin"/>
            </w:r>
            <w:r w:rsidR="006E3A5F">
              <w:rPr>
                <w:noProof/>
                <w:webHidden/>
              </w:rPr>
              <w:instrText xml:space="preserve"> PAGEREF _Toc84839734 \h </w:instrText>
            </w:r>
            <w:r w:rsidR="006E3A5F">
              <w:rPr>
                <w:noProof/>
                <w:webHidden/>
              </w:rPr>
            </w:r>
            <w:r w:rsidR="006E3A5F">
              <w:rPr>
                <w:noProof/>
                <w:webHidden/>
              </w:rPr>
              <w:fldChar w:fldCharType="separate"/>
            </w:r>
            <w:r w:rsidR="006E3A5F">
              <w:rPr>
                <w:noProof/>
                <w:webHidden/>
              </w:rPr>
              <w:t>25</w:t>
            </w:r>
            <w:r w:rsidR="006E3A5F">
              <w:rPr>
                <w:noProof/>
                <w:webHidden/>
              </w:rPr>
              <w:fldChar w:fldCharType="end"/>
            </w:r>
          </w:hyperlink>
        </w:p>
        <w:p w14:paraId="2C8FF4C3" w14:textId="14799A2F" w:rsidR="006E3A5F" w:rsidRDefault="00473674">
          <w:pPr>
            <w:pStyle w:val="Saturs1"/>
            <w:rPr>
              <w:rFonts w:asciiTheme="minorHAnsi" w:eastAsiaTheme="minorEastAsia" w:hAnsiTheme="minorHAnsi" w:cstheme="minorBidi"/>
              <w:b w:val="0"/>
              <w:bCs w:val="0"/>
              <w:noProof/>
              <w:color w:val="auto"/>
              <w:sz w:val="22"/>
              <w:szCs w:val="22"/>
              <w:lang w:eastAsia="lv-LV"/>
            </w:rPr>
          </w:pPr>
          <w:hyperlink w:anchor="_Toc84839735" w:history="1">
            <w:r w:rsidR="006E3A5F" w:rsidRPr="002263FA">
              <w:rPr>
                <w:rStyle w:val="Hipersaite"/>
                <w:noProof/>
              </w:rPr>
              <w:t>4. Fiskālie skaitliskie nosacījumi</w:t>
            </w:r>
            <w:r w:rsidR="006E3A5F">
              <w:rPr>
                <w:noProof/>
                <w:webHidden/>
              </w:rPr>
              <w:tab/>
            </w:r>
            <w:r w:rsidR="006E3A5F">
              <w:rPr>
                <w:noProof/>
                <w:webHidden/>
              </w:rPr>
              <w:fldChar w:fldCharType="begin"/>
            </w:r>
            <w:r w:rsidR="006E3A5F">
              <w:rPr>
                <w:noProof/>
                <w:webHidden/>
              </w:rPr>
              <w:instrText xml:space="preserve"> PAGEREF _Toc84839735 \h </w:instrText>
            </w:r>
            <w:r w:rsidR="006E3A5F">
              <w:rPr>
                <w:noProof/>
                <w:webHidden/>
              </w:rPr>
            </w:r>
            <w:r w:rsidR="006E3A5F">
              <w:rPr>
                <w:noProof/>
                <w:webHidden/>
              </w:rPr>
              <w:fldChar w:fldCharType="separate"/>
            </w:r>
            <w:r w:rsidR="006E3A5F">
              <w:rPr>
                <w:noProof/>
                <w:webHidden/>
              </w:rPr>
              <w:t>32</w:t>
            </w:r>
            <w:r w:rsidR="006E3A5F">
              <w:rPr>
                <w:noProof/>
                <w:webHidden/>
              </w:rPr>
              <w:fldChar w:fldCharType="end"/>
            </w:r>
          </w:hyperlink>
        </w:p>
        <w:p w14:paraId="29ADA6CC" w14:textId="37A59F78" w:rsidR="006E3A5F" w:rsidRDefault="00473674">
          <w:pPr>
            <w:pStyle w:val="Saturs2"/>
            <w:rPr>
              <w:rFonts w:asciiTheme="minorHAnsi" w:eastAsiaTheme="minorEastAsia" w:hAnsiTheme="minorHAnsi" w:cstheme="minorBidi"/>
              <w:noProof/>
              <w:color w:val="auto"/>
              <w:sz w:val="22"/>
              <w:szCs w:val="22"/>
              <w:lang w:eastAsia="lv-LV"/>
            </w:rPr>
          </w:pPr>
          <w:hyperlink w:anchor="_Toc84839736" w:history="1">
            <w:r w:rsidR="006E3A5F" w:rsidRPr="002263FA">
              <w:rPr>
                <w:rStyle w:val="Hipersaite"/>
                <w:rFonts w:cs="Segoe UI"/>
                <w:bCs/>
                <w:noProof/>
                <w:lang w:eastAsia="lv-LV"/>
              </w:rPr>
              <w:t>4.1. Tiesiskā ietvara attīstība</w:t>
            </w:r>
            <w:r w:rsidR="006E3A5F">
              <w:rPr>
                <w:noProof/>
                <w:webHidden/>
              </w:rPr>
              <w:tab/>
            </w:r>
            <w:r w:rsidR="006E3A5F">
              <w:rPr>
                <w:noProof/>
                <w:webHidden/>
              </w:rPr>
              <w:fldChar w:fldCharType="begin"/>
            </w:r>
            <w:r w:rsidR="006E3A5F">
              <w:rPr>
                <w:noProof/>
                <w:webHidden/>
              </w:rPr>
              <w:instrText xml:space="preserve"> PAGEREF _Toc84839736 \h </w:instrText>
            </w:r>
            <w:r w:rsidR="006E3A5F">
              <w:rPr>
                <w:noProof/>
                <w:webHidden/>
              </w:rPr>
            </w:r>
            <w:r w:rsidR="006E3A5F">
              <w:rPr>
                <w:noProof/>
                <w:webHidden/>
              </w:rPr>
              <w:fldChar w:fldCharType="separate"/>
            </w:r>
            <w:r w:rsidR="006E3A5F">
              <w:rPr>
                <w:noProof/>
                <w:webHidden/>
              </w:rPr>
              <w:t>32</w:t>
            </w:r>
            <w:r w:rsidR="006E3A5F">
              <w:rPr>
                <w:noProof/>
                <w:webHidden/>
              </w:rPr>
              <w:fldChar w:fldCharType="end"/>
            </w:r>
          </w:hyperlink>
        </w:p>
        <w:p w14:paraId="05E49E4E" w14:textId="42162C04" w:rsidR="006E3A5F" w:rsidRDefault="00473674">
          <w:pPr>
            <w:pStyle w:val="Saturs2"/>
            <w:rPr>
              <w:rFonts w:asciiTheme="minorHAnsi" w:eastAsiaTheme="minorEastAsia" w:hAnsiTheme="minorHAnsi" w:cstheme="minorBidi"/>
              <w:noProof/>
              <w:color w:val="auto"/>
              <w:sz w:val="22"/>
              <w:szCs w:val="22"/>
              <w:lang w:eastAsia="lv-LV"/>
            </w:rPr>
          </w:pPr>
          <w:hyperlink w:anchor="_Toc84839737" w:history="1">
            <w:r w:rsidR="006E3A5F" w:rsidRPr="002263FA">
              <w:rPr>
                <w:rStyle w:val="Hipersaite"/>
                <w:rFonts w:cs="Segoe UI"/>
                <w:bCs/>
                <w:noProof/>
                <w:lang w:eastAsia="lv-LV"/>
              </w:rPr>
              <w:t>4.2. Fiskālais ietvars VTBI 2022/24</w:t>
            </w:r>
            <w:r w:rsidR="006E3A5F">
              <w:rPr>
                <w:noProof/>
                <w:webHidden/>
              </w:rPr>
              <w:tab/>
            </w:r>
            <w:r w:rsidR="006E3A5F">
              <w:rPr>
                <w:noProof/>
                <w:webHidden/>
              </w:rPr>
              <w:fldChar w:fldCharType="begin"/>
            </w:r>
            <w:r w:rsidR="006E3A5F">
              <w:rPr>
                <w:noProof/>
                <w:webHidden/>
              </w:rPr>
              <w:instrText xml:space="preserve"> PAGEREF _Toc84839737 \h </w:instrText>
            </w:r>
            <w:r w:rsidR="006E3A5F">
              <w:rPr>
                <w:noProof/>
                <w:webHidden/>
              </w:rPr>
            </w:r>
            <w:r w:rsidR="006E3A5F">
              <w:rPr>
                <w:noProof/>
                <w:webHidden/>
              </w:rPr>
              <w:fldChar w:fldCharType="separate"/>
            </w:r>
            <w:r w:rsidR="006E3A5F">
              <w:rPr>
                <w:noProof/>
                <w:webHidden/>
              </w:rPr>
              <w:t>33</w:t>
            </w:r>
            <w:r w:rsidR="006E3A5F">
              <w:rPr>
                <w:noProof/>
                <w:webHidden/>
              </w:rPr>
              <w:fldChar w:fldCharType="end"/>
            </w:r>
          </w:hyperlink>
        </w:p>
        <w:p w14:paraId="3246D2C0" w14:textId="09ED2362" w:rsidR="00E50B37" w:rsidRDefault="00645276">
          <w:pPr>
            <w:pStyle w:val="Saturs2"/>
            <w:rPr>
              <w:rFonts w:asciiTheme="minorHAnsi" w:eastAsiaTheme="minorEastAsia" w:hAnsiTheme="minorHAnsi" w:cstheme="minorBidi"/>
              <w:color w:val="auto"/>
              <w:sz w:val="22"/>
              <w:szCs w:val="22"/>
              <w:lang w:val="ru-RU" w:eastAsia="ru-RU"/>
            </w:rPr>
          </w:pPr>
          <w:r>
            <w:rPr>
              <w:rStyle w:val="IndexLink"/>
            </w:rPr>
            <w:fldChar w:fldCharType="end"/>
          </w:r>
        </w:p>
      </w:sdtContent>
    </w:sdt>
    <w:p w14:paraId="620FE17F" w14:textId="77777777" w:rsidR="00E50B37" w:rsidRDefault="00E50B37">
      <w:pPr>
        <w:rPr>
          <w:lang w:eastAsia="en-GB"/>
        </w:rPr>
      </w:pPr>
    </w:p>
    <w:p w14:paraId="164AA57F" w14:textId="77777777" w:rsidR="00E50B37" w:rsidRDefault="00645276">
      <w:pPr>
        <w:spacing w:after="0" w:line="240" w:lineRule="auto"/>
        <w:jc w:val="left"/>
        <w:rPr>
          <w:szCs w:val="20"/>
          <w:lang w:eastAsia="en-GB"/>
        </w:rPr>
      </w:pPr>
      <w:r>
        <w:br w:type="page"/>
      </w:r>
    </w:p>
    <w:p w14:paraId="48BBC33E" w14:textId="77777777" w:rsidR="00E50B37" w:rsidRDefault="00645276">
      <w:pPr>
        <w:pStyle w:val="Virsraksts1"/>
        <w:rPr>
          <w:rFonts w:eastAsia="Arial"/>
          <w:lang w:eastAsia="en-GB"/>
        </w:rPr>
      </w:pPr>
      <w:bookmarkStart w:id="1" w:name="_Toc84839725"/>
      <w:r>
        <w:rPr>
          <w:rFonts w:eastAsia="Arial"/>
          <w:lang w:eastAsia="en-GB"/>
        </w:rPr>
        <w:lastRenderedPageBreak/>
        <w:t>Kopsavilkums</w:t>
      </w:r>
      <w:bookmarkEnd w:id="1"/>
    </w:p>
    <w:p w14:paraId="663DEDA6" w14:textId="77777777" w:rsidR="00E50B37" w:rsidRDefault="00E50B37">
      <w:pPr>
        <w:spacing w:after="0" w:line="254" w:lineRule="auto"/>
        <w:rPr>
          <w:rFonts w:ascii="Calibri" w:eastAsia="Calibri" w:hAnsi="Calibri" w:cs="Calibri"/>
          <w:sz w:val="22"/>
          <w:szCs w:val="22"/>
        </w:rPr>
      </w:pPr>
    </w:p>
    <w:p w14:paraId="70D2E81F" w14:textId="77777777" w:rsidR="00E50B37" w:rsidRDefault="00645276">
      <w:pPr>
        <w:pStyle w:val="FDPList1"/>
      </w:pPr>
      <w:r>
        <w:t xml:space="preserve">Latvijas makroekonomiskā vide pašlaik vērtējama kā labvēlīga un spējīga atkopties un pārstrukturēties ar esošo valsts atbalsta pasākumu kopumu. Latvijas IKP otrajā ceturksnī pieauga par 10,8% (sezonāli koriģēti dati), atkopjoties gandrīz visām nozarēm. Latvijas banka ir palielinājusi IKP šī gada prognozi līdz 5,4% (š.g. budžeta prognozes balstītas uz FM 3,7% IKP pieauguma prognozi). Šī gada 8 mēnešos iekasēts par 12,8% vairāk nodokļu nekā 2020. gada attiecīgajā periodā. </w:t>
      </w:r>
    </w:p>
    <w:p w14:paraId="661FDFE6" w14:textId="6AC571DB" w:rsidR="00E50B37" w:rsidRPr="003A3BB3" w:rsidRDefault="00645276">
      <w:pPr>
        <w:pStyle w:val="FDPList1"/>
      </w:pPr>
      <w:r w:rsidRPr="003A3BB3">
        <w:t xml:space="preserve">Tomēr nevar izslēgt situācijas strauju pasliktināšanos saistībā ar Covid-19 trešo vilni, jo vakcinācijas aptvere Latvijā nesasniedza plānotos 70% un inficēšanās rādītāji strauji pieaug. Makroekonomiskās prognozes VTBI 2022/24 bija balstītas uz pieņēmumu, ka vakcinācijas aptvere tiks sasniegta un Covid-19 trešais vilnis neiestāsies. Pašlaik redzams, ka tas nav piepildījies un tas rada jaunus riskus, kas nav iekļauti budžeta projektā. </w:t>
      </w:r>
      <w:r w:rsidR="003A3BB3" w:rsidRPr="005715F4">
        <w:t>Īsi pirms budžeta izskatīšanās ir izsludināts ārkārtas stāvoklis valstī un ieviesti ierobežojumi. Kaut gan ierobežojumi ir “saudzīgi”, salīdzinot ar ekspertu ieteikumiem, tie neizbēgami bremzēs ekonomisko izaugsmi un pasliktinās valsts fiskālo pozīciju</w:t>
      </w:r>
      <w:r w:rsidRPr="003A3BB3">
        <w:t xml:space="preserve">. </w:t>
      </w:r>
      <w:r w:rsidRPr="003A3BB3">
        <w:rPr>
          <w:b/>
        </w:rPr>
        <w:t>Joprojām saglabājas ļoti augstas nenoteiktības apstākļi valsts ekonomiskai un fiskālai attīstībai.</w:t>
      </w:r>
      <w:r w:rsidRPr="003A3BB3">
        <w:t xml:space="preserve"> Bez epidemioloģiskās situācijas, papildus nenoteiktību rada pieaugošā inflācija, energoresursu cenu pieaugums, diskusijas ASV un ES par aktīvu iepirkuma programmas samazināšanas nepieciešamību, lai mazinātu inflācijas draudus. Visi šie faktori palielina ekonomisko un sociālo procesu nenoteiktību, kam ir arī ietekme uz valsts fiskālo pozīciju.</w:t>
      </w:r>
    </w:p>
    <w:p w14:paraId="6FDD7775" w14:textId="77777777" w:rsidR="00E50B37" w:rsidRDefault="00645276">
      <w:pPr>
        <w:pStyle w:val="FDPList1"/>
      </w:pPr>
      <w:r>
        <w:t>Ir liela varbūtība, ka Covid-19 izplatība turpinās straujo pieaugumu, neskatoties uz ieviestajiem ierobežojumiem, kas ievērojami palielinās noslodzi veselības aprūpes sistēmai. Līdz ar to, pastāv risks, ka par zemu ir novērtēti papildu izdevumi, kas nepieciešami veselības aprūpes atbalstam tās pārslodzes gadījumā, ko, pēc Latvijas ekspertu domām, mēs piedzīvosim jau tuvākajos mēnešos.</w:t>
      </w:r>
    </w:p>
    <w:p w14:paraId="1E3CBBD7" w14:textId="77777777" w:rsidR="00E50B37" w:rsidRDefault="00645276">
      <w:pPr>
        <w:pStyle w:val="FDPList1"/>
      </w:pPr>
      <w:r>
        <w:t>2022. gadā joprojām ir spēkā EK vispārējā izņēmuma klauzula un attiecīgi netiek piemēroti Latvijas Fiskālās disciplīnas likuma skaitliskie fiskālie nosacījumi (izņemot parāda nosacījumu), izstrādājot 2022. gada budžetu un VTBI 2022-24 gadiem. Š.g. jūnijā pieņemtie labojumi “Covid-19 infekcijas izplatības seku pārvarēšanas likums”</w:t>
      </w:r>
      <w:r>
        <w:rPr>
          <w:rStyle w:val="FootnoteAnchor"/>
        </w:rPr>
        <w:footnoteReference w:id="1"/>
      </w:r>
      <w:r>
        <w:t xml:space="preserve"> noteica, ka, izstrādājot un izpildot likumprojektu "Par valsts budžetu 2022. gadam" un VTBI 2022-24. gadiem, tiek piemērotas ES Padomes rekomendācijas</w:t>
      </w:r>
      <w:r>
        <w:rPr>
          <w:rStyle w:val="FootnoteAnchor"/>
          <w:rFonts w:eastAsia="Verdana" w:cs="Verdana"/>
          <w:color w:val="auto"/>
          <w:szCs w:val="20"/>
        </w:rPr>
        <w:footnoteReference w:id="2"/>
      </w:r>
      <w:r>
        <w:t xml:space="preserve"> fiskālās politikas jomā, kas iesaka: i) kontrolēt nacionāli finansēto primāro kārtējo izdevumu pieaugumu, ii) nepieciešamības gadījumā finansēt Covid-19 atbalsta pasākumus uz budžeta deficīta rēķina, iii) nacionāli finansēto investīciju apjomu saglabāt vismaz 2021. gada līmenī.</w:t>
      </w:r>
    </w:p>
    <w:p w14:paraId="1AFEF628" w14:textId="77777777" w:rsidR="00E50B37" w:rsidRDefault="00645276">
      <w:pPr>
        <w:pStyle w:val="FDPList1"/>
      </w:pPr>
      <w:r>
        <w:t>Šobrīd ir  nenoteiktība par fiskālo nosacījumu darbību 2023. gadā un turpmākajos gados, kas apgrūtina vidēja termiņa budžeta plānošanu. Vispārējā izņēmuma klauzula,  ar augstu varbūtību, tiks atcelta 2023. gadā, kad stāsies spēkā jaunais ES fiskālais regulējums. Ņemot vērā, ka šobrīd likumdošana nenosaka maksimāli pieļaujamos budžeta izdevumus, Finanšu ministrija savā ziņojumā</w:t>
      </w:r>
      <w:r>
        <w:rPr>
          <w:rStyle w:val="FootnoteAnchor"/>
          <w:rFonts w:eastAsia="Verdana" w:cs="Verdana"/>
          <w:color w:val="auto"/>
          <w:szCs w:val="20"/>
        </w:rPr>
        <w:footnoteReference w:id="3"/>
      </w:r>
      <w:r>
        <w:t xml:space="preserve"> piedāvā par maksimāli </w:t>
      </w:r>
      <w:r>
        <w:lastRenderedPageBreak/>
        <w:t>pieļaujamo izdevumu noteikšanas enkuru tuvākajos gados noteikt valsts parāda līmeni - tuvu 50% no IKP. Padome piekrīt šādam fiskālās politikas mērķim tuvākos gados.</w:t>
      </w:r>
    </w:p>
    <w:p w14:paraId="42362836" w14:textId="77777777" w:rsidR="00E50B37" w:rsidRDefault="00645276">
      <w:pPr>
        <w:pStyle w:val="FDPList1"/>
      </w:pPr>
      <w:r>
        <w:t>Vidējā termiņā plānotais vispārējās valdības parāda līmenis ir 49% no IKP 2021. gadam, 52% 2022. gadam, un 49% 2023. un 2024. gadiem. Prognozētais parāda līmenis 2022. gadā nedaudz pārsniedz iepriekš minēto parāda enkuru, tomēr vidējā termiņā to paredzēts saglabāt 50% robežās. Tomēr šie aprēķini neietver sekas ko var izraisīt Covid-19 trešais vilnis. Padome ar izprati pieņem šo situāciju,</w:t>
      </w:r>
      <w:r>
        <w:rPr>
          <w:sz w:val="22"/>
          <w:szCs w:val="22"/>
        </w:rPr>
        <w:t xml:space="preserve"> </w:t>
      </w:r>
      <w:r>
        <w:rPr>
          <w:szCs w:val="20"/>
        </w:rPr>
        <w:t>ņemot vērā strauju un grūti prognozējamu epidemioloģiskās situācijas pasliktināšanos šī gada oktobrī, kas likusi valdībai izsludināt jau trešo ārkārtas situāciju pēdējo divu gadu laikā. Tomēr ir svarīgi apzināties, ka 2022. gada budžetā nav iestrādāti Covid-19 trešā viļņa atbalsta pasākumu izdevumi, kas, visticamāk palielinās šobrīd plānoto budžeta deficītu. Ņemot vērā pašlaik pastāvošos apstākļus, pieeja parāda plānošanai ir vērtējama kā fiskāli atbildīga un parāda mērķi ir atbalstāmi. Kontrolējot parāda pieaugumu, ir jāpievērš uzmanība kvalitatīvām investīcijām</w:t>
      </w:r>
      <w:r>
        <w:t>, kas nākotnē ļautu kāpināt izaugsmi un mazināt parāda līmeni bez papildus fiskāliem ierobežojumiem.</w:t>
      </w:r>
    </w:p>
    <w:p w14:paraId="32B164A1" w14:textId="77777777" w:rsidR="00E50B37" w:rsidRDefault="00645276">
      <w:pPr>
        <w:pStyle w:val="FDPList1"/>
      </w:pPr>
      <w:r>
        <w:t>2022. gada budžets veidots, paredzot vispārējās valdības budžeta deficītu 4,9% apmērā no IKP. Vidējā termiņā deficītu plānots samazināt līdz 2,2% 2023. gadā un 1,4% 2024. gadā. Vispārējās valdības strukturālās bilances deficīts 2022.gadā plānots 4,7%, 2023. gadā 2,1% un 2024. gadā 1,4% no IKP. Padome vērš uzmanību uz faktu, ka jau pašlaik uzkrāto deficītu summa liek iedarbināt FDL 11. pantā paredzēto korekcijas mehānismu līdz ko izlaižu starpība kļūs pozitīva. Saskaņā ar pašlaik apstiprinām makroekonomiskām prognozēm 2024. gadā izlaižu starpība prognozēta pozitīva (0,2%).</w:t>
      </w:r>
    </w:p>
    <w:p w14:paraId="5A6E3321" w14:textId="77777777" w:rsidR="00E50B37" w:rsidRDefault="00645276">
      <w:pPr>
        <w:pStyle w:val="FDPList1"/>
      </w:pPr>
      <w:r>
        <w:t xml:space="preserve">Padome aicina ievērot ES padomes rekomendācijas attiecībā uz deficīta samazināšanu. Deficīts būtu samazināms pakāpeniski, izvēloties optimālu un ilgtspējīgu trajektoriju. Deficīta palielināšana jāpārtrauc, kad makroekonomiskie rādītāji nostabilizēsies 2019.gada līmenī. Padome atbalsta pašreizējā budžeta plānā paredzēto pakāpenisko deficīta samazināšanu, kas plānota, neskatoties uz strauji mainīgo Covid-19 attīstību, kas ierobežo ekonomikas noturīgu atgriešanos pie 2019. gada attīstības līmeņa. </w:t>
      </w:r>
    </w:p>
    <w:p w14:paraId="50AC4D22" w14:textId="77777777" w:rsidR="00E50B37" w:rsidRDefault="00645276">
      <w:pPr>
        <w:pStyle w:val="FDPList1"/>
      </w:pPr>
      <w:r>
        <w:t xml:space="preserve">Vispārējās valdības izdevumu apjoms un VV bilance ir vērtējama atsevišķi katrā gadā. Ņemot vērā vispārējās izņēmuma klauzulas esamību spēkā 2022. gadā, formāli nav ierobežojumu deficīta apmēram, tomēr ir jāņem vērā, ka turpmākos gados stāsies spēkā pārskatītie ES fiskālie nosacījumi, kas varētu paredzēt deficīta un valsts parāda samazināšanas trajektoriju, kuras apmēri pašlaik nav zināmi. </w:t>
      </w:r>
    </w:p>
    <w:p w14:paraId="7D17EA83" w14:textId="77777777" w:rsidR="00E50B37" w:rsidRDefault="00645276">
      <w:pPr>
        <w:pStyle w:val="FDPList1"/>
      </w:pPr>
      <w:r>
        <w:t xml:space="preserve">2022. gadam paredzētā fiskālā telpa apgūta pilnībā, turklāt tā ir pārsniegta, ieplānojot EK atļautās investīcijas,  kas pamatā izraisījis iepriekš plānotā 3,8% deficīta pieaugumu līdz 4,9%. Padome vērš uzmanību, ka izlaižu starpība 2022. gadā ir relatīvi zema, bet kopējais deficīta līmenis augsts. 2022. gadā izdevumu apjoms ir paredzēts 14,6 miljardu apjomā, kurā ir ietverti gan primārie izdevumi, gan investīcijas un ar Covid-19 saistītie pasākumi vairāk kā 500 miljonu apmērā. No prioritāro pasākumu izdevumiem 54% paredzēti uzturēšanas pasākumiem, 38% investīcijām, 8% Covid-19 pasākumiem. Vērtējot šos plānus Padome vēlas norādīt uz makroekonomisko kontekstu. Pašlaik darba devēji aizvien biežāk aptaujās norāda uz darbaspēka trūkumu, kas palielinās algas nozarēs, kuras nav ietekmējis Covid-19. Arī apskatot makroekonomiskās prognozes, redzams, ka šogad un nākošajos gados faktiskais bezdarba līmenis pārsniegs NAWRU, līdz ar to spiediens uz algām arvien turpināsies. Patēriņa cenu inflācija līdz gada beigām varētu būt tuvu 6%. Tekošā konta rādītāji ir pasliktinājušies, no pozitīvas bilances 2020. gadā līdz gandrīz 4% deficītam 2021. gada pirmajā pusē. Ir aktivizējusies kreditēšana, </w:t>
      </w:r>
      <w:r>
        <w:lastRenderedPageBreak/>
        <w:t xml:space="preserve">jaunu hipotekāro kredītu apjoms 2021. gadā ir ievērojami pieaudzis. Attīstoties šādai situācijai, valdībai būtu ieteicams kritiski pieiet projektu plānošanai, ja būvniecības izmaksas turpinās pieaugt un apsvērt izdevumu novirzīšanu citām prioritātēm, piemēram, palīdzību maznodrošinātajiem ar komunālajiem maksājumiem vai pat atsevišķu projektu iesaldēšanu. </w:t>
      </w:r>
    </w:p>
    <w:p w14:paraId="198CA9A4" w14:textId="77777777" w:rsidR="00E50B37" w:rsidRDefault="00645276">
      <w:pPr>
        <w:pStyle w:val="FDPList1"/>
      </w:pPr>
      <w:r>
        <w:t xml:space="preserve">Šobrīd 2023. un 2024. gados netiek plānoti jauni ar Covid-19 saistīti pasākumi, tomēr plānotie uzturēšanas izdevumi, kuri ietver arī budžeta bāzi palielinošus pasākumus, turpinās pieaugt, savukārt investīciju līmenis krītas. Salīdzinot ar 2022. gadu, krītas arī kopbudžeta kapitālie izdevumi. </w:t>
      </w:r>
    </w:p>
    <w:p w14:paraId="4454AA68" w14:textId="1F38A56F" w:rsidR="00E50B37" w:rsidRDefault="00645276">
      <w:pPr>
        <w:pStyle w:val="FDPList1"/>
      </w:pPr>
      <w:r>
        <w:t>Latvijas fiskālā politika, līdzīgi kā citās ES valstīs, reaģējot uz krīzes attīstību 2020. un 2021. gadā ir bijusi ekspansīva un pretcikliska, tomēr ekonomikas izaugsmei atjaunojoties ir jāievēro piesardzība ekspansīvas fiskālās politikas plānošanā, kas var stimulēt inflācijas kāpumu nevis sabalansētu ekonomikas izaugsmi. ES padome iesaka nemazināt investīciju apjomu, tomēr jau pašlaik, ņemot vērā makroekonomisko attīstību, budžeta deficīta mērķis 4,</w:t>
      </w:r>
      <w:r w:rsidR="005715F4">
        <w:t>9</w:t>
      </w:r>
      <w:r>
        <w:t>% 2022. gadam nepārprotami apdraud inflācijas palielināšanos. Padome uzsver, ka pieejai investīciju projektiem ir jābūt ļoti kritiskai, prioritāti piešķirot tiem projektiem, kas nodrošinās ilgtspējīgu ekonomikas izaugsmi un neveicinās atsevišķu nozaru pārkaršanu.</w:t>
      </w:r>
    </w:p>
    <w:p w14:paraId="7F1A2999" w14:textId="77777777" w:rsidR="00E50B37" w:rsidRDefault="00645276">
      <w:pPr>
        <w:pStyle w:val="FDPList1"/>
        <w:rPr>
          <w:color w:val="auto"/>
        </w:rPr>
      </w:pPr>
      <w:r>
        <w:t xml:space="preserve">Vadoties no izteiktā ES Padomes rekomendāciju kopuma, Padome atzīst, ka ekspansīva fiskālā politika tiks turpināta arī 2022. gadā, atbalstot ekonomiku pēc-krīzes periodā. Valsts finansēto primāro izdevumu pieaugums VTBI 2022./24. gadam raksturojams kā kontrolējams, tomēr 2023. un 2024. gados tas tuvinās un pārsniedz 10 gadu vidējā potenciālā izaugsmes tempu. Jāņem vērā, ka ieilgušas nenoteiktības apstākļos un ekonomikas strukturālu pārmaiņu periodā, kāds tiek novērots pašlaik, IKP potenciāla modelēšana ir apgrūtināta, kas var radīt maldīgu priekšstatu par pieejamo fiskālo telpu. Šādos apstākļos jo īpaši jāizvairās no tādu izdevumu kāpināšanas, kas nav  sabalansēti ar ieņēmumiem vai nedod ieguldījumu ekonomikas potenciāla kāpināšanai ilgtermiņā. </w:t>
      </w:r>
    </w:p>
    <w:p w14:paraId="29BAE046" w14:textId="77777777" w:rsidR="00E50B37" w:rsidRDefault="00645276">
      <w:pPr>
        <w:pStyle w:val="FDPList1"/>
        <w:rPr>
          <w:color w:val="auto"/>
        </w:rPr>
      </w:pPr>
      <w:r>
        <w:t xml:space="preserve">Pašlaik Eiropas Savienībā notiek fiskālā regulējuma un budžeta uzraudzības mehānisma pārskatīšana un diskusijas. Paredzams, ka turpmākos gados ir sagaidāms jauns fiskālais regulējums, kas paredz pēckrīzes pārejas periodu un mērenu deficītu samazināšanas trajektoriju ES </w:t>
      </w:r>
      <w:r>
        <w:rPr>
          <w:color w:val="auto"/>
        </w:rPr>
        <w:t xml:space="preserve">dalībvalstīm. Ņemot to vērā, Padome konstatē, ka  VTBI2022/24 ir iestrādāta Vispārējās valdības budžeta </w:t>
      </w:r>
      <w:r>
        <w:t>deficīta mazināšanas trajektorija, tomēr uzskata, ka nenoteiktības apstākļos tās vērtēšanai ir jāpieiet elastīgi, saudzējot ekonomikas atkopšanās procesus: priekšlaicīgi neslāpējot ekonomikas  atkopšanās procesus, bet arī neizraisot pārmērīgu ekonomikas pārkaršanu.</w:t>
      </w:r>
    </w:p>
    <w:p w14:paraId="013AA37E" w14:textId="77777777" w:rsidR="00E50B37" w:rsidRDefault="00645276">
      <w:pPr>
        <w:pStyle w:val="FDPList1"/>
      </w:pPr>
      <w:r>
        <w:t>Krīzes situācijā Latvijas ekonomiku balstīja gan automātiskie stabilizatori, gan ekonomikas atbalsta pasākumu programmas. Ja atbalsta programmas ietekme uz VVBB 2020. gadā bija 959 miljoni eiro (3,3% no IKP), tad  2021. gada programmas ietekme jau tiek novērtēta  2167 miljonu eiro apmērā (6,9% no IKP). Pasākumi ir mērķēti uz likviditātes uzturēšanu, darba ņēmēju un ievainojamāko sabiedrības slāņu sociālo aizsardzību, uzņēmēju un nozaru atbalstu, veselības aizsardzības un citu sektoru kapacitātes stiprināšanu. Pēc Padomes viedokļa, valdības fiskālā atbilde uz Covid-19 krīzi ir bijusi adekvāta pirmā viļņa gadījumā, bet nedaudz nokavēta, pārmērīga un ne tik labi mērķēta otrā viļņa gadījumā</w:t>
      </w:r>
      <w:r>
        <w:rPr>
          <w:rStyle w:val="FootnoteAnchor"/>
          <w:rFonts w:eastAsia="Verdana" w:cs="Verdana"/>
          <w:szCs w:val="20"/>
        </w:rPr>
        <w:footnoteReference w:id="4"/>
      </w:r>
      <w:r>
        <w:t xml:space="preserve">. </w:t>
      </w:r>
    </w:p>
    <w:p w14:paraId="419EC5E1" w14:textId="77777777" w:rsidR="00E50B37" w:rsidRDefault="00645276">
      <w:pPr>
        <w:pStyle w:val="FDPList1"/>
      </w:pPr>
      <w:r>
        <w:lastRenderedPageBreak/>
        <w:t xml:space="preserve">Pozitīvs un nozīmīgs ir fakts, ka atbalsta pasākumiem nav ievērojamas ietekmes uz nākamo gadu budžeta bilancēm, jo atbalsta pasākumi ir īstermiņa un neietekmē budžeta bāzi. Šobrīd atbalsta pasākumu ietekme uz 2022. gada VVBB ir tikai 233 miljoni eiro (0,8% no IKP), bet gadu vēlāk 65 miljoni (0,2% no IKP). Padome aicina valdību būt fiskāli atbildīgai un ieviest jaunus atbalsta instrumentus tikai tad, ja to prasīs epidemioloģiskā situācija un ierobežojumi. </w:t>
      </w:r>
    </w:p>
    <w:p w14:paraId="031A2FEB" w14:textId="77777777" w:rsidR="00E50B37" w:rsidRDefault="00645276">
      <w:pPr>
        <w:pStyle w:val="FDPList1"/>
      </w:pPr>
      <w:r>
        <w:t>Padome aicina valdību ļoti rūpīgi izvērtēt un izvairīties no vispārīgiem ekonomikas sildīšanas pasākumiem, kam nav ilgtermiņa pozitīvas ietekmes uz ekonomikas potenciālu. IKP 2. ceturksnī jau ir atgriezies pirmskrīzes līmenī, reģistrētais bezdarbs septembrī ir noslīdējis līdz 5,9%, ražotāju cenu inflācija tuvojas 20%, būvmateriālu cenu kāpums ir 12,8%. Vienlaikus budžetā nākamgad ir plānots būtisks investīciju apjomu pieaugums, kas varētu vēl vairāk veicināt cenu kāpumu. Ņemot vērā šo situāciju, būtu nepieciešams izvērtēt visu projektu pamatotību un būtisku sadārdzinājumu gadījumā atteikties no kādu projektu realizācijas. Pretējā gadījumā vispārīgi ekonomikas sildīšanas pasākumi paaugstina riskus veicināt makroekonomisko nesabalansētību veidošanos, nevis veicināt noturīgu ekonomikas izaugsmi.</w:t>
      </w:r>
    </w:p>
    <w:p w14:paraId="1EAD0DE2" w14:textId="77777777" w:rsidR="00E50B37" w:rsidRDefault="00645276">
      <w:pPr>
        <w:pStyle w:val="FDPList1"/>
      </w:pPr>
      <w:r>
        <w:t xml:space="preserve">Neskatoties un Latvijas intensīvo ekonomikas atbalsta programmu 2021. gadā, Latvijā joprojām ir viens no zemākajiem parāda līmeņiem ES. Stabila fiskālā politika krīzes situācijā joprojām ļauj Valsts kasei aizņemties starptautiskajos finanšu tirgos ar izdevīgiem nosacījumiem. Augsti novērtējot Latvijas valdības fiskālo politiku, laikā ar lieliem izaicinājumiem pasaules un Latvijas ekonomikā, š.g. septembra sākumā starptautiskā kredītreitingu aģentūra “Fitch Ratings” ir saglabājusi Latvijas kredītreitingu augstajā “A-“ līmenī ar stabilu kredītreitinga nākotnes novērtējumu. Tomēr ir jāņem vērā pasaulē pieaugošā inflācija, kas var izsaukt procentu likmju celšanos un līdz ar to parāda apkalpošanas izmaksas. </w:t>
      </w:r>
    </w:p>
    <w:p w14:paraId="6FFA63D4" w14:textId="77777777" w:rsidR="00E50B37" w:rsidRDefault="00645276">
      <w:pPr>
        <w:pStyle w:val="FDPList1"/>
      </w:pPr>
      <w:r>
        <w:t>Nozīmīgu ietekmi uz Latvijas ekonomisko attīstību tuvākajos gados noteiks Atveseļošanās un noturības plāna ieviešanas efektivitāte.  Pēc FM novērtējuma, ANM plāna kumulatīvā papildus ietekme uz IKP pieaugumu 2022.-2029. gados būtu 1,3-1,5%, bet kumulatīvā ietekme uz nodarbinātību – ap 0,7 procentpunktiem. Pēc FDP novērtējuma, ANM programma varētu palielināt budžeta ieņēmumus par vairāk nekā 500 miljoniem eiro</w:t>
      </w:r>
      <w:r>
        <w:rPr>
          <w:rStyle w:val="FootnoteAnchor"/>
          <w:rFonts w:eastAsia="Verdana" w:cs="Verdana"/>
          <w:szCs w:val="20"/>
        </w:rPr>
        <w:footnoteReference w:id="5"/>
      </w:r>
      <w:r>
        <w:t>.</w:t>
      </w:r>
    </w:p>
    <w:p w14:paraId="73D4ACDB" w14:textId="77777777" w:rsidR="00E50B37" w:rsidRDefault="00645276">
      <w:pPr>
        <w:pStyle w:val="FDPList1"/>
      </w:pPr>
      <w:r>
        <w:t>Globāls apdraudējums ekonomikas stabilizācijai ir straujais inflācijas kāpums, kuru sākotnēji izraisīja spēcīga pasaules vadošo ekonomiku atkopšanās pēc Covid-19 dīkstāves perioda, stimulējoša monetārā politika un pieprasījuma/piedāvājuma globāla nesabalansētība. Tomēr šī gada trešajā ceturksnī par aizvien spēcīgāku inflāciju ietekmējošo faktoru ir kļuvusi pārkaršana starptautiskā enerģijas tirgū. Arī Latvijā septembrī, salīdzinot ar iepriekšējā gada septembri, ir strauji kāpušas cenas  elektroenerģijai (+12,5%), dabasgāzei (+51,3%) un degvielai (+19,3%). Latvijai elektroenerģijas cena NordPool biržā septembrī, salīdzinot ar augustu, kāpusi par 41%, no 87,23 eiro par MWh līdz 123,5 eiro par MWh. Šis cenu kāpums negatīvi ietekmēs: (i) mājsaimniecību patēriņu (sociālais aspekts), (ii) energoietilpīgu pakalpojumu sniedzēju un ražotāju konkurētspēju, (iii) veicinās vispārēju inflāciju,  kā arī (iv) atstās iespaidu uz pašvaldību budžetiem, it īpaši pašvaldībās ar augstu dabas gāzes izmantošanas īpatsvaru ēku apkurē.</w:t>
      </w:r>
    </w:p>
    <w:p w14:paraId="40F83CAD" w14:textId="77777777" w:rsidR="00E50B37" w:rsidRDefault="00645276">
      <w:pPr>
        <w:pStyle w:val="FDPList1"/>
      </w:pPr>
      <w:r>
        <w:lastRenderedPageBreak/>
        <w:t>Padome uzskata, ka fiskālās drošības rezerves piešķiršana 2022. - 2024 gadam šobrīd ir vērtējama kā adekvāta. Tomēr ņemot vērā lielo epidemioloģisko, ekonomisko un fiskālo neskaidrību, FM ir jāpastiprina fiskālo risku monitorings un vadība. Īpaša uzmanība ir jāpievērš riskiem, kas izriet no: (i) Covid-19 finanšu instrumentiem uzņēmumiem, (ii) valsts kapitālsabiedrību finanšu stāvokli (īpaši Airbaltic un Latvijas Dzelzceļš), (iii) norisēm finanšu sektorā.</w:t>
      </w:r>
    </w:p>
    <w:p w14:paraId="0E3CA114" w14:textId="14FF473E" w:rsidR="00E50B37" w:rsidRDefault="00645276">
      <w:pPr>
        <w:pStyle w:val="FDPList1"/>
      </w:pPr>
      <w:r>
        <w:t xml:space="preserve">Padome aicina paplašināt FRD ar vēl vismaz divām sadaļām. ES ir deklarējusi “Zaļo </w:t>
      </w:r>
      <w:r w:rsidR="00C24D78">
        <w:t>kursu», kā</w:t>
      </w:r>
      <w:r>
        <w:t xml:space="preserve"> vienu no ES prioritātēm un Latvija piekritusi tās mērķiem. “Zaļā kursa” un vides aizsardzības mērķu realizācija turpmākajos gados prasīs papildu investīcijas, tai skaitā no valsts budžeta līdzekļiem. Tāpēc turpmāk FRD būtu jāizveido īpaša nodaļa šādu fiskālo risku analīzei. Tāpat, Padome aicina FRD iekļaut pesimistisko makroekonomisko scenāriju ar attiecīgi aprēķinātu fiskālo rezervi. To būtu vēlams darīt situācijā, kad fiskālais regulējums atkal ir spēkā, un fiskālo risku rezervei ir būtiska nozīme.</w:t>
      </w:r>
    </w:p>
    <w:p w14:paraId="46FC22C7" w14:textId="2426D300" w:rsidR="00EC6C8F" w:rsidRDefault="00645276">
      <w:pPr>
        <w:pStyle w:val="FDPList1"/>
      </w:pPr>
      <w:r>
        <w:t xml:space="preserve">Covid –19 krīzes dēļ pēdējos divus gadus budžeta sastādīšanas process ir bijis ļoti sarežģīts un kopumā valdība un Finanšu ministrija ir tikusi galā ar šī laika izaicinājumiem. Tomēr Padome aicina valdību nesasteigt budžeta pieņemšanas procesu, jo steiga var pasliktināt budžeta kvalitāti un ierobežot dialoga iespējas. Saspringtais budžeta veidošanas kalendārs pēdējos divus gadus ir apgrūtinājis Padomes iespējas pilnvērtīgāk izanalizēt budžeta un fiskālo informāciju. Ņemot vērā aizvien lielākās makroekonomisko rādītāju svārstības mūsdienu pasaulē, Padome aicina FM apsvērt iespēju izstrādāt budžeta izstrādāšanai nepieciešamās Makroekonomiskās prognozes augustā, nevis jūnijā. </w:t>
      </w:r>
    </w:p>
    <w:p w14:paraId="00796977" w14:textId="77777777" w:rsidR="00EC6C8F" w:rsidRDefault="00EC6C8F">
      <w:pPr>
        <w:spacing w:after="0" w:line="240" w:lineRule="auto"/>
        <w:jc w:val="left"/>
      </w:pPr>
      <w:r>
        <w:br w:type="page"/>
      </w:r>
    </w:p>
    <w:p w14:paraId="4CCFB220" w14:textId="77777777" w:rsidR="00EC6C8F" w:rsidRDefault="00EC6C8F" w:rsidP="00EC6C8F">
      <w:pPr>
        <w:pStyle w:val="Virsraksts1"/>
        <w:rPr>
          <w:caps/>
        </w:rPr>
      </w:pPr>
      <w:bookmarkStart w:id="2" w:name="_Toc53398595"/>
      <w:bookmarkStart w:id="3" w:name="_Toc21590731"/>
      <w:bookmarkStart w:id="4" w:name="_Toc84839726"/>
      <w:r>
        <w:rPr>
          <w:caps/>
        </w:rPr>
        <w:lastRenderedPageBreak/>
        <w:t>Saīsinājumi</w:t>
      </w:r>
      <w:bookmarkEnd w:id="2"/>
      <w:bookmarkEnd w:id="3"/>
      <w:bookmarkEnd w:id="4"/>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4153"/>
        <w:gridCol w:w="4153"/>
      </w:tblGrid>
      <w:tr w:rsidR="00EC6C8F" w14:paraId="026E5051" w14:textId="77777777" w:rsidTr="00EC6C8F">
        <w:trPr>
          <w:trHeight w:val="20"/>
        </w:trPr>
        <w:tc>
          <w:tcPr>
            <w:tcW w:w="4153" w:type="dxa"/>
          </w:tcPr>
          <w:p w14:paraId="56F162CC" w14:textId="77777777" w:rsidR="00EC6C8F" w:rsidRDefault="00EC6C8F" w:rsidP="00EC6C8F">
            <w:pPr>
              <w:spacing w:after="0" w:line="240" w:lineRule="auto"/>
              <w:rPr>
                <w:rFonts w:eastAsiaTheme="minorEastAsia"/>
              </w:rPr>
            </w:pPr>
          </w:p>
        </w:tc>
        <w:tc>
          <w:tcPr>
            <w:tcW w:w="4153" w:type="dxa"/>
            <w:hideMark/>
          </w:tcPr>
          <w:p w14:paraId="05680401" w14:textId="77777777" w:rsidR="00EC6C8F" w:rsidRDefault="00EC6C8F" w:rsidP="00EC6C8F">
            <w:pPr>
              <w:spacing w:after="0" w:line="240" w:lineRule="auto"/>
              <w:rPr>
                <w:rFonts w:eastAsiaTheme="minorEastAsia"/>
              </w:rPr>
            </w:pPr>
            <w:r>
              <w:rPr>
                <w:rFonts w:eastAsiaTheme="minorEastAsia"/>
              </w:rPr>
              <w:t xml:space="preserve"> </w:t>
            </w:r>
          </w:p>
        </w:tc>
      </w:tr>
      <w:tr w:rsidR="00EC6C8F" w14:paraId="3830267F" w14:textId="77777777" w:rsidTr="00EC6C8F">
        <w:trPr>
          <w:trHeight w:val="20"/>
        </w:trPr>
        <w:tc>
          <w:tcPr>
            <w:tcW w:w="4153" w:type="dxa"/>
            <w:hideMark/>
          </w:tcPr>
          <w:p w14:paraId="5D0BDE82" w14:textId="77777777" w:rsidR="00EC6C8F" w:rsidRPr="00EC6C8F" w:rsidRDefault="00EC6C8F" w:rsidP="00EC6C8F">
            <w:pPr>
              <w:spacing w:after="0" w:line="240" w:lineRule="auto"/>
              <w:rPr>
                <w:rFonts w:eastAsiaTheme="minorEastAsia"/>
                <w:szCs w:val="20"/>
              </w:rPr>
            </w:pPr>
            <w:r w:rsidRPr="00EC6C8F">
              <w:rPr>
                <w:rFonts w:eastAsiaTheme="minorEastAsia"/>
                <w:szCs w:val="20"/>
              </w:rPr>
              <w:t>AS</w:t>
            </w:r>
          </w:p>
        </w:tc>
        <w:tc>
          <w:tcPr>
            <w:tcW w:w="4153" w:type="dxa"/>
            <w:hideMark/>
          </w:tcPr>
          <w:p w14:paraId="2B640C14" w14:textId="77777777" w:rsidR="00EC6C8F" w:rsidRPr="00EC6C8F" w:rsidRDefault="00EC6C8F" w:rsidP="00EC6C8F">
            <w:pPr>
              <w:spacing w:after="0" w:line="240" w:lineRule="auto"/>
              <w:rPr>
                <w:rFonts w:eastAsiaTheme="minorEastAsia"/>
                <w:szCs w:val="20"/>
              </w:rPr>
            </w:pPr>
            <w:r w:rsidRPr="00EC6C8F">
              <w:rPr>
                <w:rFonts w:eastAsiaTheme="minorEastAsia"/>
                <w:szCs w:val="20"/>
              </w:rPr>
              <w:t>Akciju sabiedrība</w:t>
            </w:r>
          </w:p>
        </w:tc>
      </w:tr>
      <w:tr w:rsidR="00EC6C8F" w14:paraId="1EBB4597" w14:textId="77777777" w:rsidTr="00EC6C8F">
        <w:trPr>
          <w:trHeight w:val="20"/>
        </w:trPr>
        <w:tc>
          <w:tcPr>
            <w:tcW w:w="4153" w:type="dxa"/>
          </w:tcPr>
          <w:p w14:paraId="2A4197B3" w14:textId="77777777" w:rsidR="00EC6C8F" w:rsidRPr="00EC6C8F" w:rsidRDefault="00EC6C8F" w:rsidP="00EC6C8F">
            <w:pPr>
              <w:spacing w:after="0" w:line="240" w:lineRule="auto"/>
              <w:rPr>
                <w:rFonts w:eastAsiaTheme="minorEastAsia"/>
                <w:szCs w:val="20"/>
              </w:rPr>
            </w:pPr>
            <w:r w:rsidRPr="00EC6C8F">
              <w:rPr>
                <w:rFonts w:eastAsiaTheme="minorEastAsia"/>
                <w:szCs w:val="20"/>
              </w:rPr>
              <w:t>ANM</w:t>
            </w:r>
          </w:p>
        </w:tc>
        <w:tc>
          <w:tcPr>
            <w:tcW w:w="4153" w:type="dxa"/>
          </w:tcPr>
          <w:p w14:paraId="31658565" w14:textId="77777777" w:rsidR="00EC6C8F" w:rsidRPr="00EC6C8F" w:rsidRDefault="00EC6C8F" w:rsidP="00EC6C8F">
            <w:pPr>
              <w:spacing w:after="0" w:line="240" w:lineRule="auto"/>
              <w:rPr>
                <w:rFonts w:eastAsiaTheme="minorEastAsia"/>
                <w:szCs w:val="20"/>
              </w:rPr>
            </w:pPr>
            <w:r w:rsidRPr="00EC6C8F">
              <w:rPr>
                <w:rFonts w:eastAsiaTheme="minorEastAsia"/>
                <w:szCs w:val="20"/>
              </w:rPr>
              <w:t>ES Ekonomikas atveseļošanas un noturības mehānisms</w:t>
            </w:r>
          </w:p>
        </w:tc>
      </w:tr>
      <w:tr w:rsidR="00EC6C8F" w14:paraId="2DE6C9C4" w14:textId="77777777" w:rsidTr="00EC6C8F">
        <w:trPr>
          <w:trHeight w:val="20"/>
        </w:trPr>
        <w:tc>
          <w:tcPr>
            <w:tcW w:w="4153" w:type="dxa"/>
            <w:hideMark/>
          </w:tcPr>
          <w:p w14:paraId="116979CA" w14:textId="77777777" w:rsidR="00EC6C8F" w:rsidRPr="00EC6C8F" w:rsidRDefault="00EC6C8F" w:rsidP="00EC6C8F">
            <w:pPr>
              <w:spacing w:after="0" w:line="240" w:lineRule="auto"/>
              <w:rPr>
                <w:rFonts w:eastAsiaTheme="minorEastAsia"/>
                <w:szCs w:val="20"/>
              </w:rPr>
            </w:pPr>
            <w:r w:rsidRPr="00EC6C8F">
              <w:rPr>
                <w:rFonts w:eastAsiaTheme="minorEastAsia"/>
                <w:szCs w:val="20"/>
              </w:rPr>
              <w:t>BPP</w:t>
            </w:r>
          </w:p>
        </w:tc>
        <w:tc>
          <w:tcPr>
            <w:tcW w:w="4153" w:type="dxa"/>
            <w:hideMark/>
          </w:tcPr>
          <w:p w14:paraId="1671FC3F" w14:textId="77777777" w:rsidR="00EC6C8F" w:rsidRPr="00EC6C8F" w:rsidRDefault="00EC6C8F" w:rsidP="00EC6C8F">
            <w:pPr>
              <w:spacing w:after="0" w:line="240" w:lineRule="auto"/>
              <w:rPr>
                <w:rFonts w:eastAsiaTheme="minorEastAsia"/>
                <w:szCs w:val="20"/>
              </w:rPr>
            </w:pPr>
            <w:r w:rsidRPr="00EC6C8F">
              <w:rPr>
                <w:rFonts w:eastAsiaTheme="minorEastAsia"/>
                <w:szCs w:val="20"/>
              </w:rPr>
              <w:t>Budžeta plāna projekts</w:t>
            </w:r>
          </w:p>
        </w:tc>
      </w:tr>
      <w:tr w:rsidR="00EC6C8F" w14:paraId="0C2C8A28" w14:textId="77777777" w:rsidTr="00EC6C8F">
        <w:trPr>
          <w:trHeight w:val="20"/>
        </w:trPr>
        <w:tc>
          <w:tcPr>
            <w:tcW w:w="4153" w:type="dxa"/>
            <w:hideMark/>
          </w:tcPr>
          <w:p w14:paraId="09D7259F" w14:textId="77777777" w:rsidR="00EC6C8F" w:rsidRPr="00EC6C8F" w:rsidRDefault="00EC6C8F" w:rsidP="00EC6C8F">
            <w:pPr>
              <w:spacing w:after="0" w:line="240" w:lineRule="auto"/>
              <w:rPr>
                <w:rFonts w:eastAsiaTheme="minorEastAsia"/>
                <w:szCs w:val="20"/>
              </w:rPr>
            </w:pPr>
            <w:r w:rsidRPr="00EC6C8F">
              <w:rPr>
                <w:rFonts w:eastAsiaTheme="minorEastAsia"/>
                <w:szCs w:val="20"/>
              </w:rPr>
              <w:t>LBFV</w:t>
            </w:r>
          </w:p>
        </w:tc>
        <w:tc>
          <w:tcPr>
            <w:tcW w:w="4153" w:type="dxa"/>
            <w:hideMark/>
          </w:tcPr>
          <w:p w14:paraId="1DCAE7D5" w14:textId="77777777" w:rsidR="00EC6C8F" w:rsidRPr="00EC6C8F" w:rsidRDefault="00EC6C8F" w:rsidP="00EC6C8F">
            <w:pPr>
              <w:spacing w:after="0" w:line="240" w:lineRule="auto"/>
              <w:rPr>
                <w:rFonts w:eastAsiaTheme="minorEastAsia"/>
                <w:szCs w:val="20"/>
              </w:rPr>
            </w:pPr>
            <w:r w:rsidRPr="00EC6C8F">
              <w:rPr>
                <w:rFonts w:eastAsiaTheme="minorEastAsia"/>
                <w:szCs w:val="20"/>
              </w:rPr>
              <w:t>Likums par budžetu un finanšu vadību</w:t>
            </w:r>
          </w:p>
        </w:tc>
      </w:tr>
      <w:tr w:rsidR="00EC6C8F" w14:paraId="4F7145B0" w14:textId="77777777" w:rsidTr="00EC6C8F">
        <w:trPr>
          <w:trHeight w:val="20"/>
        </w:trPr>
        <w:tc>
          <w:tcPr>
            <w:tcW w:w="4153" w:type="dxa"/>
            <w:hideMark/>
          </w:tcPr>
          <w:p w14:paraId="23BCE7B7" w14:textId="77777777" w:rsidR="00EC6C8F" w:rsidRPr="00EC6C8F" w:rsidRDefault="00EC6C8F" w:rsidP="00EC6C8F">
            <w:pPr>
              <w:spacing w:after="0" w:line="240" w:lineRule="auto"/>
              <w:rPr>
                <w:rFonts w:eastAsiaTheme="minorEastAsia"/>
                <w:szCs w:val="20"/>
              </w:rPr>
            </w:pPr>
            <w:r w:rsidRPr="00EC6C8F">
              <w:rPr>
                <w:rFonts w:eastAsiaTheme="minorEastAsia"/>
                <w:szCs w:val="20"/>
              </w:rPr>
              <w:t>Covid-19 krīzes likums</w:t>
            </w:r>
          </w:p>
        </w:tc>
        <w:tc>
          <w:tcPr>
            <w:tcW w:w="4153" w:type="dxa"/>
            <w:hideMark/>
          </w:tcPr>
          <w:p w14:paraId="21122063" w14:textId="77777777" w:rsidR="00EC6C8F" w:rsidRPr="00EC6C8F" w:rsidRDefault="00EC6C8F" w:rsidP="00EC6C8F">
            <w:pPr>
              <w:spacing w:after="0" w:line="240" w:lineRule="auto"/>
              <w:rPr>
                <w:rFonts w:eastAsiaTheme="minorEastAsia"/>
                <w:szCs w:val="20"/>
              </w:rPr>
            </w:pPr>
            <w:r w:rsidRPr="00EC6C8F">
              <w:rPr>
                <w:rFonts w:eastAsiaTheme="minorEastAsia"/>
                <w:szCs w:val="20"/>
              </w:rPr>
              <w:t>Likums Par valsts apdraudējuma un tā seku novēršanas un pārvarēšanas pasākumiem sakarā ar Covid-19 izplatību</w:t>
            </w:r>
          </w:p>
        </w:tc>
      </w:tr>
      <w:tr w:rsidR="00EC6C8F" w14:paraId="1B486F41" w14:textId="77777777" w:rsidTr="00EC6C8F">
        <w:trPr>
          <w:trHeight w:val="20"/>
        </w:trPr>
        <w:tc>
          <w:tcPr>
            <w:tcW w:w="4153" w:type="dxa"/>
            <w:hideMark/>
          </w:tcPr>
          <w:p w14:paraId="478B54F7" w14:textId="77777777" w:rsidR="00EC6C8F" w:rsidRPr="00EC6C8F" w:rsidRDefault="00EC6C8F" w:rsidP="00EC6C8F">
            <w:pPr>
              <w:spacing w:after="0" w:line="240" w:lineRule="auto"/>
              <w:rPr>
                <w:rFonts w:eastAsiaTheme="minorEastAsia"/>
                <w:szCs w:val="20"/>
              </w:rPr>
            </w:pPr>
            <w:r w:rsidRPr="00EC6C8F">
              <w:rPr>
                <w:rFonts w:eastAsiaTheme="minorEastAsia"/>
                <w:szCs w:val="20"/>
              </w:rPr>
              <w:t>EK</w:t>
            </w:r>
          </w:p>
        </w:tc>
        <w:tc>
          <w:tcPr>
            <w:tcW w:w="4153" w:type="dxa"/>
            <w:hideMark/>
          </w:tcPr>
          <w:p w14:paraId="47477460" w14:textId="77777777" w:rsidR="00EC6C8F" w:rsidRPr="00EC6C8F" w:rsidRDefault="00EC6C8F" w:rsidP="00EC6C8F">
            <w:pPr>
              <w:spacing w:after="0" w:line="240" w:lineRule="auto"/>
              <w:rPr>
                <w:rFonts w:eastAsiaTheme="minorEastAsia"/>
                <w:szCs w:val="20"/>
              </w:rPr>
            </w:pPr>
            <w:r w:rsidRPr="00EC6C8F">
              <w:rPr>
                <w:rFonts w:eastAsiaTheme="minorEastAsia"/>
                <w:szCs w:val="20"/>
              </w:rPr>
              <w:t>Eiropas Komisija</w:t>
            </w:r>
          </w:p>
        </w:tc>
      </w:tr>
      <w:tr w:rsidR="00EC6C8F" w14:paraId="34CFDE83" w14:textId="77777777" w:rsidTr="00EC6C8F">
        <w:trPr>
          <w:trHeight w:val="20"/>
        </w:trPr>
        <w:tc>
          <w:tcPr>
            <w:tcW w:w="4153" w:type="dxa"/>
            <w:hideMark/>
          </w:tcPr>
          <w:p w14:paraId="44E0C510" w14:textId="77777777" w:rsidR="00EC6C8F" w:rsidRPr="00EC6C8F" w:rsidRDefault="00EC6C8F" w:rsidP="00EC6C8F">
            <w:pPr>
              <w:spacing w:after="0" w:line="240" w:lineRule="auto"/>
              <w:rPr>
                <w:rFonts w:eastAsiaTheme="minorEastAsia"/>
                <w:szCs w:val="20"/>
              </w:rPr>
            </w:pPr>
            <w:r w:rsidRPr="00EC6C8F">
              <w:rPr>
                <w:rFonts w:eastAsiaTheme="minorEastAsia"/>
                <w:szCs w:val="20"/>
              </w:rPr>
              <w:t>EKS</w:t>
            </w:r>
          </w:p>
        </w:tc>
        <w:tc>
          <w:tcPr>
            <w:tcW w:w="4153" w:type="dxa"/>
            <w:hideMark/>
          </w:tcPr>
          <w:p w14:paraId="7DF4D658" w14:textId="77777777" w:rsidR="00EC6C8F" w:rsidRPr="00EC6C8F" w:rsidRDefault="00EC6C8F" w:rsidP="00EC6C8F">
            <w:pPr>
              <w:spacing w:after="0" w:line="240" w:lineRule="auto"/>
              <w:rPr>
                <w:rFonts w:eastAsiaTheme="minorEastAsia"/>
                <w:szCs w:val="20"/>
              </w:rPr>
            </w:pPr>
            <w:r w:rsidRPr="00EC6C8F">
              <w:rPr>
                <w:rFonts w:eastAsiaTheme="minorEastAsia"/>
                <w:szCs w:val="20"/>
              </w:rPr>
              <w:t>Eiropas kontu sistēma</w:t>
            </w:r>
          </w:p>
        </w:tc>
      </w:tr>
      <w:tr w:rsidR="00EC6C8F" w14:paraId="59D29BDD" w14:textId="77777777" w:rsidTr="00EC6C8F">
        <w:trPr>
          <w:trHeight w:val="20"/>
        </w:trPr>
        <w:tc>
          <w:tcPr>
            <w:tcW w:w="4153" w:type="dxa"/>
            <w:hideMark/>
          </w:tcPr>
          <w:p w14:paraId="25981AD6" w14:textId="77777777" w:rsidR="00EC6C8F" w:rsidRPr="00EC6C8F" w:rsidRDefault="00EC6C8F" w:rsidP="00EC6C8F">
            <w:pPr>
              <w:spacing w:after="0" w:line="240" w:lineRule="auto"/>
              <w:rPr>
                <w:rFonts w:eastAsiaTheme="minorEastAsia"/>
                <w:szCs w:val="20"/>
              </w:rPr>
            </w:pPr>
            <w:r w:rsidRPr="00EC6C8F">
              <w:rPr>
                <w:rFonts w:eastAsiaTheme="minorEastAsia"/>
                <w:szCs w:val="20"/>
              </w:rPr>
              <w:t>ES</w:t>
            </w:r>
          </w:p>
        </w:tc>
        <w:tc>
          <w:tcPr>
            <w:tcW w:w="4153" w:type="dxa"/>
            <w:hideMark/>
          </w:tcPr>
          <w:p w14:paraId="574A5603" w14:textId="77777777" w:rsidR="00EC6C8F" w:rsidRPr="00EC6C8F" w:rsidRDefault="00EC6C8F" w:rsidP="00EC6C8F">
            <w:pPr>
              <w:spacing w:after="0" w:line="240" w:lineRule="auto"/>
              <w:rPr>
                <w:rFonts w:eastAsiaTheme="minorEastAsia"/>
                <w:szCs w:val="20"/>
              </w:rPr>
            </w:pPr>
            <w:r w:rsidRPr="00EC6C8F">
              <w:rPr>
                <w:rFonts w:eastAsiaTheme="minorEastAsia"/>
                <w:szCs w:val="20"/>
              </w:rPr>
              <w:t>Eiropas Savienība</w:t>
            </w:r>
          </w:p>
        </w:tc>
      </w:tr>
      <w:tr w:rsidR="00EC6C8F" w14:paraId="275CB027" w14:textId="77777777" w:rsidTr="00EC6C8F">
        <w:trPr>
          <w:trHeight w:val="20"/>
        </w:trPr>
        <w:tc>
          <w:tcPr>
            <w:tcW w:w="4153" w:type="dxa"/>
            <w:hideMark/>
          </w:tcPr>
          <w:p w14:paraId="7FB240E7" w14:textId="77777777" w:rsidR="00EC6C8F" w:rsidRPr="00EC6C8F" w:rsidRDefault="00EC6C8F" w:rsidP="00EC6C8F">
            <w:pPr>
              <w:spacing w:after="0" w:line="240" w:lineRule="auto"/>
              <w:rPr>
                <w:rFonts w:eastAsiaTheme="minorEastAsia"/>
                <w:szCs w:val="20"/>
              </w:rPr>
            </w:pPr>
            <w:r w:rsidRPr="00EC6C8F">
              <w:rPr>
                <w:rFonts w:eastAsiaTheme="minorEastAsia"/>
                <w:szCs w:val="20"/>
              </w:rPr>
              <w:t>ESAO</w:t>
            </w:r>
          </w:p>
        </w:tc>
        <w:tc>
          <w:tcPr>
            <w:tcW w:w="4153" w:type="dxa"/>
            <w:hideMark/>
          </w:tcPr>
          <w:p w14:paraId="7470D307" w14:textId="77777777" w:rsidR="00EC6C8F" w:rsidRPr="00EC6C8F" w:rsidRDefault="00EC6C8F" w:rsidP="00EC6C8F">
            <w:pPr>
              <w:spacing w:after="0" w:line="240" w:lineRule="auto"/>
              <w:rPr>
                <w:rFonts w:eastAsiaTheme="minorEastAsia"/>
                <w:szCs w:val="20"/>
              </w:rPr>
            </w:pPr>
            <w:r w:rsidRPr="00EC6C8F">
              <w:rPr>
                <w:rFonts w:eastAsiaTheme="minorEastAsia"/>
                <w:szCs w:val="20"/>
              </w:rPr>
              <w:t>Ekonomiskās sadarbības un attīstības organizācija</w:t>
            </w:r>
          </w:p>
        </w:tc>
      </w:tr>
      <w:tr w:rsidR="00EC6C8F" w14:paraId="71CE567C" w14:textId="77777777" w:rsidTr="00EC6C8F">
        <w:trPr>
          <w:trHeight w:val="20"/>
        </w:trPr>
        <w:tc>
          <w:tcPr>
            <w:tcW w:w="4153" w:type="dxa"/>
            <w:hideMark/>
          </w:tcPr>
          <w:p w14:paraId="29DE7E58" w14:textId="77777777" w:rsidR="00EC6C8F" w:rsidRPr="00EC6C8F" w:rsidRDefault="00EC6C8F" w:rsidP="00EC6C8F">
            <w:pPr>
              <w:spacing w:after="0" w:line="240" w:lineRule="auto"/>
              <w:rPr>
                <w:rFonts w:eastAsiaTheme="minorEastAsia"/>
                <w:szCs w:val="20"/>
              </w:rPr>
            </w:pPr>
            <w:r w:rsidRPr="00EC6C8F">
              <w:rPr>
                <w:rFonts w:eastAsiaTheme="minorEastAsia"/>
                <w:szCs w:val="20"/>
              </w:rPr>
              <w:t>FDL</w:t>
            </w:r>
          </w:p>
        </w:tc>
        <w:tc>
          <w:tcPr>
            <w:tcW w:w="4153" w:type="dxa"/>
            <w:hideMark/>
          </w:tcPr>
          <w:p w14:paraId="57A1B5F5" w14:textId="77777777" w:rsidR="00EC6C8F" w:rsidRPr="00EC6C8F" w:rsidRDefault="00EC6C8F" w:rsidP="00EC6C8F">
            <w:pPr>
              <w:spacing w:after="0" w:line="240" w:lineRule="auto"/>
              <w:rPr>
                <w:rFonts w:eastAsiaTheme="minorEastAsia"/>
                <w:szCs w:val="20"/>
              </w:rPr>
            </w:pPr>
            <w:r w:rsidRPr="00EC6C8F">
              <w:rPr>
                <w:rFonts w:eastAsiaTheme="minorEastAsia"/>
                <w:szCs w:val="20"/>
              </w:rPr>
              <w:t>Fiskālās disciplīnas likums</w:t>
            </w:r>
          </w:p>
        </w:tc>
      </w:tr>
      <w:tr w:rsidR="00EC6C8F" w14:paraId="20A90165" w14:textId="77777777" w:rsidTr="00EC6C8F">
        <w:trPr>
          <w:trHeight w:val="20"/>
        </w:trPr>
        <w:tc>
          <w:tcPr>
            <w:tcW w:w="4153" w:type="dxa"/>
            <w:hideMark/>
          </w:tcPr>
          <w:p w14:paraId="13D8D520" w14:textId="77777777" w:rsidR="00EC6C8F" w:rsidRPr="00EC6C8F" w:rsidRDefault="00EC6C8F" w:rsidP="00EC6C8F">
            <w:pPr>
              <w:spacing w:after="0" w:line="240" w:lineRule="auto"/>
              <w:rPr>
                <w:rFonts w:eastAsiaTheme="minorEastAsia"/>
                <w:szCs w:val="20"/>
              </w:rPr>
            </w:pPr>
            <w:r w:rsidRPr="00EC6C8F">
              <w:rPr>
                <w:rFonts w:eastAsiaTheme="minorEastAsia"/>
                <w:szCs w:val="20"/>
              </w:rPr>
              <w:t>FM</w:t>
            </w:r>
          </w:p>
        </w:tc>
        <w:tc>
          <w:tcPr>
            <w:tcW w:w="4153" w:type="dxa"/>
            <w:hideMark/>
          </w:tcPr>
          <w:p w14:paraId="0074ECB1" w14:textId="77777777" w:rsidR="00EC6C8F" w:rsidRPr="00EC6C8F" w:rsidRDefault="00EC6C8F" w:rsidP="00EC6C8F">
            <w:pPr>
              <w:spacing w:after="0" w:line="240" w:lineRule="auto"/>
              <w:rPr>
                <w:rFonts w:eastAsiaTheme="minorEastAsia"/>
                <w:szCs w:val="20"/>
              </w:rPr>
            </w:pPr>
            <w:r w:rsidRPr="00EC6C8F">
              <w:rPr>
                <w:rFonts w:eastAsiaTheme="minorEastAsia"/>
                <w:szCs w:val="20"/>
              </w:rPr>
              <w:t>Finanšu ministrija</w:t>
            </w:r>
          </w:p>
        </w:tc>
      </w:tr>
      <w:tr w:rsidR="00EC6C8F" w14:paraId="61704C10" w14:textId="77777777" w:rsidTr="00EC6C8F">
        <w:trPr>
          <w:trHeight w:val="20"/>
        </w:trPr>
        <w:tc>
          <w:tcPr>
            <w:tcW w:w="4153" w:type="dxa"/>
            <w:hideMark/>
          </w:tcPr>
          <w:p w14:paraId="0EA730EC" w14:textId="77777777" w:rsidR="00EC6C8F" w:rsidRPr="00EC6C8F" w:rsidRDefault="00EC6C8F" w:rsidP="00EC6C8F">
            <w:pPr>
              <w:spacing w:after="0" w:line="240" w:lineRule="auto"/>
              <w:rPr>
                <w:rFonts w:eastAsiaTheme="minorEastAsia"/>
                <w:szCs w:val="20"/>
              </w:rPr>
            </w:pPr>
            <w:r w:rsidRPr="00EC6C8F">
              <w:rPr>
                <w:rFonts w:eastAsiaTheme="minorEastAsia"/>
                <w:szCs w:val="20"/>
              </w:rPr>
              <w:t>FNR</w:t>
            </w:r>
          </w:p>
        </w:tc>
        <w:tc>
          <w:tcPr>
            <w:tcW w:w="4153" w:type="dxa"/>
            <w:hideMark/>
          </w:tcPr>
          <w:p w14:paraId="3F0C99AD" w14:textId="77777777" w:rsidR="00EC6C8F" w:rsidRPr="00EC6C8F" w:rsidRDefault="00EC6C8F" w:rsidP="00EC6C8F">
            <w:pPr>
              <w:spacing w:after="0" w:line="240" w:lineRule="auto"/>
              <w:rPr>
                <w:rFonts w:eastAsiaTheme="minorEastAsia"/>
                <w:szCs w:val="20"/>
              </w:rPr>
            </w:pPr>
            <w:r w:rsidRPr="00EC6C8F">
              <w:rPr>
                <w:rFonts w:eastAsiaTheme="minorEastAsia"/>
                <w:szCs w:val="20"/>
              </w:rPr>
              <w:t>Fiskālā nodrošinājuma rezerve</w:t>
            </w:r>
          </w:p>
        </w:tc>
      </w:tr>
      <w:tr w:rsidR="00EC6C8F" w14:paraId="1E8C68B5" w14:textId="77777777" w:rsidTr="00EC6C8F">
        <w:trPr>
          <w:trHeight w:val="20"/>
        </w:trPr>
        <w:tc>
          <w:tcPr>
            <w:tcW w:w="4153" w:type="dxa"/>
            <w:hideMark/>
          </w:tcPr>
          <w:p w14:paraId="2C22EB9D" w14:textId="77777777" w:rsidR="00EC6C8F" w:rsidRPr="00EC6C8F" w:rsidRDefault="00EC6C8F" w:rsidP="00EC6C8F">
            <w:pPr>
              <w:spacing w:after="0" w:line="240" w:lineRule="auto"/>
              <w:rPr>
                <w:rFonts w:eastAsiaTheme="minorEastAsia"/>
                <w:szCs w:val="20"/>
              </w:rPr>
            </w:pPr>
            <w:r w:rsidRPr="00EC6C8F">
              <w:rPr>
                <w:rFonts w:eastAsiaTheme="minorEastAsia"/>
                <w:szCs w:val="20"/>
              </w:rPr>
              <w:t>FRD</w:t>
            </w:r>
          </w:p>
        </w:tc>
        <w:tc>
          <w:tcPr>
            <w:tcW w:w="4153" w:type="dxa"/>
            <w:hideMark/>
          </w:tcPr>
          <w:p w14:paraId="52B5ABCB" w14:textId="77777777" w:rsidR="00EC6C8F" w:rsidRPr="00EC6C8F" w:rsidRDefault="00EC6C8F" w:rsidP="00EC6C8F">
            <w:pPr>
              <w:spacing w:after="0" w:line="240" w:lineRule="auto"/>
              <w:rPr>
                <w:rFonts w:eastAsiaTheme="minorEastAsia"/>
                <w:szCs w:val="20"/>
              </w:rPr>
            </w:pPr>
            <w:r w:rsidRPr="00EC6C8F">
              <w:rPr>
                <w:rFonts w:eastAsiaTheme="minorEastAsia"/>
                <w:szCs w:val="20"/>
              </w:rPr>
              <w:t>Fiskālo risku deklarācija</w:t>
            </w:r>
          </w:p>
        </w:tc>
      </w:tr>
      <w:tr w:rsidR="00EC6C8F" w14:paraId="42879DAF" w14:textId="77777777" w:rsidTr="00EC6C8F">
        <w:trPr>
          <w:trHeight w:val="20"/>
        </w:trPr>
        <w:tc>
          <w:tcPr>
            <w:tcW w:w="4153" w:type="dxa"/>
            <w:hideMark/>
          </w:tcPr>
          <w:p w14:paraId="0B99B90E" w14:textId="77777777" w:rsidR="00EC6C8F" w:rsidRPr="00EC6C8F" w:rsidRDefault="00EC6C8F" w:rsidP="00EC6C8F">
            <w:pPr>
              <w:spacing w:after="0" w:line="240" w:lineRule="auto"/>
              <w:rPr>
                <w:rFonts w:eastAsiaTheme="minorEastAsia"/>
                <w:szCs w:val="20"/>
              </w:rPr>
            </w:pPr>
            <w:r w:rsidRPr="00EC6C8F">
              <w:rPr>
                <w:rFonts w:eastAsiaTheme="minorEastAsia"/>
                <w:szCs w:val="20"/>
              </w:rPr>
              <w:t>IIN</w:t>
            </w:r>
          </w:p>
        </w:tc>
        <w:tc>
          <w:tcPr>
            <w:tcW w:w="4153" w:type="dxa"/>
            <w:hideMark/>
          </w:tcPr>
          <w:p w14:paraId="235D04A3" w14:textId="77777777" w:rsidR="00EC6C8F" w:rsidRPr="00EC6C8F" w:rsidRDefault="00EC6C8F" w:rsidP="00EC6C8F">
            <w:pPr>
              <w:spacing w:after="0" w:line="240" w:lineRule="auto"/>
              <w:rPr>
                <w:rFonts w:eastAsiaTheme="minorEastAsia"/>
                <w:szCs w:val="20"/>
              </w:rPr>
            </w:pPr>
            <w:r w:rsidRPr="00EC6C8F">
              <w:rPr>
                <w:rFonts w:eastAsiaTheme="minorEastAsia"/>
                <w:szCs w:val="20"/>
              </w:rPr>
              <w:t>Iedzīvotāju ienākuma nodoklis</w:t>
            </w:r>
          </w:p>
        </w:tc>
      </w:tr>
      <w:tr w:rsidR="00EC6C8F" w14:paraId="74A60363" w14:textId="77777777" w:rsidTr="00EC6C8F">
        <w:trPr>
          <w:trHeight w:val="20"/>
        </w:trPr>
        <w:tc>
          <w:tcPr>
            <w:tcW w:w="4153" w:type="dxa"/>
            <w:hideMark/>
          </w:tcPr>
          <w:p w14:paraId="67B90C74" w14:textId="77777777" w:rsidR="00EC6C8F" w:rsidRPr="00EC6C8F" w:rsidRDefault="00EC6C8F" w:rsidP="00EC6C8F">
            <w:pPr>
              <w:spacing w:after="0" w:line="240" w:lineRule="auto"/>
              <w:rPr>
                <w:rFonts w:eastAsiaTheme="minorEastAsia"/>
                <w:szCs w:val="20"/>
              </w:rPr>
            </w:pPr>
            <w:r w:rsidRPr="00EC6C8F">
              <w:rPr>
                <w:rFonts w:eastAsiaTheme="minorEastAsia"/>
                <w:szCs w:val="20"/>
              </w:rPr>
              <w:t>IKP</w:t>
            </w:r>
          </w:p>
        </w:tc>
        <w:tc>
          <w:tcPr>
            <w:tcW w:w="4153" w:type="dxa"/>
            <w:hideMark/>
          </w:tcPr>
          <w:p w14:paraId="411F9BBA" w14:textId="77777777" w:rsidR="00EC6C8F" w:rsidRPr="00EC6C8F" w:rsidRDefault="00EC6C8F" w:rsidP="00EC6C8F">
            <w:pPr>
              <w:spacing w:after="0" w:line="240" w:lineRule="auto"/>
              <w:rPr>
                <w:rFonts w:eastAsiaTheme="minorEastAsia"/>
                <w:szCs w:val="20"/>
              </w:rPr>
            </w:pPr>
            <w:r w:rsidRPr="00EC6C8F">
              <w:rPr>
                <w:rFonts w:eastAsiaTheme="minorEastAsia"/>
                <w:szCs w:val="20"/>
              </w:rPr>
              <w:t>Iekšzemes kopprodukts</w:t>
            </w:r>
          </w:p>
        </w:tc>
      </w:tr>
      <w:tr w:rsidR="00EC6C8F" w14:paraId="51924FEF" w14:textId="77777777" w:rsidTr="00EC6C8F">
        <w:trPr>
          <w:trHeight w:val="20"/>
        </w:trPr>
        <w:tc>
          <w:tcPr>
            <w:tcW w:w="4153" w:type="dxa"/>
            <w:hideMark/>
          </w:tcPr>
          <w:p w14:paraId="1FDCDE7C" w14:textId="77777777" w:rsidR="00EC6C8F" w:rsidRPr="00EC6C8F" w:rsidRDefault="00EC6C8F" w:rsidP="00EC6C8F">
            <w:pPr>
              <w:spacing w:after="0" w:line="240" w:lineRule="auto"/>
              <w:rPr>
                <w:rFonts w:eastAsiaTheme="minorEastAsia"/>
                <w:szCs w:val="20"/>
              </w:rPr>
            </w:pPr>
            <w:r w:rsidRPr="00EC6C8F">
              <w:rPr>
                <w:rFonts w:eastAsiaTheme="minorEastAsia"/>
                <w:szCs w:val="20"/>
              </w:rPr>
              <w:t>LB</w:t>
            </w:r>
          </w:p>
        </w:tc>
        <w:tc>
          <w:tcPr>
            <w:tcW w:w="4153" w:type="dxa"/>
            <w:hideMark/>
          </w:tcPr>
          <w:p w14:paraId="774FF5B6" w14:textId="77777777" w:rsidR="00EC6C8F" w:rsidRPr="00EC6C8F" w:rsidRDefault="00EC6C8F" w:rsidP="00EC6C8F">
            <w:pPr>
              <w:spacing w:after="0" w:line="240" w:lineRule="auto"/>
              <w:rPr>
                <w:rFonts w:eastAsiaTheme="minorEastAsia"/>
                <w:szCs w:val="20"/>
              </w:rPr>
            </w:pPr>
            <w:r w:rsidRPr="00EC6C8F">
              <w:rPr>
                <w:rFonts w:eastAsiaTheme="minorEastAsia"/>
                <w:szCs w:val="20"/>
              </w:rPr>
              <w:t>Latvijas Banka</w:t>
            </w:r>
          </w:p>
        </w:tc>
      </w:tr>
      <w:tr w:rsidR="00EC6C8F" w14:paraId="2E2B8B74" w14:textId="77777777" w:rsidTr="00EC6C8F">
        <w:trPr>
          <w:trHeight w:val="20"/>
        </w:trPr>
        <w:tc>
          <w:tcPr>
            <w:tcW w:w="4153" w:type="dxa"/>
            <w:hideMark/>
          </w:tcPr>
          <w:p w14:paraId="751177BC" w14:textId="77777777" w:rsidR="00EC6C8F" w:rsidRPr="00EC6C8F" w:rsidRDefault="00EC6C8F" w:rsidP="00EC6C8F">
            <w:pPr>
              <w:spacing w:after="0" w:line="240" w:lineRule="auto"/>
              <w:rPr>
                <w:rFonts w:eastAsiaTheme="minorEastAsia"/>
                <w:szCs w:val="20"/>
              </w:rPr>
            </w:pPr>
            <w:r w:rsidRPr="00EC6C8F">
              <w:rPr>
                <w:rFonts w:eastAsiaTheme="minorEastAsia"/>
                <w:szCs w:val="20"/>
              </w:rPr>
              <w:t>-</w:t>
            </w:r>
          </w:p>
        </w:tc>
        <w:tc>
          <w:tcPr>
            <w:tcW w:w="4153" w:type="dxa"/>
            <w:hideMark/>
          </w:tcPr>
          <w:p w14:paraId="3A2B676D" w14:textId="77777777" w:rsidR="00EC6C8F" w:rsidRPr="00EC6C8F" w:rsidRDefault="00EC6C8F" w:rsidP="00EC6C8F">
            <w:pPr>
              <w:spacing w:after="0" w:line="240" w:lineRule="auto"/>
              <w:rPr>
                <w:rFonts w:eastAsiaTheme="minorEastAsia"/>
                <w:szCs w:val="20"/>
              </w:rPr>
            </w:pPr>
            <w:r w:rsidRPr="00EC6C8F">
              <w:rPr>
                <w:rFonts w:eastAsiaTheme="minorEastAsia"/>
                <w:szCs w:val="20"/>
              </w:rPr>
              <w:t>Nav datu / nav attiecināms</w:t>
            </w:r>
          </w:p>
        </w:tc>
      </w:tr>
      <w:tr w:rsidR="00EC6C8F" w14:paraId="4460173C" w14:textId="77777777" w:rsidTr="00EC6C8F">
        <w:trPr>
          <w:trHeight w:val="20"/>
        </w:trPr>
        <w:tc>
          <w:tcPr>
            <w:tcW w:w="4153" w:type="dxa"/>
          </w:tcPr>
          <w:p w14:paraId="5791A639" w14:textId="77777777" w:rsidR="00EC6C8F" w:rsidRPr="00EC6C8F" w:rsidRDefault="00EC6C8F" w:rsidP="00EC6C8F">
            <w:pPr>
              <w:spacing w:after="0" w:line="240" w:lineRule="auto"/>
              <w:rPr>
                <w:rFonts w:eastAsiaTheme="minorEastAsia"/>
                <w:szCs w:val="20"/>
              </w:rPr>
            </w:pPr>
            <w:r w:rsidRPr="00EC6C8F">
              <w:rPr>
                <w:rFonts w:eastAsiaTheme="minorEastAsia"/>
                <w:szCs w:val="20"/>
              </w:rPr>
              <w:t>NAWRU</w:t>
            </w:r>
          </w:p>
        </w:tc>
        <w:tc>
          <w:tcPr>
            <w:tcW w:w="4153" w:type="dxa"/>
          </w:tcPr>
          <w:p w14:paraId="09A2C4AF" w14:textId="77777777" w:rsidR="00EC6C8F" w:rsidRPr="00EC6C8F" w:rsidRDefault="00EC6C8F" w:rsidP="00EC6C8F">
            <w:pPr>
              <w:spacing w:after="0" w:line="240" w:lineRule="auto"/>
              <w:rPr>
                <w:rFonts w:eastAsiaTheme="minorEastAsia"/>
                <w:szCs w:val="20"/>
              </w:rPr>
            </w:pPr>
            <w:r w:rsidRPr="00EC6C8F">
              <w:rPr>
                <w:rFonts w:eastAsiaTheme="minorEastAsia"/>
                <w:szCs w:val="20"/>
              </w:rPr>
              <w:t>Bezdarba līmenis kas neietekmē algu</w:t>
            </w:r>
          </w:p>
        </w:tc>
      </w:tr>
      <w:tr w:rsidR="00EC6C8F" w14:paraId="6F89FE4A" w14:textId="77777777" w:rsidTr="00EC6C8F">
        <w:trPr>
          <w:trHeight w:val="20"/>
        </w:trPr>
        <w:tc>
          <w:tcPr>
            <w:tcW w:w="4153" w:type="dxa"/>
            <w:hideMark/>
          </w:tcPr>
          <w:p w14:paraId="35683256" w14:textId="77777777" w:rsidR="00EC6C8F" w:rsidRPr="00EC6C8F" w:rsidRDefault="00EC6C8F" w:rsidP="00EC6C8F">
            <w:pPr>
              <w:spacing w:after="0" w:line="240" w:lineRule="auto"/>
              <w:rPr>
                <w:rFonts w:eastAsiaTheme="minorEastAsia"/>
                <w:szCs w:val="20"/>
              </w:rPr>
            </w:pPr>
            <w:r w:rsidRPr="00EC6C8F">
              <w:rPr>
                <w:rFonts w:eastAsiaTheme="minorEastAsia"/>
                <w:szCs w:val="20"/>
              </w:rPr>
              <w:t>Padome</w:t>
            </w:r>
          </w:p>
        </w:tc>
        <w:tc>
          <w:tcPr>
            <w:tcW w:w="4153" w:type="dxa"/>
            <w:hideMark/>
          </w:tcPr>
          <w:p w14:paraId="795FE967" w14:textId="77777777" w:rsidR="00EC6C8F" w:rsidRPr="00EC6C8F" w:rsidRDefault="00EC6C8F" w:rsidP="00EC6C8F">
            <w:pPr>
              <w:spacing w:after="0" w:line="240" w:lineRule="auto"/>
              <w:rPr>
                <w:rFonts w:eastAsiaTheme="minorEastAsia"/>
                <w:szCs w:val="20"/>
              </w:rPr>
            </w:pPr>
            <w:r w:rsidRPr="00EC6C8F">
              <w:rPr>
                <w:rFonts w:eastAsiaTheme="minorEastAsia"/>
                <w:szCs w:val="20"/>
              </w:rPr>
              <w:t>Fiskālās disciplīnas padome</w:t>
            </w:r>
          </w:p>
        </w:tc>
      </w:tr>
      <w:tr w:rsidR="00EC6C8F" w14:paraId="6E7CC80A" w14:textId="77777777" w:rsidTr="00EC6C8F">
        <w:trPr>
          <w:trHeight w:val="20"/>
        </w:trPr>
        <w:tc>
          <w:tcPr>
            <w:tcW w:w="4153" w:type="dxa"/>
            <w:hideMark/>
          </w:tcPr>
          <w:p w14:paraId="1BED500D" w14:textId="77777777" w:rsidR="00EC6C8F" w:rsidRPr="00EC6C8F" w:rsidRDefault="00EC6C8F" w:rsidP="00EC6C8F">
            <w:pPr>
              <w:spacing w:after="0" w:line="240" w:lineRule="auto"/>
              <w:rPr>
                <w:rFonts w:eastAsiaTheme="minorEastAsia"/>
                <w:szCs w:val="20"/>
              </w:rPr>
            </w:pPr>
            <w:r w:rsidRPr="00EC6C8F">
              <w:rPr>
                <w:rFonts w:eastAsiaTheme="minorEastAsia"/>
                <w:szCs w:val="20"/>
              </w:rPr>
              <w:t>PVN</w:t>
            </w:r>
          </w:p>
        </w:tc>
        <w:tc>
          <w:tcPr>
            <w:tcW w:w="4153" w:type="dxa"/>
            <w:hideMark/>
          </w:tcPr>
          <w:p w14:paraId="7A24BD3D" w14:textId="77777777" w:rsidR="00EC6C8F" w:rsidRPr="00EC6C8F" w:rsidRDefault="00EC6C8F" w:rsidP="00EC6C8F">
            <w:pPr>
              <w:spacing w:after="0" w:line="240" w:lineRule="auto"/>
              <w:rPr>
                <w:rFonts w:eastAsiaTheme="minorEastAsia"/>
                <w:szCs w:val="20"/>
              </w:rPr>
            </w:pPr>
            <w:r w:rsidRPr="00EC6C8F">
              <w:rPr>
                <w:rFonts w:eastAsiaTheme="minorEastAsia"/>
                <w:szCs w:val="20"/>
              </w:rPr>
              <w:t>Pievienotās vērtības nodoklis</w:t>
            </w:r>
          </w:p>
        </w:tc>
      </w:tr>
      <w:tr w:rsidR="00EC6C8F" w14:paraId="348D87E4" w14:textId="77777777" w:rsidTr="00EC6C8F">
        <w:trPr>
          <w:trHeight w:val="20"/>
        </w:trPr>
        <w:tc>
          <w:tcPr>
            <w:tcW w:w="4153" w:type="dxa"/>
            <w:hideMark/>
          </w:tcPr>
          <w:p w14:paraId="441323A4" w14:textId="77777777" w:rsidR="00EC6C8F" w:rsidRPr="00EC6C8F" w:rsidRDefault="00EC6C8F" w:rsidP="00EC6C8F">
            <w:pPr>
              <w:spacing w:after="0" w:line="240" w:lineRule="auto"/>
              <w:rPr>
                <w:rFonts w:eastAsiaTheme="minorEastAsia"/>
                <w:szCs w:val="20"/>
              </w:rPr>
            </w:pPr>
            <w:r w:rsidRPr="00EC6C8F">
              <w:rPr>
                <w:rFonts w:eastAsiaTheme="minorEastAsia"/>
                <w:szCs w:val="20"/>
              </w:rPr>
              <w:t>SIP</w:t>
            </w:r>
          </w:p>
        </w:tc>
        <w:tc>
          <w:tcPr>
            <w:tcW w:w="4153" w:type="dxa"/>
            <w:hideMark/>
          </w:tcPr>
          <w:p w14:paraId="2D4B15BC" w14:textId="77777777" w:rsidR="00EC6C8F" w:rsidRPr="00EC6C8F" w:rsidRDefault="00EC6C8F" w:rsidP="00EC6C8F">
            <w:pPr>
              <w:spacing w:after="0" w:line="240" w:lineRule="auto"/>
              <w:rPr>
                <w:rFonts w:eastAsiaTheme="minorEastAsia"/>
                <w:szCs w:val="20"/>
              </w:rPr>
            </w:pPr>
            <w:r w:rsidRPr="00EC6C8F">
              <w:rPr>
                <w:rFonts w:eastAsiaTheme="minorEastAsia"/>
                <w:szCs w:val="20"/>
              </w:rPr>
              <w:t>Stabilitātes un izaugsmes pakts</w:t>
            </w:r>
          </w:p>
        </w:tc>
      </w:tr>
      <w:tr w:rsidR="00EC6C8F" w14:paraId="0E0F32BC" w14:textId="77777777" w:rsidTr="00EC6C8F">
        <w:trPr>
          <w:trHeight w:val="20"/>
        </w:trPr>
        <w:tc>
          <w:tcPr>
            <w:tcW w:w="4153" w:type="dxa"/>
            <w:hideMark/>
          </w:tcPr>
          <w:p w14:paraId="34A31151" w14:textId="77777777" w:rsidR="00EC6C8F" w:rsidRPr="00EC6C8F" w:rsidRDefault="00EC6C8F" w:rsidP="00EC6C8F">
            <w:pPr>
              <w:spacing w:after="0" w:line="240" w:lineRule="auto"/>
              <w:rPr>
                <w:rFonts w:eastAsiaTheme="minorEastAsia"/>
                <w:szCs w:val="20"/>
              </w:rPr>
            </w:pPr>
            <w:r w:rsidRPr="00EC6C8F">
              <w:rPr>
                <w:rFonts w:eastAsiaTheme="minorEastAsia"/>
                <w:szCs w:val="20"/>
              </w:rPr>
              <w:t>SP</w:t>
            </w:r>
          </w:p>
        </w:tc>
        <w:tc>
          <w:tcPr>
            <w:tcW w:w="4153" w:type="dxa"/>
            <w:hideMark/>
          </w:tcPr>
          <w:p w14:paraId="6EDC21F2" w14:textId="77777777" w:rsidR="00EC6C8F" w:rsidRPr="00EC6C8F" w:rsidRDefault="00EC6C8F" w:rsidP="00EC6C8F">
            <w:pPr>
              <w:spacing w:after="0" w:line="240" w:lineRule="auto"/>
              <w:rPr>
                <w:rFonts w:eastAsiaTheme="minorEastAsia"/>
                <w:szCs w:val="20"/>
              </w:rPr>
            </w:pPr>
            <w:r w:rsidRPr="00EC6C8F">
              <w:rPr>
                <w:rFonts w:eastAsiaTheme="minorEastAsia"/>
                <w:szCs w:val="20"/>
              </w:rPr>
              <w:t>Latvijas stabilitātes programma</w:t>
            </w:r>
          </w:p>
        </w:tc>
      </w:tr>
      <w:tr w:rsidR="00EC6C8F" w14:paraId="101D344C" w14:textId="77777777" w:rsidTr="00EC6C8F">
        <w:trPr>
          <w:trHeight w:val="20"/>
        </w:trPr>
        <w:tc>
          <w:tcPr>
            <w:tcW w:w="4153" w:type="dxa"/>
            <w:hideMark/>
          </w:tcPr>
          <w:p w14:paraId="781A0679" w14:textId="571F5B4E" w:rsidR="00EC6C8F" w:rsidRPr="00EC6C8F" w:rsidRDefault="00EC6C8F" w:rsidP="00EC6C8F">
            <w:pPr>
              <w:spacing w:after="0" w:line="240" w:lineRule="auto"/>
              <w:rPr>
                <w:rFonts w:eastAsiaTheme="minorEastAsia"/>
                <w:szCs w:val="20"/>
              </w:rPr>
            </w:pPr>
            <w:r w:rsidRPr="00EC6C8F">
              <w:rPr>
                <w:rFonts w:eastAsiaTheme="minorEastAsia"/>
                <w:szCs w:val="20"/>
              </w:rPr>
              <w:t>SP 202</w:t>
            </w:r>
            <w:r>
              <w:rPr>
                <w:rFonts w:eastAsiaTheme="minorEastAsia"/>
                <w:szCs w:val="20"/>
              </w:rPr>
              <w:t>1</w:t>
            </w:r>
            <w:r w:rsidRPr="00EC6C8F">
              <w:rPr>
                <w:rFonts w:eastAsiaTheme="minorEastAsia"/>
                <w:szCs w:val="20"/>
              </w:rPr>
              <w:t>/2</w:t>
            </w:r>
            <w:r>
              <w:rPr>
                <w:rFonts w:eastAsiaTheme="minorEastAsia"/>
                <w:szCs w:val="20"/>
              </w:rPr>
              <w:t>4</w:t>
            </w:r>
          </w:p>
        </w:tc>
        <w:tc>
          <w:tcPr>
            <w:tcW w:w="4153" w:type="dxa"/>
            <w:hideMark/>
          </w:tcPr>
          <w:p w14:paraId="1977484B" w14:textId="5514C451" w:rsidR="00EC6C8F" w:rsidRPr="00EC6C8F" w:rsidRDefault="00EC6C8F" w:rsidP="00EC6C8F">
            <w:pPr>
              <w:spacing w:after="0" w:line="240" w:lineRule="auto"/>
              <w:rPr>
                <w:rFonts w:eastAsiaTheme="minorEastAsia"/>
                <w:szCs w:val="20"/>
              </w:rPr>
            </w:pPr>
            <w:r w:rsidRPr="00EC6C8F">
              <w:rPr>
                <w:rFonts w:eastAsiaTheme="minorEastAsia"/>
                <w:szCs w:val="20"/>
              </w:rPr>
              <w:t>Latvijas stabilitātes programma 202</w:t>
            </w:r>
            <w:r>
              <w:rPr>
                <w:rFonts w:eastAsiaTheme="minorEastAsia"/>
                <w:szCs w:val="20"/>
              </w:rPr>
              <w:t>1</w:t>
            </w:r>
            <w:r w:rsidRPr="00EC6C8F">
              <w:rPr>
                <w:rFonts w:eastAsiaTheme="minorEastAsia"/>
                <w:szCs w:val="20"/>
              </w:rPr>
              <w:t>.-202</w:t>
            </w:r>
            <w:r>
              <w:rPr>
                <w:rFonts w:eastAsiaTheme="minorEastAsia"/>
                <w:szCs w:val="20"/>
              </w:rPr>
              <w:t>4</w:t>
            </w:r>
            <w:r w:rsidRPr="00EC6C8F">
              <w:rPr>
                <w:rFonts w:eastAsiaTheme="minorEastAsia"/>
                <w:szCs w:val="20"/>
              </w:rPr>
              <w:t>.gadam</w:t>
            </w:r>
          </w:p>
        </w:tc>
      </w:tr>
      <w:tr w:rsidR="00EC6C8F" w14:paraId="2C3D89D5" w14:textId="77777777" w:rsidTr="00EC6C8F">
        <w:trPr>
          <w:trHeight w:val="20"/>
        </w:trPr>
        <w:tc>
          <w:tcPr>
            <w:tcW w:w="4153" w:type="dxa"/>
            <w:hideMark/>
          </w:tcPr>
          <w:p w14:paraId="4B6C1349" w14:textId="77777777" w:rsidR="00EC6C8F" w:rsidRPr="00EC6C8F" w:rsidRDefault="00EC6C8F" w:rsidP="00EC6C8F">
            <w:pPr>
              <w:spacing w:after="0" w:line="240" w:lineRule="auto"/>
              <w:rPr>
                <w:rFonts w:eastAsiaTheme="minorEastAsia"/>
                <w:szCs w:val="20"/>
              </w:rPr>
            </w:pPr>
            <w:r w:rsidRPr="00EC6C8F">
              <w:rPr>
                <w:rFonts w:eastAsiaTheme="minorEastAsia"/>
                <w:szCs w:val="20"/>
              </w:rPr>
              <w:t>SPBS</w:t>
            </w:r>
          </w:p>
        </w:tc>
        <w:tc>
          <w:tcPr>
            <w:tcW w:w="4153" w:type="dxa"/>
            <w:hideMark/>
          </w:tcPr>
          <w:p w14:paraId="0C2CC2E5" w14:textId="77777777" w:rsidR="00EC6C8F" w:rsidRPr="00EC6C8F" w:rsidRDefault="00EC6C8F" w:rsidP="00EC6C8F">
            <w:pPr>
              <w:spacing w:after="0" w:line="240" w:lineRule="auto"/>
              <w:rPr>
                <w:rFonts w:eastAsiaTheme="minorEastAsia"/>
                <w:szCs w:val="20"/>
              </w:rPr>
            </w:pPr>
            <w:r w:rsidRPr="00EC6C8F">
              <w:rPr>
                <w:rFonts w:eastAsiaTheme="minorEastAsia"/>
                <w:szCs w:val="20"/>
              </w:rPr>
              <w:t>Stabilitātes programmas bāzes scenārijs</w:t>
            </w:r>
          </w:p>
        </w:tc>
      </w:tr>
      <w:tr w:rsidR="00EC6C8F" w14:paraId="14B1FB28" w14:textId="77777777" w:rsidTr="00EC6C8F">
        <w:trPr>
          <w:trHeight w:val="20"/>
        </w:trPr>
        <w:tc>
          <w:tcPr>
            <w:tcW w:w="4153" w:type="dxa"/>
            <w:hideMark/>
          </w:tcPr>
          <w:p w14:paraId="4FDD8486" w14:textId="77777777" w:rsidR="00EC6C8F" w:rsidRPr="00EC6C8F" w:rsidRDefault="00EC6C8F" w:rsidP="00EC6C8F">
            <w:pPr>
              <w:spacing w:after="0" w:line="240" w:lineRule="auto"/>
              <w:rPr>
                <w:rFonts w:eastAsiaTheme="minorEastAsia"/>
                <w:szCs w:val="20"/>
              </w:rPr>
            </w:pPr>
            <w:r w:rsidRPr="00EC6C8F">
              <w:rPr>
                <w:rFonts w:eastAsiaTheme="minorEastAsia"/>
                <w:szCs w:val="20"/>
              </w:rPr>
              <w:t>VID</w:t>
            </w:r>
          </w:p>
        </w:tc>
        <w:tc>
          <w:tcPr>
            <w:tcW w:w="4153" w:type="dxa"/>
            <w:hideMark/>
          </w:tcPr>
          <w:p w14:paraId="0031E1D9" w14:textId="77777777" w:rsidR="00EC6C8F" w:rsidRPr="00EC6C8F" w:rsidRDefault="00EC6C8F" w:rsidP="00EC6C8F">
            <w:pPr>
              <w:spacing w:after="0" w:line="240" w:lineRule="auto"/>
              <w:rPr>
                <w:rFonts w:eastAsiaTheme="minorEastAsia"/>
                <w:szCs w:val="20"/>
              </w:rPr>
            </w:pPr>
            <w:r w:rsidRPr="00EC6C8F">
              <w:rPr>
                <w:rFonts w:eastAsiaTheme="minorEastAsia"/>
                <w:szCs w:val="20"/>
              </w:rPr>
              <w:t>Valsts ieņēmumu dienests</w:t>
            </w:r>
          </w:p>
        </w:tc>
      </w:tr>
      <w:tr w:rsidR="00EC6C8F" w14:paraId="2CD15D2A" w14:textId="77777777" w:rsidTr="00EC6C8F">
        <w:trPr>
          <w:trHeight w:val="20"/>
        </w:trPr>
        <w:tc>
          <w:tcPr>
            <w:tcW w:w="4153" w:type="dxa"/>
            <w:hideMark/>
          </w:tcPr>
          <w:p w14:paraId="0AFCDF4A" w14:textId="77777777" w:rsidR="00EC6C8F" w:rsidRPr="00EC6C8F" w:rsidRDefault="00EC6C8F" w:rsidP="00EC6C8F">
            <w:pPr>
              <w:spacing w:after="0" w:line="240" w:lineRule="auto"/>
              <w:rPr>
                <w:rFonts w:eastAsiaTheme="minorEastAsia"/>
                <w:szCs w:val="20"/>
              </w:rPr>
            </w:pPr>
            <w:r w:rsidRPr="00EC6C8F">
              <w:rPr>
                <w:rFonts w:eastAsiaTheme="minorEastAsia"/>
                <w:szCs w:val="20"/>
              </w:rPr>
              <w:t>Uzraudzības ziņojums</w:t>
            </w:r>
          </w:p>
        </w:tc>
        <w:tc>
          <w:tcPr>
            <w:tcW w:w="4153" w:type="dxa"/>
            <w:hideMark/>
          </w:tcPr>
          <w:p w14:paraId="220ECCBE" w14:textId="77777777" w:rsidR="00EC6C8F" w:rsidRPr="00EC6C8F" w:rsidRDefault="00EC6C8F" w:rsidP="00EC6C8F">
            <w:pPr>
              <w:spacing w:after="0" w:line="240" w:lineRule="auto"/>
              <w:rPr>
                <w:rFonts w:eastAsiaTheme="minorEastAsia"/>
                <w:szCs w:val="20"/>
              </w:rPr>
            </w:pPr>
            <w:r w:rsidRPr="00EC6C8F">
              <w:rPr>
                <w:rFonts w:eastAsiaTheme="minorEastAsia"/>
                <w:szCs w:val="20"/>
              </w:rPr>
              <w:t>Fiskālās disciplīnas uzraudzības ziņojums</w:t>
            </w:r>
          </w:p>
        </w:tc>
      </w:tr>
      <w:tr w:rsidR="00EC6C8F" w14:paraId="016CA4A4" w14:textId="77777777" w:rsidTr="00EC6C8F">
        <w:trPr>
          <w:trHeight w:val="20"/>
        </w:trPr>
        <w:tc>
          <w:tcPr>
            <w:tcW w:w="4153" w:type="dxa"/>
            <w:hideMark/>
          </w:tcPr>
          <w:p w14:paraId="76EFCC87" w14:textId="77777777" w:rsidR="00EC6C8F" w:rsidRPr="00EC6C8F" w:rsidRDefault="00EC6C8F" w:rsidP="00EC6C8F">
            <w:pPr>
              <w:spacing w:after="0" w:line="240" w:lineRule="auto"/>
              <w:rPr>
                <w:rFonts w:eastAsiaTheme="minorEastAsia"/>
                <w:szCs w:val="20"/>
              </w:rPr>
            </w:pPr>
            <w:r w:rsidRPr="00EC6C8F">
              <w:rPr>
                <w:rFonts w:eastAsiaTheme="minorEastAsia"/>
                <w:szCs w:val="20"/>
              </w:rPr>
              <w:t>VTBI</w:t>
            </w:r>
          </w:p>
        </w:tc>
        <w:tc>
          <w:tcPr>
            <w:tcW w:w="4153" w:type="dxa"/>
            <w:hideMark/>
          </w:tcPr>
          <w:p w14:paraId="688640B1" w14:textId="77777777" w:rsidR="00EC6C8F" w:rsidRPr="00EC6C8F" w:rsidRDefault="00EC6C8F" w:rsidP="00EC6C8F">
            <w:pPr>
              <w:spacing w:after="0" w:line="240" w:lineRule="auto"/>
              <w:rPr>
                <w:rFonts w:eastAsiaTheme="minorEastAsia"/>
                <w:szCs w:val="20"/>
              </w:rPr>
            </w:pPr>
            <w:r w:rsidRPr="00EC6C8F">
              <w:rPr>
                <w:rFonts w:eastAsiaTheme="minorEastAsia"/>
                <w:szCs w:val="20"/>
              </w:rPr>
              <w:t>Vidēja termiņa budžeta ietvars</w:t>
            </w:r>
          </w:p>
        </w:tc>
      </w:tr>
      <w:tr w:rsidR="00EC6C8F" w14:paraId="2DF753EF" w14:textId="77777777" w:rsidTr="00EC6C8F">
        <w:trPr>
          <w:trHeight w:val="20"/>
        </w:trPr>
        <w:tc>
          <w:tcPr>
            <w:tcW w:w="4153" w:type="dxa"/>
            <w:hideMark/>
          </w:tcPr>
          <w:p w14:paraId="3FF4CEFE" w14:textId="77777777" w:rsidR="00EC6C8F" w:rsidRPr="00EC6C8F" w:rsidRDefault="00EC6C8F" w:rsidP="00EC6C8F">
            <w:pPr>
              <w:spacing w:after="0" w:line="240" w:lineRule="auto"/>
              <w:rPr>
                <w:rFonts w:eastAsiaTheme="minorEastAsia"/>
                <w:szCs w:val="20"/>
              </w:rPr>
            </w:pPr>
            <w:r w:rsidRPr="00EC6C8F">
              <w:rPr>
                <w:rFonts w:eastAsiaTheme="minorEastAsia"/>
                <w:szCs w:val="20"/>
              </w:rPr>
              <w:t xml:space="preserve">VTBIL </w:t>
            </w:r>
          </w:p>
        </w:tc>
        <w:tc>
          <w:tcPr>
            <w:tcW w:w="4153" w:type="dxa"/>
            <w:hideMark/>
          </w:tcPr>
          <w:p w14:paraId="2DB5AE95" w14:textId="77777777" w:rsidR="00EC6C8F" w:rsidRPr="00EC6C8F" w:rsidRDefault="00EC6C8F" w:rsidP="00EC6C8F">
            <w:pPr>
              <w:spacing w:after="0" w:line="240" w:lineRule="auto"/>
              <w:rPr>
                <w:rFonts w:eastAsiaTheme="minorEastAsia"/>
                <w:szCs w:val="20"/>
              </w:rPr>
            </w:pPr>
            <w:r w:rsidRPr="00EC6C8F">
              <w:rPr>
                <w:rFonts w:eastAsiaTheme="minorEastAsia"/>
                <w:szCs w:val="20"/>
              </w:rPr>
              <w:t>Vidēja termiņa budžeta ietvara likums</w:t>
            </w:r>
          </w:p>
        </w:tc>
      </w:tr>
      <w:tr w:rsidR="00EC6C8F" w14:paraId="45B8E40D" w14:textId="77777777" w:rsidTr="00EC6C8F">
        <w:trPr>
          <w:trHeight w:val="20"/>
        </w:trPr>
        <w:tc>
          <w:tcPr>
            <w:tcW w:w="4153" w:type="dxa"/>
            <w:hideMark/>
          </w:tcPr>
          <w:p w14:paraId="045BCE72" w14:textId="77777777" w:rsidR="00EC6C8F" w:rsidRPr="00EC6C8F" w:rsidRDefault="00EC6C8F" w:rsidP="00EC6C8F">
            <w:pPr>
              <w:spacing w:after="0" w:line="240" w:lineRule="auto"/>
              <w:rPr>
                <w:rFonts w:eastAsiaTheme="minorEastAsia"/>
                <w:szCs w:val="20"/>
              </w:rPr>
            </w:pPr>
            <w:r w:rsidRPr="00EC6C8F">
              <w:rPr>
                <w:rFonts w:eastAsiaTheme="minorEastAsia"/>
                <w:szCs w:val="20"/>
              </w:rPr>
              <w:t>VTM</w:t>
            </w:r>
          </w:p>
        </w:tc>
        <w:tc>
          <w:tcPr>
            <w:tcW w:w="4153" w:type="dxa"/>
            <w:hideMark/>
          </w:tcPr>
          <w:p w14:paraId="510B9DFD" w14:textId="77777777" w:rsidR="00EC6C8F" w:rsidRPr="00EC6C8F" w:rsidRDefault="00EC6C8F" w:rsidP="00EC6C8F">
            <w:pPr>
              <w:spacing w:after="0" w:line="240" w:lineRule="auto"/>
              <w:rPr>
                <w:rFonts w:eastAsiaTheme="minorEastAsia"/>
                <w:szCs w:val="20"/>
              </w:rPr>
            </w:pPr>
            <w:r w:rsidRPr="00EC6C8F">
              <w:rPr>
                <w:rFonts w:eastAsiaTheme="minorEastAsia"/>
                <w:szCs w:val="20"/>
              </w:rPr>
              <w:t>Vidēja termiņa mērķis</w:t>
            </w:r>
          </w:p>
        </w:tc>
      </w:tr>
      <w:tr w:rsidR="00EC6C8F" w14:paraId="56B4AA69" w14:textId="77777777" w:rsidTr="00EC6C8F">
        <w:trPr>
          <w:trHeight w:val="20"/>
        </w:trPr>
        <w:tc>
          <w:tcPr>
            <w:tcW w:w="4153" w:type="dxa"/>
            <w:hideMark/>
          </w:tcPr>
          <w:p w14:paraId="6111AB33" w14:textId="77777777" w:rsidR="00EC6C8F" w:rsidRPr="00EC6C8F" w:rsidRDefault="00EC6C8F" w:rsidP="00EC6C8F">
            <w:pPr>
              <w:spacing w:after="0" w:line="240" w:lineRule="auto"/>
              <w:rPr>
                <w:rFonts w:eastAsiaTheme="minorEastAsia"/>
                <w:szCs w:val="20"/>
              </w:rPr>
            </w:pPr>
            <w:r w:rsidRPr="00EC6C8F">
              <w:rPr>
                <w:rFonts w:eastAsiaTheme="minorEastAsia"/>
                <w:szCs w:val="20"/>
              </w:rPr>
              <w:t>VVBB</w:t>
            </w:r>
          </w:p>
        </w:tc>
        <w:tc>
          <w:tcPr>
            <w:tcW w:w="4153" w:type="dxa"/>
            <w:hideMark/>
          </w:tcPr>
          <w:p w14:paraId="7DE1B39E" w14:textId="77777777" w:rsidR="00EC6C8F" w:rsidRPr="00EC6C8F" w:rsidRDefault="00EC6C8F" w:rsidP="00EC6C8F">
            <w:pPr>
              <w:spacing w:after="0" w:line="240" w:lineRule="auto"/>
              <w:rPr>
                <w:rFonts w:eastAsiaTheme="minorEastAsia"/>
                <w:szCs w:val="20"/>
              </w:rPr>
            </w:pPr>
            <w:r w:rsidRPr="00EC6C8F">
              <w:rPr>
                <w:rFonts w:eastAsiaTheme="minorEastAsia"/>
                <w:szCs w:val="20"/>
              </w:rPr>
              <w:t>Vispārējās valdības budžeta bilance</w:t>
            </w:r>
          </w:p>
        </w:tc>
      </w:tr>
    </w:tbl>
    <w:p w14:paraId="6BFA5B47" w14:textId="77777777" w:rsidR="00EC6C8F" w:rsidRDefault="00EC6C8F" w:rsidP="00EC6C8F"/>
    <w:p w14:paraId="07BACBBD" w14:textId="77777777" w:rsidR="00E50B37" w:rsidRDefault="00E50B37" w:rsidP="00EC6C8F">
      <w:pPr>
        <w:pStyle w:val="FDPList1"/>
        <w:numPr>
          <w:ilvl w:val="0"/>
          <w:numId w:val="0"/>
        </w:numPr>
        <w:ind w:left="567"/>
      </w:pPr>
    </w:p>
    <w:p w14:paraId="51CF1411" w14:textId="77777777" w:rsidR="00E50B37" w:rsidRDefault="00645276">
      <w:pPr>
        <w:pStyle w:val="Virsraksts1"/>
      </w:pPr>
      <w:r>
        <w:br w:type="column"/>
      </w:r>
      <w:bookmarkStart w:id="5" w:name="_Toc84839727"/>
      <w:r>
        <w:lastRenderedPageBreak/>
        <w:t xml:space="preserve">1. </w:t>
      </w:r>
      <w:r>
        <w:rPr>
          <w:rFonts w:eastAsiaTheme="minorHAnsi"/>
        </w:rPr>
        <w:t>Fiskālās politikas attīstība</w:t>
      </w:r>
      <w:bookmarkEnd w:id="5"/>
    </w:p>
    <w:p w14:paraId="1041BFF9" w14:textId="77777777" w:rsidR="00E50B37" w:rsidRDefault="00645276">
      <w:pPr>
        <w:pStyle w:val="Virsraksts2"/>
      </w:pPr>
      <w:bookmarkStart w:id="6" w:name="_Toc84839728"/>
      <w:r>
        <w:t>1.1. 2021. gada perspektīva</w:t>
      </w:r>
      <w:bookmarkEnd w:id="6"/>
    </w:p>
    <w:p w14:paraId="456E673C" w14:textId="77777777" w:rsidR="00E50B37" w:rsidRDefault="00645276">
      <w:pPr>
        <w:pStyle w:val="FDPList1"/>
        <w:numPr>
          <w:ilvl w:val="0"/>
          <w:numId w:val="5"/>
        </w:numPr>
        <w:spacing w:after="0"/>
        <w:ind w:left="567" w:hanging="567"/>
        <w:rPr>
          <w:rFonts w:asciiTheme="minorHAnsi" w:eastAsiaTheme="minorEastAsia" w:hAnsiTheme="minorHAnsi"/>
          <w:szCs w:val="20"/>
        </w:rPr>
      </w:pPr>
      <w:r>
        <w:rPr>
          <w:b/>
          <w:bCs/>
        </w:rPr>
        <w:t>Covid-19 izraisītā ekonomiskā krīze turpinās, tāpēc 2020. gadā aktivizētā ES Stabilitātes un izaugsmes pakta vispārējā izņēmuma klauzula, kas ļauj palielināt vispārējās valdības budžeta deficītu, ir spēkā arī 2021. gadā</w:t>
      </w:r>
      <w:r>
        <w:t>. Vēlāk, 2021. gada 17. jūnijā pieņemtie labojumi “Covid-19 infekcijas izplatības seku pārvarēšanas likums”</w:t>
      </w:r>
      <w:r>
        <w:rPr>
          <w:rStyle w:val="FootnoteAnchor"/>
        </w:rPr>
        <w:footnoteReference w:id="6"/>
      </w:r>
      <w:r>
        <w:t xml:space="preserve"> noteica, ka, izstrādājot likumprojektu "Par valsts budžetu 2022. gadam", </w:t>
      </w:r>
      <w:hyperlink r:id="rId12">
        <w:r>
          <w:rPr>
            <w:rFonts w:eastAsiaTheme="minorEastAsia"/>
            <w:szCs w:val="20"/>
            <w:lang w:val="lv"/>
          </w:rPr>
          <w:t>Fiskālās disciplīnas likuma</w:t>
        </w:r>
      </w:hyperlink>
      <w:r>
        <w:rPr>
          <w:rFonts w:eastAsiaTheme="minorEastAsia"/>
          <w:szCs w:val="20"/>
          <w:lang w:val="lv"/>
        </w:rPr>
        <w:t xml:space="preserve"> </w:t>
      </w:r>
      <w:hyperlink r:id="rId13" w:anchor="p7" w:history="1">
        <w:r>
          <w:rPr>
            <w:rFonts w:eastAsiaTheme="minorEastAsia"/>
            <w:szCs w:val="20"/>
            <w:lang w:val="lv"/>
          </w:rPr>
          <w:t>7., 9., 10. un 13. pantu</w:t>
        </w:r>
      </w:hyperlink>
      <w:r>
        <w:rPr>
          <w:rFonts w:eastAsiaTheme="minorEastAsia"/>
          <w:szCs w:val="20"/>
        </w:rPr>
        <w:t xml:space="preserve"> vietā tiek piemēroti EK regulas Nr. 1466/97 5. panta nosacījumi</w:t>
      </w:r>
      <w:r>
        <w:rPr>
          <w:rStyle w:val="FootnoteAnchor"/>
          <w:rFonts w:eastAsiaTheme="minorEastAsia"/>
          <w:szCs w:val="20"/>
        </w:rPr>
        <w:footnoteReference w:id="7"/>
      </w:r>
      <w:r>
        <w:rPr>
          <w:rFonts w:eastAsiaTheme="minorEastAsia"/>
          <w:szCs w:val="20"/>
        </w:rPr>
        <w:t>. EK sniedza ieteikumus, ka budžeta sagatavošanas procesā ir jāierobežo kārtējie izdevumi, bet nav ierobežojumu vienreizējiem Covid-19 krīzes pārvarēšanas izdevumiem un investīcijām. Kārtējo izdevumu pieaugums jākontrolē, balstoties uz iepriekšējā gada kārtējo izdevumu apmēru, ņemot vērā 10 gadu vidējā potenciālā IKP pieaugumu, IKP deflatoru un diskrecionāros ieņēmumu pasākumus. Pēc FM aprēķiniem, fiskālā telpa 2022. gadam ir aptuveni 300 miljoni eiro.</w:t>
      </w:r>
    </w:p>
    <w:p w14:paraId="377B2FFB" w14:textId="77777777" w:rsidR="00E50B37" w:rsidRDefault="00645276">
      <w:pPr>
        <w:pStyle w:val="FDPList1"/>
      </w:pPr>
      <w:r>
        <w:rPr>
          <w:b/>
          <w:bCs/>
        </w:rPr>
        <w:t>Covid-19 izraisītā ekonomiskā krīze ir negatīvi ietekmējusi valsts fiskālo pozīciju -  2020. rezultāti un 2021. gada prognozes rāda lielus budžeta deficītus.</w:t>
      </w:r>
      <w:r>
        <w:t xml:space="preserve"> Ja 2020. gadā VVBB negatīvi ietekmēja gan sarūkošie budžeta ienākumi, gan lielāki budžeta izdevumi, ko izraisīja valdības atbalsta pasākumi, tad 2021. gadā ieņēmumi uzlabojās, taču izdevumu pieaugums ir ievērojami augstāks nekā gadu atpakaļ. Kopš SP 2021/24 valsts ekonomiskās un finanšu prognozes nedaudz pasliktinājās, šobrīd FM prognozē, ka VVBB deficīts 2021. gadā sasniegs 2,9 miljardus eiro, jeb 9,3% no IKP.</w:t>
      </w:r>
    </w:p>
    <w:p w14:paraId="0BEC7918" w14:textId="77777777" w:rsidR="00E50B37" w:rsidRDefault="00645276">
      <w:pPr>
        <w:pStyle w:val="FDPNosaukumsGrafikam"/>
      </w:pPr>
      <w:r>
        <w:t>1. tabula. Budžeta bilances plāni un prognozes 2021.gadam un iznākums 2020.gadam</w:t>
      </w:r>
      <w:r>
        <w:rPr>
          <w:rStyle w:val="FootnoteAnchor"/>
        </w:rPr>
        <w:footnoteReference w:id="8"/>
      </w:r>
      <w:r>
        <w:t>., milj. Eiro.</w:t>
      </w:r>
    </w:p>
    <w:p w14:paraId="09EE3715" w14:textId="77777777" w:rsidR="00E50B37" w:rsidRDefault="00E50B37">
      <w:pPr>
        <w:spacing w:after="0" w:line="240" w:lineRule="auto"/>
        <w:jc w:val="center"/>
        <w:rPr>
          <w:rFonts w:ascii="Calibri" w:eastAsia="Times New Roman" w:hAnsi="Calibri" w:cs="Calibri"/>
          <w:b/>
          <w:i/>
          <w:color w:val="auto"/>
          <w:szCs w:val="20"/>
        </w:rPr>
      </w:pPr>
    </w:p>
    <w:tbl>
      <w:tblPr>
        <w:tblStyle w:val="TableGrid2"/>
        <w:tblW w:w="9128" w:type="dxa"/>
        <w:tblLayout w:type="fixed"/>
        <w:tblLook w:val="04A0" w:firstRow="1" w:lastRow="0" w:firstColumn="1" w:lastColumn="0" w:noHBand="0" w:noVBand="1"/>
      </w:tblPr>
      <w:tblGrid>
        <w:gridCol w:w="4521"/>
        <w:gridCol w:w="1401"/>
        <w:gridCol w:w="1563"/>
        <w:gridCol w:w="1643"/>
      </w:tblGrid>
      <w:tr w:rsidR="00E50B37" w14:paraId="088113C8" w14:textId="77777777">
        <w:trPr>
          <w:trHeight w:val="285"/>
        </w:trPr>
        <w:tc>
          <w:tcPr>
            <w:tcW w:w="4520" w:type="dxa"/>
            <w:vMerge w:val="restart"/>
            <w:tcBorders>
              <w:top w:val="nil"/>
              <w:left w:val="nil"/>
              <w:right w:val="single" w:sz="8" w:space="0" w:color="000000"/>
            </w:tcBorders>
            <w:shd w:val="clear" w:color="auto" w:fill="auto"/>
            <w:vAlign w:val="center"/>
          </w:tcPr>
          <w:p w14:paraId="12C3DE4C" w14:textId="77777777" w:rsidR="00E50B37" w:rsidRDefault="00645276">
            <w:pPr>
              <w:pStyle w:val="FDPTabulagalvina"/>
              <w:widowControl w:val="0"/>
              <w:jc w:val="center"/>
            </w:pPr>
            <w:r>
              <w:t>Bilance</w:t>
            </w:r>
          </w:p>
        </w:tc>
        <w:tc>
          <w:tcPr>
            <w:tcW w:w="2964" w:type="dxa"/>
            <w:gridSpan w:val="2"/>
            <w:tcBorders>
              <w:top w:val="nil"/>
              <w:left w:val="single" w:sz="8" w:space="0" w:color="000000"/>
              <w:bottom w:val="nil"/>
              <w:right w:val="single" w:sz="8" w:space="0" w:color="000000"/>
            </w:tcBorders>
            <w:shd w:val="clear" w:color="auto" w:fill="auto"/>
            <w:vAlign w:val="center"/>
          </w:tcPr>
          <w:p w14:paraId="7F33CFE3" w14:textId="77777777" w:rsidR="00E50B37" w:rsidRDefault="00645276">
            <w:pPr>
              <w:pStyle w:val="FDPTabulagalvina"/>
              <w:widowControl w:val="0"/>
              <w:jc w:val="center"/>
            </w:pPr>
            <w:r>
              <w:t>2021</w:t>
            </w:r>
          </w:p>
        </w:tc>
        <w:tc>
          <w:tcPr>
            <w:tcW w:w="1643" w:type="dxa"/>
            <w:tcBorders>
              <w:top w:val="nil"/>
              <w:left w:val="single" w:sz="8" w:space="0" w:color="000000"/>
              <w:bottom w:val="nil"/>
              <w:right w:val="nil"/>
            </w:tcBorders>
            <w:shd w:val="clear" w:color="auto" w:fill="auto"/>
            <w:vAlign w:val="center"/>
          </w:tcPr>
          <w:p w14:paraId="01BB4635" w14:textId="77777777" w:rsidR="00E50B37" w:rsidRDefault="00645276">
            <w:pPr>
              <w:pStyle w:val="FDPTabulagalvina"/>
              <w:widowControl w:val="0"/>
              <w:jc w:val="center"/>
            </w:pPr>
            <w:r>
              <w:t>2020</w:t>
            </w:r>
          </w:p>
        </w:tc>
      </w:tr>
      <w:tr w:rsidR="00E50B37" w14:paraId="2D106534" w14:textId="77777777">
        <w:trPr>
          <w:trHeight w:val="285"/>
        </w:trPr>
        <w:tc>
          <w:tcPr>
            <w:tcW w:w="4520" w:type="dxa"/>
            <w:vMerge/>
          </w:tcPr>
          <w:p w14:paraId="5AE09FCC" w14:textId="77777777" w:rsidR="00E50B37" w:rsidRDefault="00E50B37">
            <w:pPr>
              <w:pStyle w:val="FDPTabulagalvina"/>
              <w:widowControl w:val="0"/>
              <w:rPr>
                <w:rFonts w:eastAsia="Times New Roman"/>
              </w:rPr>
            </w:pPr>
          </w:p>
        </w:tc>
        <w:tc>
          <w:tcPr>
            <w:tcW w:w="1401" w:type="dxa"/>
            <w:tcBorders>
              <w:top w:val="nil"/>
              <w:left w:val="single" w:sz="8" w:space="0" w:color="000000"/>
              <w:bottom w:val="single" w:sz="18" w:space="0" w:color="9D2234"/>
              <w:right w:val="nil"/>
            </w:tcBorders>
            <w:shd w:val="clear" w:color="auto" w:fill="auto"/>
          </w:tcPr>
          <w:p w14:paraId="765F3228" w14:textId="77777777" w:rsidR="00E50B37" w:rsidRDefault="00645276">
            <w:pPr>
              <w:pStyle w:val="FDPTabulagalvina"/>
              <w:widowControl w:val="0"/>
              <w:jc w:val="center"/>
            </w:pPr>
            <w:r>
              <w:rPr>
                <w:rFonts w:cs="Times New Roman"/>
              </w:rPr>
              <w:t>Plāns</w:t>
            </w:r>
          </w:p>
        </w:tc>
        <w:tc>
          <w:tcPr>
            <w:tcW w:w="1563" w:type="dxa"/>
            <w:tcBorders>
              <w:top w:val="nil"/>
              <w:left w:val="nil"/>
              <w:bottom w:val="single" w:sz="18" w:space="0" w:color="9D2234"/>
              <w:right w:val="single" w:sz="8" w:space="0" w:color="000000"/>
            </w:tcBorders>
            <w:shd w:val="clear" w:color="auto" w:fill="auto"/>
            <w:vAlign w:val="center"/>
          </w:tcPr>
          <w:p w14:paraId="3D143060" w14:textId="77777777" w:rsidR="00E50B37" w:rsidRDefault="00645276">
            <w:pPr>
              <w:pStyle w:val="FDPTabulagalvina"/>
              <w:widowControl w:val="0"/>
              <w:jc w:val="center"/>
            </w:pPr>
            <w:r>
              <w:t>Prognoze</w:t>
            </w:r>
          </w:p>
        </w:tc>
        <w:tc>
          <w:tcPr>
            <w:tcW w:w="1643" w:type="dxa"/>
            <w:tcBorders>
              <w:top w:val="nil"/>
              <w:left w:val="single" w:sz="8" w:space="0" w:color="000000"/>
              <w:bottom w:val="single" w:sz="18" w:space="0" w:color="9D2234"/>
              <w:right w:val="nil"/>
            </w:tcBorders>
            <w:shd w:val="clear" w:color="auto" w:fill="auto"/>
            <w:vAlign w:val="center"/>
          </w:tcPr>
          <w:p w14:paraId="4A90B8DA" w14:textId="77777777" w:rsidR="00E50B37" w:rsidRDefault="00645276">
            <w:pPr>
              <w:pStyle w:val="FDPTabulagalvina"/>
              <w:widowControl w:val="0"/>
              <w:jc w:val="center"/>
            </w:pPr>
            <w:r>
              <w:t>Iznākums</w:t>
            </w:r>
          </w:p>
        </w:tc>
      </w:tr>
      <w:tr w:rsidR="00E50B37" w14:paraId="727D2F23" w14:textId="77777777">
        <w:trPr>
          <w:trHeight w:val="285"/>
        </w:trPr>
        <w:tc>
          <w:tcPr>
            <w:tcW w:w="4520" w:type="dxa"/>
            <w:tcBorders>
              <w:top w:val="single" w:sz="18" w:space="0" w:color="9D2234"/>
              <w:left w:val="nil"/>
              <w:bottom w:val="nil"/>
              <w:right w:val="single" w:sz="6" w:space="0" w:color="000000"/>
            </w:tcBorders>
            <w:shd w:val="clear" w:color="auto" w:fill="auto"/>
          </w:tcPr>
          <w:p w14:paraId="690745D8" w14:textId="77777777" w:rsidR="00E50B37" w:rsidRDefault="00645276">
            <w:pPr>
              <w:widowControl w:val="0"/>
              <w:spacing w:after="0" w:line="240" w:lineRule="auto"/>
              <w:rPr>
                <w:rFonts w:eastAsia="Calibri" w:cs="Calibri"/>
                <w:b/>
                <w:color w:val="auto"/>
                <w:sz w:val="18"/>
                <w:szCs w:val="18"/>
              </w:rPr>
            </w:pPr>
            <w:r>
              <w:rPr>
                <w:rFonts w:eastAsia="Calibri" w:cs="Calibri"/>
                <w:b/>
                <w:color w:val="auto"/>
                <w:sz w:val="18"/>
                <w:szCs w:val="18"/>
              </w:rPr>
              <w:t>Vispārējās valdības budžeta bilance</w:t>
            </w:r>
          </w:p>
        </w:tc>
        <w:tc>
          <w:tcPr>
            <w:tcW w:w="1401" w:type="dxa"/>
            <w:tcBorders>
              <w:top w:val="single" w:sz="18" w:space="0" w:color="9D2234"/>
              <w:left w:val="single" w:sz="6" w:space="0" w:color="000000"/>
              <w:bottom w:val="nil"/>
              <w:right w:val="nil"/>
            </w:tcBorders>
            <w:shd w:val="clear" w:color="auto" w:fill="auto"/>
            <w:vAlign w:val="center"/>
          </w:tcPr>
          <w:p w14:paraId="570F5405" w14:textId="77777777" w:rsidR="00E50B37" w:rsidRDefault="00645276">
            <w:pPr>
              <w:widowControl w:val="0"/>
              <w:spacing w:after="0" w:line="240" w:lineRule="auto"/>
              <w:jc w:val="right"/>
              <w:rPr>
                <w:rFonts w:eastAsia="Calibri" w:cs="Calibri"/>
                <w:b/>
                <w:color w:val="auto"/>
                <w:sz w:val="18"/>
                <w:szCs w:val="18"/>
              </w:rPr>
            </w:pPr>
            <w:r>
              <w:rPr>
                <w:rFonts w:eastAsia="Calibri" w:cs="Calibri"/>
                <w:b/>
                <w:color w:val="auto"/>
                <w:sz w:val="18"/>
                <w:szCs w:val="18"/>
              </w:rPr>
              <w:t>-1184,9</w:t>
            </w:r>
          </w:p>
        </w:tc>
        <w:tc>
          <w:tcPr>
            <w:tcW w:w="1563" w:type="dxa"/>
            <w:tcBorders>
              <w:top w:val="single" w:sz="18" w:space="0" w:color="9D2234"/>
              <w:left w:val="nil"/>
              <w:bottom w:val="nil"/>
              <w:right w:val="single" w:sz="6" w:space="0" w:color="000000"/>
            </w:tcBorders>
            <w:shd w:val="clear" w:color="auto" w:fill="auto"/>
            <w:vAlign w:val="center"/>
          </w:tcPr>
          <w:p w14:paraId="02173AE2" w14:textId="77777777" w:rsidR="00E50B37" w:rsidRDefault="00645276">
            <w:pPr>
              <w:widowControl w:val="0"/>
              <w:spacing w:after="0" w:line="240" w:lineRule="auto"/>
              <w:jc w:val="right"/>
              <w:rPr>
                <w:rFonts w:eastAsia="Calibri" w:cs="Calibri"/>
                <w:b/>
                <w:color w:val="auto"/>
                <w:sz w:val="18"/>
                <w:szCs w:val="18"/>
              </w:rPr>
            </w:pPr>
            <w:r>
              <w:rPr>
                <w:rFonts w:eastAsia="Calibri" w:cs="Calibri"/>
                <w:b/>
                <w:color w:val="auto"/>
                <w:sz w:val="18"/>
                <w:szCs w:val="18"/>
              </w:rPr>
              <w:t>-2 903,3</w:t>
            </w:r>
          </w:p>
        </w:tc>
        <w:tc>
          <w:tcPr>
            <w:tcW w:w="1643" w:type="dxa"/>
            <w:tcBorders>
              <w:top w:val="single" w:sz="18" w:space="0" w:color="9D2234"/>
              <w:left w:val="single" w:sz="6" w:space="0" w:color="000000"/>
              <w:bottom w:val="nil"/>
              <w:right w:val="nil"/>
            </w:tcBorders>
            <w:shd w:val="clear" w:color="auto" w:fill="auto"/>
            <w:vAlign w:val="center"/>
          </w:tcPr>
          <w:p w14:paraId="503A9544" w14:textId="77777777" w:rsidR="00E50B37" w:rsidRDefault="00645276">
            <w:pPr>
              <w:widowControl w:val="0"/>
              <w:spacing w:after="0" w:line="240" w:lineRule="auto"/>
              <w:jc w:val="right"/>
              <w:rPr>
                <w:rFonts w:eastAsia="Calibri" w:cs="Calibri"/>
                <w:b/>
                <w:color w:val="auto"/>
                <w:sz w:val="18"/>
                <w:szCs w:val="18"/>
              </w:rPr>
            </w:pPr>
            <w:r>
              <w:rPr>
                <w:rFonts w:eastAsia="Calibri" w:cs="Calibri"/>
                <w:b/>
                <w:color w:val="auto"/>
                <w:sz w:val="18"/>
                <w:szCs w:val="18"/>
              </w:rPr>
              <w:t>-1326,6</w:t>
            </w:r>
          </w:p>
        </w:tc>
      </w:tr>
      <w:tr w:rsidR="00E50B37" w14:paraId="340C7AAF" w14:textId="77777777">
        <w:trPr>
          <w:trHeight w:val="285"/>
        </w:trPr>
        <w:tc>
          <w:tcPr>
            <w:tcW w:w="4520" w:type="dxa"/>
            <w:tcBorders>
              <w:top w:val="nil"/>
              <w:left w:val="nil"/>
              <w:bottom w:val="nil"/>
              <w:right w:val="single" w:sz="6" w:space="0" w:color="000000"/>
            </w:tcBorders>
            <w:shd w:val="clear" w:color="auto" w:fill="auto"/>
          </w:tcPr>
          <w:p w14:paraId="478655F7" w14:textId="77777777" w:rsidR="00E50B37" w:rsidRDefault="00645276">
            <w:pPr>
              <w:widowControl w:val="0"/>
              <w:spacing w:after="0" w:line="240" w:lineRule="auto"/>
              <w:ind w:left="179"/>
              <w:rPr>
                <w:rFonts w:eastAsia="Calibri" w:cs="Calibri"/>
                <w:color w:val="auto"/>
                <w:sz w:val="18"/>
                <w:szCs w:val="18"/>
              </w:rPr>
            </w:pPr>
            <w:r>
              <w:rPr>
                <w:rFonts w:eastAsia="Calibri" w:cs="Times New Roman"/>
                <w:color w:val="auto"/>
                <w:sz w:val="18"/>
                <w:szCs w:val="18"/>
              </w:rPr>
              <w:t>EKS2010</w:t>
            </w:r>
            <w:r>
              <w:rPr>
                <w:rStyle w:val="FootnoteAnchor"/>
                <w:rFonts w:eastAsia="Calibri" w:cs="Times New Roman"/>
                <w:color w:val="auto"/>
                <w:sz w:val="18"/>
                <w:szCs w:val="18"/>
              </w:rPr>
              <w:footnoteReference w:id="9"/>
            </w:r>
            <w:r>
              <w:rPr>
                <w:rFonts w:eastAsia="Calibri" w:cs="Times New Roman"/>
                <w:color w:val="auto"/>
                <w:sz w:val="18"/>
                <w:szCs w:val="18"/>
              </w:rPr>
              <w:t xml:space="preserve"> korekcijas</w:t>
            </w:r>
          </w:p>
        </w:tc>
        <w:tc>
          <w:tcPr>
            <w:tcW w:w="1401" w:type="dxa"/>
            <w:tcBorders>
              <w:top w:val="nil"/>
              <w:left w:val="single" w:sz="6" w:space="0" w:color="000000"/>
              <w:bottom w:val="nil"/>
              <w:right w:val="nil"/>
            </w:tcBorders>
            <w:shd w:val="clear" w:color="auto" w:fill="auto"/>
            <w:vAlign w:val="center"/>
          </w:tcPr>
          <w:p w14:paraId="079CAF23"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81,.1</w:t>
            </w:r>
          </w:p>
        </w:tc>
        <w:tc>
          <w:tcPr>
            <w:tcW w:w="1563" w:type="dxa"/>
            <w:tcBorders>
              <w:top w:val="nil"/>
              <w:left w:val="nil"/>
              <w:bottom w:val="nil"/>
              <w:right w:val="single" w:sz="6" w:space="0" w:color="000000"/>
            </w:tcBorders>
            <w:shd w:val="clear" w:color="auto" w:fill="auto"/>
            <w:vAlign w:val="center"/>
          </w:tcPr>
          <w:p w14:paraId="20F7935B"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42,9</w:t>
            </w:r>
          </w:p>
        </w:tc>
        <w:tc>
          <w:tcPr>
            <w:tcW w:w="1643" w:type="dxa"/>
            <w:tcBorders>
              <w:top w:val="nil"/>
              <w:left w:val="single" w:sz="6" w:space="0" w:color="000000"/>
              <w:bottom w:val="nil"/>
              <w:right w:val="nil"/>
            </w:tcBorders>
            <w:shd w:val="clear" w:color="auto" w:fill="auto"/>
            <w:vAlign w:val="center"/>
          </w:tcPr>
          <w:p w14:paraId="54DCC207"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-177,6</w:t>
            </w:r>
          </w:p>
        </w:tc>
      </w:tr>
      <w:tr w:rsidR="00E50B37" w14:paraId="4C6AE3E4" w14:textId="77777777">
        <w:trPr>
          <w:trHeight w:val="285"/>
        </w:trPr>
        <w:tc>
          <w:tcPr>
            <w:tcW w:w="4520" w:type="dxa"/>
            <w:tcBorders>
              <w:top w:val="nil"/>
              <w:left w:val="nil"/>
              <w:bottom w:val="nil"/>
              <w:right w:val="single" w:sz="6" w:space="0" w:color="000000"/>
            </w:tcBorders>
            <w:shd w:val="clear" w:color="auto" w:fill="auto"/>
          </w:tcPr>
          <w:p w14:paraId="5DCB53E1" w14:textId="77777777" w:rsidR="00E50B37" w:rsidRDefault="00645276">
            <w:pPr>
              <w:widowControl w:val="0"/>
              <w:spacing w:after="0" w:line="240" w:lineRule="auto"/>
              <w:rPr>
                <w:rFonts w:eastAsia="Calibri" w:cs="Calibri"/>
                <w:b/>
                <w:color w:val="auto"/>
                <w:sz w:val="18"/>
                <w:szCs w:val="18"/>
              </w:rPr>
            </w:pPr>
            <w:r>
              <w:rPr>
                <w:rFonts w:eastAsia="Calibri" w:cs="Calibri"/>
                <w:b/>
                <w:color w:val="auto"/>
                <w:sz w:val="18"/>
                <w:szCs w:val="18"/>
              </w:rPr>
              <w:t>Valsts konsolidētais kopbudžets</w:t>
            </w:r>
          </w:p>
        </w:tc>
        <w:tc>
          <w:tcPr>
            <w:tcW w:w="1401" w:type="dxa"/>
            <w:tcBorders>
              <w:top w:val="nil"/>
              <w:left w:val="single" w:sz="6" w:space="0" w:color="000000"/>
              <w:bottom w:val="nil"/>
              <w:right w:val="nil"/>
            </w:tcBorders>
            <w:shd w:val="clear" w:color="auto" w:fill="auto"/>
            <w:vAlign w:val="center"/>
          </w:tcPr>
          <w:p w14:paraId="5C5DC371" w14:textId="77777777" w:rsidR="00E50B37" w:rsidRDefault="00645276">
            <w:pPr>
              <w:widowControl w:val="0"/>
              <w:spacing w:after="0" w:line="240" w:lineRule="auto"/>
              <w:jc w:val="right"/>
              <w:rPr>
                <w:rFonts w:eastAsia="Calibri" w:cs="Calibri"/>
                <w:b/>
                <w:color w:val="auto"/>
                <w:sz w:val="18"/>
                <w:szCs w:val="18"/>
              </w:rPr>
            </w:pPr>
            <w:r>
              <w:rPr>
                <w:rFonts w:eastAsia="Calibri" w:cs="Calibri"/>
                <w:b/>
                <w:color w:val="auto"/>
                <w:sz w:val="18"/>
                <w:szCs w:val="18"/>
              </w:rPr>
              <w:t>-1266,0</w:t>
            </w:r>
          </w:p>
        </w:tc>
        <w:tc>
          <w:tcPr>
            <w:tcW w:w="1563" w:type="dxa"/>
            <w:tcBorders>
              <w:top w:val="nil"/>
              <w:left w:val="nil"/>
              <w:bottom w:val="nil"/>
              <w:right w:val="single" w:sz="6" w:space="0" w:color="000000"/>
            </w:tcBorders>
            <w:shd w:val="clear" w:color="auto" w:fill="auto"/>
            <w:vAlign w:val="center"/>
          </w:tcPr>
          <w:p w14:paraId="141FA4B0" w14:textId="77777777" w:rsidR="00E50B37" w:rsidRDefault="00645276">
            <w:pPr>
              <w:widowControl w:val="0"/>
              <w:spacing w:after="0" w:line="240" w:lineRule="auto"/>
              <w:jc w:val="right"/>
              <w:rPr>
                <w:rFonts w:eastAsia="Calibri" w:cs="Calibri"/>
                <w:b/>
                <w:color w:val="auto"/>
                <w:sz w:val="18"/>
                <w:szCs w:val="18"/>
              </w:rPr>
            </w:pPr>
            <w:r>
              <w:rPr>
                <w:rFonts w:eastAsia="Calibri" w:cs="Calibri"/>
                <w:b/>
                <w:color w:val="auto"/>
                <w:sz w:val="18"/>
                <w:szCs w:val="18"/>
              </w:rPr>
              <w:t>- 2 946,3</w:t>
            </w:r>
          </w:p>
        </w:tc>
        <w:tc>
          <w:tcPr>
            <w:tcW w:w="1643" w:type="dxa"/>
            <w:tcBorders>
              <w:top w:val="nil"/>
              <w:left w:val="single" w:sz="6" w:space="0" w:color="000000"/>
              <w:bottom w:val="nil"/>
              <w:right w:val="nil"/>
            </w:tcBorders>
            <w:shd w:val="clear" w:color="auto" w:fill="auto"/>
            <w:vAlign w:val="center"/>
          </w:tcPr>
          <w:p w14:paraId="1CFDB73A" w14:textId="77777777" w:rsidR="00E50B37" w:rsidRDefault="00645276">
            <w:pPr>
              <w:widowControl w:val="0"/>
              <w:spacing w:after="0" w:line="240" w:lineRule="auto"/>
              <w:jc w:val="right"/>
              <w:rPr>
                <w:rFonts w:eastAsia="Calibri" w:cs="Calibri"/>
                <w:b/>
                <w:color w:val="auto"/>
                <w:sz w:val="18"/>
                <w:szCs w:val="18"/>
              </w:rPr>
            </w:pPr>
            <w:r>
              <w:rPr>
                <w:rFonts w:eastAsia="Calibri" w:cs="Calibri"/>
                <w:b/>
                <w:color w:val="auto"/>
                <w:sz w:val="18"/>
                <w:szCs w:val="18"/>
              </w:rPr>
              <w:t>-1148,9</w:t>
            </w:r>
          </w:p>
        </w:tc>
      </w:tr>
      <w:tr w:rsidR="00E50B37" w14:paraId="7CCAE22F" w14:textId="77777777">
        <w:trPr>
          <w:trHeight w:val="285"/>
        </w:trPr>
        <w:tc>
          <w:tcPr>
            <w:tcW w:w="4520" w:type="dxa"/>
            <w:tcBorders>
              <w:top w:val="nil"/>
              <w:left w:val="nil"/>
              <w:bottom w:val="nil"/>
              <w:right w:val="single" w:sz="6" w:space="0" w:color="000000"/>
            </w:tcBorders>
            <w:shd w:val="clear" w:color="auto" w:fill="auto"/>
          </w:tcPr>
          <w:p w14:paraId="3BB58808" w14:textId="77777777" w:rsidR="00E50B37" w:rsidRDefault="00645276">
            <w:pPr>
              <w:widowControl w:val="0"/>
              <w:spacing w:after="0" w:line="240" w:lineRule="auto"/>
              <w:rPr>
                <w:rFonts w:eastAsia="Calibri" w:cs="Calibri"/>
                <w:color w:val="auto"/>
                <w:sz w:val="18"/>
                <w:szCs w:val="18"/>
              </w:rPr>
            </w:pPr>
            <w:r>
              <w:rPr>
                <w:rFonts w:eastAsia="Calibri" w:cs="Calibri"/>
                <w:color w:val="auto"/>
                <w:sz w:val="18"/>
                <w:szCs w:val="18"/>
              </w:rPr>
              <w:t xml:space="preserve">        Valsts pamatbudžets</w:t>
            </w:r>
          </w:p>
        </w:tc>
        <w:tc>
          <w:tcPr>
            <w:tcW w:w="1401" w:type="dxa"/>
            <w:tcBorders>
              <w:top w:val="nil"/>
              <w:left w:val="single" w:sz="6" w:space="0" w:color="000000"/>
              <w:bottom w:val="nil"/>
              <w:right w:val="nil"/>
            </w:tcBorders>
            <w:shd w:val="clear" w:color="auto" w:fill="auto"/>
            <w:vAlign w:val="center"/>
          </w:tcPr>
          <w:p w14:paraId="3E306B74"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-1158,0</w:t>
            </w:r>
          </w:p>
        </w:tc>
        <w:tc>
          <w:tcPr>
            <w:tcW w:w="1563" w:type="dxa"/>
            <w:tcBorders>
              <w:top w:val="nil"/>
              <w:left w:val="nil"/>
              <w:bottom w:val="nil"/>
              <w:right w:val="single" w:sz="6" w:space="0" w:color="000000"/>
            </w:tcBorders>
            <w:shd w:val="clear" w:color="auto" w:fill="auto"/>
            <w:vAlign w:val="center"/>
          </w:tcPr>
          <w:p w14:paraId="62972518"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-2728,5</w:t>
            </w:r>
          </w:p>
        </w:tc>
        <w:tc>
          <w:tcPr>
            <w:tcW w:w="1643" w:type="dxa"/>
            <w:tcBorders>
              <w:top w:val="nil"/>
              <w:left w:val="single" w:sz="6" w:space="0" w:color="000000"/>
              <w:bottom w:val="nil"/>
              <w:right w:val="nil"/>
            </w:tcBorders>
            <w:shd w:val="clear" w:color="auto" w:fill="auto"/>
            <w:vAlign w:val="center"/>
          </w:tcPr>
          <w:p w14:paraId="5B76EF65"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-1242,0</w:t>
            </w:r>
          </w:p>
        </w:tc>
      </w:tr>
      <w:tr w:rsidR="00E50B37" w14:paraId="5AB959D1" w14:textId="77777777">
        <w:trPr>
          <w:trHeight w:val="285"/>
        </w:trPr>
        <w:tc>
          <w:tcPr>
            <w:tcW w:w="4520" w:type="dxa"/>
            <w:tcBorders>
              <w:top w:val="nil"/>
              <w:left w:val="nil"/>
              <w:bottom w:val="nil"/>
              <w:right w:val="single" w:sz="6" w:space="0" w:color="000000"/>
            </w:tcBorders>
            <w:shd w:val="clear" w:color="auto" w:fill="auto"/>
          </w:tcPr>
          <w:p w14:paraId="0E5425E1" w14:textId="77777777" w:rsidR="00E50B37" w:rsidRDefault="00645276">
            <w:pPr>
              <w:widowControl w:val="0"/>
              <w:spacing w:after="0" w:line="240" w:lineRule="auto"/>
              <w:rPr>
                <w:rFonts w:eastAsia="Calibri" w:cs="Calibri"/>
                <w:color w:val="auto"/>
                <w:sz w:val="18"/>
                <w:szCs w:val="18"/>
              </w:rPr>
            </w:pPr>
            <w:r>
              <w:rPr>
                <w:rFonts w:eastAsia="Calibri" w:cs="Calibri"/>
                <w:color w:val="auto"/>
                <w:sz w:val="18"/>
                <w:szCs w:val="18"/>
              </w:rPr>
              <w:t xml:space="preserve">        Valsts speciālais budžets</w:t>
            </w:r>
          </w:p>
        </w:tc>
        <w:tc>
          <w:tcPr>
            <w:tcW w:w="1401" w:type="dxa"/>
            <w:tcBorders>
              <w:top w:val="nil"/>
              <w:left w:val="single" w:sz="6" w:space="0" w:color="000000"/>
              <w:bottom w:val="nil"/>
              <w:right w:val="nil"/>
            </w:tcBorders>
            <w:shd w:val="clear" w:color="auto" w:fill="auto"/>
            <w:vAlign w:val="center"/>
          </w:tcPr>
          <w:p w14:paraId="4D3DE581"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-21,6</w:t>
            </w:r>
          </w:p>
        </w:tc>
        <w:tc>
          <w:tcPr>
            <w:tcW w:w="1563" w:type="dxa"/>
            <w:tcBorders>
              <w:top w:val="nil"/>
              <w:left w:val="nil"/>
              <w:bottom w:val="nil"/>
              <w:right w:val="single" w:sz="6" w:space="0" w:color="000000"/>
            </w:tcBorders>
            <w:shd w:val="clear" w:color="auto" w:fill="auto"/>
            <w:vAlign w:val="center"/>
          </w:tcPr>
          <w:p w14:paraId="5A9A6B9D"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-113,8</w:t>
            </w:r>
          </w:p>
        </w:tc>
        <w:tc>
          <w:tcPr>
            <w:tcW w:w="1643" w:type="dxa"/>
            <w:tcBorders>
              <w:top w:val="nil"/>
              <w:left w:val="single" w:sz="6" w:space="0" w:color="000000"/>
              <w:bottom w:val="nil"/>
              <w:right w:val="nil"/>
            </w:tcBorders>
            <w:shd w:val="clear" w:color="auto" w:fill="auto"/>
            <w:vAlign w:val="center"/>
          </w:tcPr>
          <w:p w14:paraId="711F597F"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114,9</w:t>
            </w:r>
          </w:p>
        </w:tc>
      </w:tr>
      <w:tr w:rsidR="00E50B37" w14:paraId="38DF10F3" w14:textId="77777777">
        <w:trPr>
          <w:trHeight w:val="285"/>
        </w:trPr>
        <w:tc>
          <w:tcPr>
            <w:tcW w:w="4520" w:type="dxa"/>
            <w:tcBorders>
              <w:top w:val="nil"/>
              <w:left w:val="nil"/>
              <w:bottom w:val="nil"/>
              <w:right w:val="single" w:sz="6" w:space="0" w:color="000000"/>
            </w:tcBorders>
            <w:shd w:val="clear" w:color="auto" w:fill="auto"/>
          </w:tcPr>
          <w:p w14:paraId="13B78A5C" w14:textId="77777777" w:rsidR="00E50B37" w:rsidRDefault="00645276">
            <w:pPr>
              <w:widowControl w:val="0"/>
              <w:spacing w:after="0" w:line="240" w:lineRule="auto"/>
              <w:rPr>
                <w:rFonts w:eastAsia="Calibri" w:cs="Calibri"/>
                <w:color w:val="auto"/>
                <w:sz w:val="18"/>
                <w:szCs w:val="18"/>
              </w:rPr>
            </w:pPr>
            <w:r>
              <w:rPr>
                <w:rFonts w:eastAsia="Calibri" w:cs="Calibri"/>
                <w:color w:val="auto"/>
                <w:sz w:val="18"/>
                <w:szCs w:val="18"/>
              </w:rPr>
              <w:t xml:space="preserve">        Pašvaldību budžeti</w:t>
            </w:r>
          </w:p>
        </w:tc>
        <w:tc>
          <w:tcPr>
            <w:tcW w:w="1401" w:type="dxa"/>
            <w:tcBorders>
              <w:top w:val="nil"/>
              <w:left w:val="single" w:sz="6" w:space="0" w:color="000000"/>
              <w:bottom w:val="nil"/>
              <w:right w:val="nil"/>
            </w:tcBorders>
            <w:shd w:val="clear" w:color="auto" w:fill="auto"/>
            <w:vAlign w:val="center"/>
          </w:tcPr>
          <w:p w14:paraId="0343A053"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-74,8</w:t>
            </w:r>
          </w:p>
        </w:tc>
        <w:tc>
          <w:tcPr>
            <w:tcW w:w="1563" w:type="dxa"/>
            <w:tcBorders>
              <w:top w:val="nil"/>
              <w:left w:val="nil"/>
              <w:bottom w:val="nil"/>
              <w:right w:val="single" w:sz="6" w:space="0" w:color="000000"/>
            </w:tcBorders>
            <w:shd w:val="clear" w:color="auto" w:fill="auto"/>
            <w:vAlign w:val="center"/>
          </w:tcPr>
          <w:p w14:paraId="546A4CC5"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-115,8</w:t>
            </w:r>
          </w:p>
        </w:tc>
        <w:tc>
          <w:tcPr>
            <w:tcW w:w="1643" w:type="dxa"/>
            <w:tcBorders>
              <w:top w:val="nil"/>
              <w:left w:val="single" w:sz="6" w:space="0" w:color="000000"/>
              <w:bottom w:val="nil"/>
              <w:right w:val="nil"/>
            </w:tcBorders>
            <w:shd w:val="clear" w:color="auto" w:fill="auto"/>
            <w:vAlign w:val="center"/>
          </w:tcPr>
          <w:p w14:paraId="0D0FF963"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-39,4</w:t>
            </w:r>
          </w:p>
        </w:tc>
      </w:tr>
      <w:tr w:rsidR="00E50B37" w14:paraId="43210D82" w14:textId="77777777">
        <w:trPr>
          <w:trHeight w:val="285"/>
        </w:trPr>
        <w:tc>
          <w:tcPr>
            <w:tcW w:w="4520" w:type="dxa"/>
            <w:tcBorders>
              <w:top w:val="nil"/>
              <w:left w:val="nil"/>
              <w:bottom w:val="nil"/>
              <w:right w:val="single" w:sz="6" w:space="0" w:color="000000"/>
            </w:tcBorders>
            <w:shd w:val="clear" w:color="auto" w:fill="auto"/>
          </w:tcPr>
          <w:p w14:paraId="609A06C7" w14:textId="77777777" w:rsidR="00E50B37" w:rsidRDefault="00645276">
            <w:pPr>
              <w:widowControl w:val="0"/>
              <w:spacing w:after="0" w:line="240" w:lineRule="auto"/>
              <w:rPr>
                <w:rFonts w:eastAsia="Calibri" w:cs="Calibri"/>
                <w:color w:val="auto"/>
                <w:sz w:val="18"/>
                <w:szCs w:val="18"/>
              </w:rPr>
            </w:pPr>
            <w:r>
              <w:rPr>
                <w:rFonts w:eastAsia="Calibri" w:cs="Calibri"/>
                <w:color w:val="auto"/>
                <w:sz w:val="18"/>
                <w:szCs w:val="18"/>
              </w:rPr>
              <w:t xml:space="preserve">        Atvasināto publisko personu b.</w:t>
            </w:r>
          </w:p>
        </w:tc>
        <w:tc>
          <w:tcPr>
            <w:tcW w:w="1401" w:type="dxa"/>
            <w:tcBorders>
              <w:top w:val="nil"/>
              <w:left w:val="single" w:sz="6" w:space="0" w:color="000000"/>
              <w:bottom w:val="nil"/>
              <w:right w:val="nil"/>
            </w:tcBorders>
            <w:shd w:val="clear" w:color="auto" w:fill="auto"/>
            <w:vAlign w:val="center"/>
          </w:tcPr>
          <w:p w14:paraId="1002EB98"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-11,7</w:t>
            </w:r>
          </w:p>
        </w:tc>
        <w:tc>
          <w:tcPr>
            <w:tcW w:w="1563" w:type="dxa"/>
            <w:tcBorders>
              <w:top w:val="nil"/>
              <w:left w:val="nil"/>
              <w:bottom w:val="nil"/>
              <w:right w:val="single" w:sz="6" w:space="0" w:color="000000"/>
            </w:tcBorders>
            <w:shd w:val="clear" w:color="auto" w:fill="auto"/>
            <w:vAlign w:val="center"/>
          </w:tcPr>
          <w:p w14:paraId="5B14DDE4"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11,8</w:t>
            </w:r>
          </w:p>
        </w:tc>
        <w:tc>
          <w:tcPr>
            <w:tcW w:w="1643" w:type="dxa"/>
            <w:tcBorders>
              <w:top w:val="nil"/>
              <w:left w:val="single" w:sz="6" w:space="0" w:color="000000"/>
              <w:bottom w:val="nil"/>
              <w:right w:val="nil"/>
            </w:tcBorders>
            <w:shd w:val="clear" w:color="auto" w:fill="auto"/>
            <w:vAlign w:val="center"/>
          </w:tcPr>
          <w:p w14:paraId="4A914C18"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17,3</w:t>
            </w:r>
          </w:p>
        </w:tc>
      </w:tr>
    </w:tbl>
    <w:p w14:paraId="6610176E" w14:textId="77777777" w:rsidR="00E50B37" w:rsidRDefault="00645276">
      <w:pPr>
        <w:pStyle w:val="FDPTabulasumma"/>
        <w:rPr>
          <w:rFonts w:eastAsia="Times New Roman" w:cs="Times New Roman"/>
        </w:rPr>
      </w:pPr>
      <w:r>
        <w:t xml:space="preserve">      Avots: Finanšu Ministrija</w:t>
      </w:r>
      <w:bookmarkStart w:id="7" w:name="_Hlk84600338"/>
      <w:bookmarkEnd w:id="7"/>
    </w:p>
    <w:p w14:paraId="125FC3AF" w14:textId="77777777" w:rsidR="00E50B37" w:rsidRDefault="00E50B37">
      <w:pPr>
        <w:spacing w:after="0" w:line="240" w:lineRule="auto"/>
        <w:ind w:left="360"/>
        <w:contextualSpacing/>
        <w:rPr>
          <w:rFonts w:ascii="Calibri" w:eastAsia="Times New Roman" w:hAnsi="Calibri" w:cs="Times New Roman"/>
          <w:b/>
          <w:bCs/>
          <w:color w:val="auto"/>
          <w:sz w:val="22"/>
          <w:szCs w:val="22"/>
        </w:rPr>
      </w:pPr>
    </w:p>
    <w:p w14:paraId="7EE2D98D" w14:textId="77777777" w:rsidR="00E50B37" w:rsidRDefault="00645276">
      <w:pPr>
        <w:pStyle w:val="FDPList1"/>
        <w:rPr>
          <w:rFonts w:ascii="Times New Roman" w:hAnsi="Times New Roman"/>
          <w:sz w:val="24"/>
        </w:rPr>
      </w:pPr>
      <w:r>
        <w:rPr>
          <w:b/>
          <w:bCs/>
        </w:rPr>
        <w:t xml:space="preserve">Valdība 2021. gada sākumā apstiprināja papildus atbalsta pasākumus, kas bija mērķēti uz: (i) ekonomikas stimulēšanu, lai samazinātu krīzes izraisītā IKP </w:t>
      </w:r>
      <w:r>
        <w:rPr>
          <w:b/>
          <w:bCs/>
        </w:rPr>
        <w:lastRenderedPageBreak/>
        <w:t>krišanās apmēru un saglabātu potenciālo IKP kapacitāti, (ii) krīzes visvairāk skarto iedzīvotāju sociālo aizsardzību, (iii) veselības aizsardzības sistēmas kapacitātes stiprināšanu, (iv) likviditātes nodrošināšanu uzņēmumiem un finanšu sektoram</w:t>
      </w:r>
      <w:r>
        <w:t xml:space="preserve">. Lai arī atbalsta programma sasniedza minētos mērķus, Fiskālās disciplīnas padome atzīmē, ka galvenie programmas uzlabojumi varētu būt saistīti ar: (i) lēmumu pieņemšanas un realizēšanas ātrumu, (ii) pasākumu precīzāku mērķēšanu, (iii) pasākumu finansēšanas apjomu. Dziļāka analīze ir pieejama ziņojuma sadaļā 1.4. </w:t>
      </w:r>
      <w:r>
        <w:rPr>
          <w:rFonts w:eastAsia="Verdana" w:cs="Verdana"/>
        </w:rPr>
        <w:t>Šobrīd tiek novērtēts, ka atbalsta pasākumu fiskālā ietekme uz 2021.gada VVBB būs 2.2 miljardu apmērā, jeb 6,9% procenti no IKP. I</w:t>
      </w:r>
      <w:r>
        <w:t>evērojama atbalsta instrumentu daļa pārtrauca savu darbību 2021. gada jūnijā.</w:t>
      </w:r>
    </w:p>
    <w:p w14:paraId="5FC0F347" w14:textId="77777777" w:rsidR="00E50B37" w:rsidRDefault="00645276">
      <w:pPr>
        <w:pStyle w:val="FDPList1"/>
        <w:rPr>
          <w:rFonts w:ascii="Times New Roman" w:hAnsi="Times New Roman" w:cs="Times New Roman"/>
          <w:b/>
          <w:bCs/>
          <w:sz w:val="24"/>
        </w:rPr>
      </w:pPr>
      <w:r>
        <w:rPr>
          <w:rFonts w:cs="Times New Roman"/>
          <w:b/>
          <w:bCs/>
        </w:rPr>
        <w:t>Konsolidētā kopbudžeta izdevumi š</w:t>
      </w:r>
      <w:r>
        <w:rPr>
          <w:b/>
          <w:bCs/>
        </w:rPr>
        <w:t xml:space="preserve">.g. 8.mēnešos ir pieauguši par 19,1% attiecībā pret attiecīgo periodu 2020. gadā. </w:t>
      </w:r>
      <w:r>
        <w:t>Vislielākais izdevumu pieaugums ir sociālajiem pabalstiem (45,8%). Ievērojami pieauga arī izdevumi subsīdijām un dotācijām (8,4%), kā arī atlīdzības izdevumi (8,7%). Izdevumu pieaugums atspoguļo   valdības intensīvo atbalsta programmu 2021. gadā. Ir iespējamas korekcijas izdevumu apjomos, ņemot vērā vairāku atbalsta pasākumu ietekmi uz VVBB gada pēdējos mēnešos; šobrīd joprojām pilnībā nav izmaksāts viss plānotais Covid-19 atbalsts.  Septembrī sākās jauns Covid-19 vilnis, tāpēc ir iespēja, ka valdība būs spiesta pieņemt jaunus pasākumus, kam ir potenciāls vēl vairāk palielināt izdevumus šī gada budžetā.</w:t>
      </w:r>
    </w:p>
    <w:p w14:paraId="0841CAC8" w14:textId="77777777" w:rsidR="00E50B37" w:rsidRDefault="00645276">
      <w:pPr>
        <w:pStyle w:val="FDPList1"/>
        <w:rPr>
          <w:rFonts w:ascii="Times New Roman" w:hAnsi="Times New Roman" w:cs="Times New Roman"/>
          <w:b/>
          <w:bCs/>
          <w:sz w:val="24"/>
        </w:rPr>
      </w:pPr>
      <w:r>
        <w:rPr>
          <w:rFonts w:cs="Times New Roman"/>
          <w:b/>
          <w:bCs/>
        </w:rPr>
        <w:t>Konsolidētā kopbudžeta ieņēmumi š.</w:t>
      </w:r>
      <w:r>
        <w:rPr>
          <w:b/>
          <w:bCs/>
        </w:rPr>
        <w:t>g. 8. mēnešos</w:t>
      </w:r>
      <w:r>
        <w:rPr>
          <w:rFonts w:ascii="Times New Roman" w:hAnsi="Times New Roman" w:cs="Times New Roman"/>
          <w:b/>
          <w:bCs/>
          <w:sz w:val="24"/>
        </w:rPr>
        <w:t xml:space="preserve"> </w:t>
      </w:r>
      <w:r>
        <w:rPr>
          <w:b/>
          <w:bCs/>
        </w:rPr>
        <w:t>ir palielinājušies par 8,3% attiecībā pret attiecīgo periodu 2020.gadā.</w:t>
      </w:r>
      <w:r>
        <w:t xml:space="preserve"> Ņemot vērā Covid-19 krīzes ietekmi uz ekonomiku un ieņēmumiem 2021. gadā, kā arī valdības atbalsta mehānismus ekonomikas stimulēšanai, uzlabojums ieņēmumos ir vērtējams pozitīvi. 2021. gada 8. mēnešos nodokļu ieņēmumi bija pieauguši pret iepriekšējā gada 8 mēnešiem par 12,2%. Vislielākais pieaugums procentuālā izteiksmē bija nenodokļu ieņēmumiem, kas pieauga par 12,8%. Š.g. 8 mēnešos par 12,9% samazinājās ārvalstu finanšu palīdzība, salīdzinot pret 2020. gada attiecīgo periodu. Ja Covid-19 jaunais vilnis atkal kritiski nepasliktinās ekonomisko situāciju, ieņēmumu plāns 2021. gada beigās tiks sasniegts. </w:t>
      </w:r>
    </w:p>
    <w:p w14:paraId="5F0D01EB" w14:textId="77777777" w:rsidR="00E50B37" w:rsidRDefault="00645276">
      <w:pPr>
        <w:pStyle w:val="FDPList1"/>
      </w:pPr>
      <w:r>
        <w:rPr>
          <w:b/>
          <w:bCs/>
        </w:rPr>
        <w:t xml:space="preserve">Valsts konsolidētā kopbudžeta bilance pēc 2021.gada astoņiem mēnešiem uzrādīja 864,7 miljonu eiro deficītu, kas ir -2,8% no IKP. </w:t>
      </w:r>
      <w:r>
        <w:t>2020.gadā pēc astoņiem mēnešiem  deficīts bija 0,1% no IKP (skatīt attēlu 1 zemāk). Pēc FM aprēķiniem 2021. gadā konsolidētā kopbudžeta bilance varētu sasniegt 2,9 miljardus eiro deficītu, kas ir 9,3% no IKP. Protams, šis rādītājs ir atkarīgs no vairākiem faktoriem, kurus šobrīd ir grūti prognozēt. Pēc FM novērtējuma izlaižu starpība 2021. gadā ir –2,6% no potenciālā IKP un tiek prognozēts, ka strukturālās bilances deficīts būs 4,7% no IKP 2022. gadā.</w:t>
      </w:r>
    </w:p>
    <w:p w14:paraId="459CD4A7" w14:textId="77777777" w:rsidR="00EC6C8F" w:rsidRPr="00EC6C8F" w:rsidRDefault="00EC6C8F">
      <w:pPr>
        <w:pStyle w:val="FDPNosaukumsGrafikam"/>
        <w:ind w:left="-142" w:firstLine="0"/>
        <w:rPr>
          <w:b w:val="0"/>
          <w:bCs w:val="0"/>
          <w:color w:val="000000" w:themeColor="text1"/>
        </w:rPr>
      </w:pPr>
    </w:p>
    <w:p w14:paraId="30F4C17D" w14:textId="77777777" w:rsidR="00EC6C8F" w:rsidRPr="00EC6C8F" w:rsidRDefault="00EC6C8F">
      <w:pPr>
        <w:pStyle w:val="FDPNosaukumsGrafikam"/>
        <w:ind w:left="-142" w:firstLine="0"/>
        <w:rPr>
          <w:b w:val="0"/>
          <w:bCs w:val="0"/>
          <w:color w:val="000000" w:themeColor="text1"/>
        </w:rPr>
      </w:pPr>
    </w:p>
    <w:p w14:paraId="47AC4F0B" w14:textId="77777777" w:rsidR="00EC6C8F" w:rsidRPr="00EC6C8F" w:rsidRDefault="00EC6C8F">
      <w:pPr>
        <w:pStyle w:val="FDPNosaukumsGrafikam"/>
        <w:ind w:left="-142" w:firstLine="0"/>
        <w:rPr>
          <w:b w:val="0"/>
          <w:bCs w:val="0"/>
          <w:color w:val="000000" w:themeColor="text1"/>
        </w:rPr>
      </w:pPr>
    </w:p>
    <w:p w14:paraId="028F1CF0" w14:textId="77777777" w:rsidR="00EC6C8F" w:rsidRPr="00EC6C8F" w:rsidRDefault="00EC6C8F">
      <w:pPr>
        <w:pStyle w:val="FDPNosaukumsGrafikam"/>
        <w:ind w:left="-142" w:firstLine="0"/>
        <w:rPr>
          <w:b w:val="0"/>
          <w:bCs w:val="0"/>
          <w:color w:val="000000" w:themeColor="text1"/>
        </w:rPr>
      </w:pPr>
    </w:p>
    <w:p w14:paraId="4266D173" w14:textId="77777777" w:rsidR="00EC6C8F" w:rsidRPr="00EC6C8F" w:rsidRDefault="00EC6C8F">
      <w:pPr>
        <w:pStyle w:val="FDPNosaukumsGrafikam"/>
        <w:ind w:left="-142" w:firstLine="0"/>
        <w:rPr>
          <w:b w:val="0"/>
          <w:bCs w:val="0"/>
          <w:color w:val="000000" w:themeColor="text1"/>
        </w:rPr>
      </w:pPr>
    </w:p>
    <w:p w14:paraId="67A448A5" w14:textId="77777777" w:rsidR="00EC6C8F" w:rsidRPr="00EC6C8F" w:rsidRDefault="00EC6C8F">
      <w:pPr>
        <w:pStyle w:val="FDPNosaukumsGrafikam"/>
        <w:ind w:left="-142" w:firstLine="0"/>
        <w:rPr>
          <w:b w:val="0"/>
          <w:bCs w:val="0"/>
          <w:color w:val="000000" w:themeColor="text1"/>
        </w:rPr>
      </w:pPr>
    </w:p>
    <w:p w14:paraId="2218BD8D" w14:textId="2483C91F" w:rsidR="00E50B37" w:rsidRDefault="00645276">
      <w:pPr>
        <w:pStyle w:val="FDPNosaukumsGrafikam"/>
        <w:ind w:left="-142" w:firstLine="0"/>
      </w:pPr>
      <w:r>
        <w:lastRenderedPageBreak/>
        <w:t>1.attēls. Konsolidētā kopbudžeta bilance, % no IKP uzkrātās vienībās mēneša beigās</w:t>
      </w:r>
    </w:p>
    <w:p w14:paraId="2A2C9C6C" w14:textId="77777777" w:rsidR="00E50B37" w:rsidRDefault="00645276">
      <w:pPr>
        <w:rPr>
          <w:szCs w:val="20"/>
        </w:rPr>
      </w:pPr>
      <w:r>
        <w:rPr>
          <w:noProof/>
          <w:szCs w:val="20"/>
        </w:rPr>
        <w:drawing>
          <wp:anchor distT="0" distB="0" distL="0" distR="0" simplePos="0" relativeHeight="39" behindDoc="0" locked="0" layoutInCell="0" allowOverlap="1" wp14:anchorId="47BEA817" wp14:editId="3552C742">
            <wp:simplePos x="0" y="0"/>
            <wp:positionH relativeFrom="column">
              <wp:posOffset>689610</wp:posOffset>
            </wp:positionH>
            <wp:positionV relativeFrom="paragraph">
              <wp:posOffset>211455</wp:posOffset>
            </wp:positionV>
            <wp:extent cx="4676775" cy="1751330"/>
            <wp:effectExtent l="0" t="0" r="0" b="635"/>
            <wp:wrapTopAndBottom/>
            <wp:docPr id="2" name="Obj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p>
    <w:p w14:paraId="0C7998AE" w14:textId="77777777" w:rsidR="00E50B37" w:rsidRDefault="00645276">
      <w:pPr>
        <w:pStyle w:val="FDPTabulagalvina"/>
        <w:rPr>
          <w:lang w:eastAsia="lv-LV"/>
        </w:rPr>
      </w:pPr>
      <w:r>
        <w:rPr>
          <w:lang w:eastAsia="lv-LV"/>
        </w:rPr>
        <w:t xml:space="preserve">Avots: Valsts Kase </w:t>
      </w:r>
    </w:p>
    <w:p w14:paraId="2FE2FC97" w14:textId="77777777" w:rsidR="00E50B37" w:rsidRDefault="00E50B37">
      <w:pPr>
        <w:pStyle w:val="Virsraksts2"/>
      </w:pPr>
    </w:p>
    <w:p w14:paraId="3200FB3B" w14:textId="77777777" w:rsidR="00E50B37" w:rsidRDefault="00645276">
      <w:pPr>
        <w:pStyle w:val="Virsraksts2"/>
      </w:pPr>
      <w:bookmarkStart w:id="8" w:name="_Toc21590736"/>
      <w:bookmarkStart w:id="9" w:name="_Toc53398598"/>
      <w:bookmarkStart w:id="10" w:name="_Toc84839729"/>
      <w:r>
        <w:t>1.2. Fiskālā pozīcija 2022-2024 gadiem</w:t>
      </w:r>
      <w:bookmarkEnd w:id="8"/>
      <w:bookmarkEnd w:id="9"/>
      <w:bookmarkEnd w:id="10"/>
    </w:p>
    <w:p w14:paraId="6AB2E01F" w14:textId="77777777" w:rsidR="00E50B37" w:rsidRDefault="00645276">
      <w:pPr>
        <w:pStyle w:val="FDPList1"/>
        <w:shd w:val="clear" w:color="auto" w:fill="FFFFFF" w:themeFill="background1"/>
        <w:rPr>
          <w:b/>
          <w:bCs/>
        </w:rPr>
      </w:pPr>
      <w:r>
        <w:rPr>
          <w:shd w:val="clear" w:color="auto" w:fill="FFFFFF"/>
        </w:rPr>
        <w:t xml:space="preserve">Nākošie gadi būs sarežģīti no valsts fiskālā aspekta – tuvojas 2022. gada vēlēšanas, </w:t>
      </w:r>
      <w:r>
        <w:rPr>
          <w:rFonts w:eastAsia="Verdana" w:cs="Verdana"/>
          <w:shd w:val="clear" w:color="auto" w:fill="FFFFFF"/>
        </w:rPr>
        <w:t>paliek neskaidrības ar Covid-19 vīrusa tālāko izplatību un notiek izmaiņas arī ārējā ekonomiskajā un politiskajā vidē. Tika izstrādāti arī EK norādījumi, ka valstīm pakāpeniski jāatgriežas pie ilgtspējī</w:t>
      </w:r>
      <w:r>
        <w:rPr>
          <w:shd w:val="clear" w:color="auto" w:fill="FFFFFF"/>
        </w:rPr>
        <w:t xml:space="preserve">gās fiskālās stratēģijas. 2022. gadā joprojām nebūs ierobežojumu Covid-19 atbalstam, kā arī investīcijām, tomēr kārtējie izdevumi ir jāierobežo. </w:t>
      </w:r>
      <w:r>
        <w:rPr>
          <w:b/>
          <w:bCs/>
          <w:color w:val="000000"/>
          <w:shd w:val="clear" w:color="auto" w:fill="FFFFFF"/>
        </w:rPr>
        <w:t>Lai</w:t>
      </w:r>
      <w:r>
        <w:rPr>
          <w:b/>
          <w:bCs/>
          <w:shd w:val="clear" w:color="auto" w:fill="FFFFFF"/>
        </w:rPr>
        <w:t xml:space="preserve"> arī pagaidām nav zināms par 2023. gada regulējumu, ir liela varbūtība, ka tas paredzēs pakāpenisku atgriešanos pie ilgtspējīgām valsts finansēm.</w:t>
      </w:r>
      <w:r>
        <w:rPr>
          <w:b/>
          <w:bCs/>
          <w:shd w:val="clear" w:color="auto" w:fill="E2EFD9"/>
        </w:rPr>
        <w:t xml:space="preserve"> </w:t>
      </w:r>
    </w:p>
    <w:p w14:paraId="6B4CEF5C" w14:textId="77777777" w:rsidR="00E50B37" w:rsidRDefault="00645276">
      <w:pPr>
        <w:pStyle w:val="FDPList1"/>
      </w:pPr>
      <w:r>
        <w:rPr>
          <w:b/>
          <w:shd w:val="clear" w:color="auto" w:fill="FFFFFF"/>
        </w:rPr>
        <w:t>Lai arī Latvija Covid-19 izraisīto ekonomisko krīzi pārvar salīdzinoši labi, esam maza un atvērta ekonomika, kuru vienmēr ietekmēs ārējie faktori.</w:t>
      </w:r>
      <w:r>
        <w:rPr>
          <w:shd w:val="clear" w:color="auto" w:fill="FFFFFF"/>
        </w:rPr>
        <w:t xml:space="preserve"> Pasaulē ir palielinājies kopējais parāda līmenis, kam ir potenciāls pasliktināt valstu fiskālo pozīciju, it sevišķi procenta likmju kāpuma scenārijā. Turklāt, joprojām paliek nozares, kuras ietekmē šodienas Covid-19 situācija, tāpēc saglabājas varbūtība, ka valdībām būs jāatbalsta tās, palielinot valstu parādus un arī veicinot inflāciju. Pēc augusta datiem, inflācija ES vidēji sasniedza 3,2%.</w:t>
      </w:r>
      <w:r>
        <w:rPr>
          <w:shd w:val="clear" w:color="auto" w:fill="E2EFD9"/>
        </w:rPr>
        <w:t xml:space="preserve"> </w:t>
      </w:r>
      <w:r>
        <w:t>Nav arī pilnībā skaidrs, kā attīstīsies situācija ar vakcinācijas līmeni un tās efektivitāti – lai arī vakcinācija ievērojami samazina smagas saslimšanas un letālu gadījumu varbūtību, vīrusam var parādīties jaunas mutācijas un imunitātei no vakcīnas ir tendence samazināties laika gaitā.</w:t>
      </w:r>
    </w:p>
    <w:p w14:paraId="01877E0F" w14:textId="77777777" w:rsidR="00E50B37" w:rsidRDefault="00645276">
      <w:pPr>
        <w:pStyle w:val="FDPList1"/>
      </w:pPr>
      <w:r>
        <w:rPr>
          <w:b/>
          <w:bCs/>
        </w:rPr>
        <w:t>2022.gadā joprojām ir spēkā EK vispārējā izņēmuma klauzula un attiecīgi netiek piemēroti Fiskālās disciplīnas likuma fiskālie nosacījumi</w:t>
      </w:r>
      <w:r>
        <w:t xml:space="preserve">, </w:t>
      </w:r>
      <w:r>
        <w:rPr>
          <w:b/>
          <w:bCs/>
        </w:rPr>
        <w:t>tā vietā piemērojot ES Padomes rekomendācijas, kas nosaka: i) kontrolēt nacionāli finansēto primāro kārtējo izdevumu pieaugumus, ii) nepieciešamības gadījumā finansēt Covid-19 atbalsta pasākumus uz budžeta deficīta rēķina, iii) nacionāli finansēto investīciju apjomu saglabāt vismaz 2021.gada līmenī.</w:t>
      </w:r>
      <w:r>
        <w:t xml:space="preserve"> Ņemot vērā, ka šobrīd likumdošana nenosaka maksimāli pieļaujamos budžeta izdevumus, Finanšu ministrija savā ziņojumā</w:t>
      </w:r>
      <w:r>
        <w:rPr>
          <w:rStyle w:val="FootnoteAnchor"/>
        </w:rPr>
        <w:footnoteReference w:id="10"/>
      </w:r>
      <w:r>
        <w:t xml:space="preserve"> piedāvā par maksimāli pieļaujamo </w:t>
      </w:r>
      <w:r>
        <w:lastRenderedPageBreak/>
        <w:t>izdevumu noteikšanas enkuru tuvākajos gados noteikt valsts parāda līmeni- tuvu 50% no IKP.</w:t>
      </w:r>
    </w:p>
    <w:p w14:paraId="45FBACA3" w14:textId="77777777" w:rsidR="00E50B37" w:rsidRDefault="00645276">
      <w:pPr>
        <w:pStyle w:val="FDPList1"/>
      </w:pPr>
      <w:r>
        <w:rPr>
          <w:b/>
        </w:rPr>
        <w:t>Pēc FM sniegtās informācijas, valdība prognozē sekojošas budžeta bilances pie nemainīgas politikas  -4,8% 2022. gadā, -2,1% 2023. gadā un -1,3%. 2024. gadā.</w:t>
      </w:r>
      <w:r>
        <w:t xml:space="preserve"> Iepriekš minētie mērķi, atbilstoši Finanšu ministrijas aprēķiniem,  nodrošinātu valdības strukturālo bilanci -4,7% 2022. gadā, -2,1% 2023. gadā un -1,4% 2024. gadā.  Kā jau pieminēts iepriekš, ja 2022. gadā strukturālā bilance netiek pilnībā ierobežota ar skaitlisko fiskālo nosacījumu, 2023. gada regulējums joprojām nav zināms. Scenārijā pie nemainīgas politikas 2023. gadā 0.5% strukturālais deficīts tiek pārsniegts par 1,6% no IKP, bet 2024. gadā - par 0,9%. Ņemot vērā plānoto izlaižu starpību 2022. un 2023.gadā, attiecīgi -0,5% un –0,1%. Lai arī Padome uzskata, ka valdībai jāievēro pretcikliskuma princips, pārmērīgi liels strukturālais deficīts rada ekonomikas attīstības riskus.</w:t>
      </w:r>
    </w:p>
    <w:p w14:paraId="631AC2FA" w14:textId="77777777" w:rsidR="00E50B37" w:rsidRDefault="00645276">
      <w:pPr>
        <w:pStyle w:val="FDPList1"/>
      </w:pPr>
      <w:r>
        <w:rPr>
          <w:b/>
          <w:bCs/>
        </w:rPr>
        <w:t>Valdības pretcikliskā politika ir uzlabojusies pēdējos gados, īpaši krīzes laikā, tomēr tai vajadzētu būt ievērotai arī pēc Covid-19 krīzes beigām.</w:t>
      </w:r>
      <w:r>
        <w:t xml:space="preserve">  Zemāk grafikā redzams, ka, sākot ar 2019. gadu, tiek ievērots svarīgais pretcikliskās fiskālās politikas princips – valdībai ir fiskāli jāstimulē ekonomika, kad ekonomika darbojas zem sava potenciāla un otrādāk. Covid-19 izraisītās  krīzes dēļ 2020. un 2021. gadā izlaižu starpība ir negatīva. Šī iemesla dēļ, valdības fiskālais impulss ir visievērojamākais šajos gados. Lai arī 2022. gadā fiskālā politika būs ekspansīva,  fiskālais impulss tiek plānots negatīvs, ar tendenci tuvoties 0, jo tiek plānots arī ekonomikas atjaunošanās process. </w:t>
      </w:r>
    </w:p>
    <w:p w14:paraId="14B6ED5B" w14:textId="77777777" w:rsidR="00E50B37" w:rsidRDefault="00645276">
      <w:pPr>
        <w:pStyle w:val="FDPNosaukumsGrafikam"/>
        <w:rPr>
          <w:lang w:eastAsia="lv-LV"/>
        </w:rPr>
      </w:pPr>
      <w:r>
        <w:rPr>
          <w:lang w:eastAsia="lv-LV"/>
        </w:rPr>
        <w:t>2.attēls: Izlaižu starpība un fiskālais stimuls</w:t>
      </w:r>
      <w:r>
        <w:rPr>
          <w:rStyle w:val="FootnoteAnchor"/>
          <w:lang w:eastAsia="lv-LV"/>
        </w:rPr>
        <w:footnoteReference w:id="11"/>
      </w:r>
      <w:r>
        <w:rPr>
          <w:lang w:eastAsia="lv-LV"/>
        </w:rPr>
        <w:t xml:space="preserve"> (% no IKP) periodā no 2016.g.-2024.g. t.sk. prognoze 2021.g-2024.g.</w:t>
      </w:r>
    </w:p>
    <w:p w14:paraId="48BC6B30" w14:textId="77777777" w:rsidR="00E50B37" w:rsidRDefault="00645276">
      <w:pPr>
        <w:spacing w:after="0" w:line="240" w:lineRule="auto"/>
        <w:ind w:left="426"/>
        <w:contextualSpacing/>
        <w:rPr>
          <w:szCs w:val="20"/>
        </w:rPr>
      </w:pPr>
      <w:r>
        <w:rPr>
          <w:noProof/>
        </w:rPr>
        <w:drawing>
          <wp:inline distT="0" distB="0" distL="0" distR="0" wp14:anchorId="47F0EBA2" wp14:editId="008C7667">
            <wp:extent cx="5046345" cy="2178050"/>
            <wp:effectExtent l="0" t="0" r="0" b="0"/>
            <wp:docPr id="3" name="Picture 1541188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541188677"/>
                    <pic:cNvPicPr>
                      <a:picLocks noChangeAspect="1" noChangeArrowheads="1"/>
                    </pic:cNvPicPr>
                  </pic:nvPicPr>
                  <pic:blipFill>
                    <a:blip r:embed="rId15"/>
                    <a:stretch>
                      <a:fillRect/>
                    </a:stretch>
                  </pic:blipFill>
                  <pic:spPr bwMode="auto">
                    <a:xfrm>
                      <a:off x="0" y="0"/>
                      <a:ext cx="5046345" cy="2178050"/>
                    </a:xfrm>
                    <a:prstGeom prst="rect">
                      <a:avLst/>
                    </a:prstGeom>
                  </pic:spPr>
                </pic:pic>
              </a:graphicData>
            </a:graphic>
          </wp:inline>
        </w:drawing>
      </w:r>
    </w:p>
    <w:p w14:paraId="7F68F3F0" w14:textId="77777777" w:rsidR="00E50B37" w:rsidRDefault="00645276">
      <w:pPr>
        <w:pStyle w:val="FDPTabulagalvina"/>
      </w:pPr>
      <w:r>
        <w:t>Avots: Finanšu Ministrija un Padomes aprēķini</w:t>
      </w:r>
    </w:p>
    <w:p w14:paraId="786346C7" w14:textId="77777777" w:rsidR="00E50B37" w:rsidRDefault="00E50B37">
      <w:pPr>
        <w:spacing w:after="0" w:line="240" w:lineRule="auto"/>
        <w:ind w:left="426"/>
        <w:contextualSpacing/>
        <w:rPr>
          <w:rFonts w:ascii="Calibri" w:eastAsia="Times New Roman" w:hAnsi="Calibri" w:cs="Times New Roman"/>
          <w:b/>
          <w:bCs/>
          <w:color w:val="auto"/>
          <w:sz w:val="22"/>
          <w:szCs w:val="22"/>
        </w:rPr>
      </w:pPr>
    </w:p>
    <w:p w14:paraId="139F4598" w14:textId="77777777" w:rsidR="00E50B37" w:rsidRDefault="00645276">
      <w:pPr>
        <w:pStyle w:val="FDPList1"/>
      </w:pPr>
      <w:r>
        <w:rPr>
          <w:b/>
          <w:bCs/>
        </w:rPr>
        <w:t>2022. gada Budžeta projekta nodokļu ieņēmumu prognozes izskatās samērīgas, ņemot vērā ekonomikas atveseļošanas potenciālu pēc Covid-19 krīzes.</w:t>
      </w:r>
      <w:r>
        <w:t xml:space="preserve">  2. tabulā redzams, ka nākošgad nodokļu ieņēmumi tiek plānoti par 9,6% augstāki nekā prognozētais 2021.gada iekasēšanas rezultāts. Lielākais pieaugums tiek sagaidīts UIN, IIN un VSAOI ieņēmumos – attiecīgi 12,7% 12,0% un 11,1%.  FDP atzīmē, ka 2021. gada janvārī tika ieviests nodokļu vienotais konts, kura dēļ 2020. un </w:t>
      </w:r>
      <w:r>
        <w:lastRenderedPageBreak/>
        <w:t>2021. gada iekasēto nodokļu salīdzinājums var būt neprecīzs, jo pēc jaunās metodoloģijas vienotajā kontā katru mēnesi uzkrājas pa veidiem nesadalītais atlikums.</w:t>
      </w:r>
    </w:p>
    <w:p w14:paraId="603D9116" w14:textId="77777777" w:rsidR="00E50B37" w:rsidRDefault="00645276">
      <w:pPr>
        <w:pStyle w:val="FDPNosaukumsGrafikam"/>
        <w:ind w:left="567" w:hanging="567"/>
        <w:jc w:val="center"/>
      </w:pPr>
      <w:r>
        <w:t>2.tabula. Nodokļu ieņēmumu dinamika, plāni un izpilde 2019.-2021. gadiem., %</w:t>
      </w:r>
    </w:p>
    <w:p w14:paraId="34F3F407" w14:textId="77777777" w:rsidR="00E50B37" w:rsidRDefault="00E50B37">
      <w:pPr>
        <w:spacing w:after="0" w:line="240" w:lineRule="auto"/>
        <w:jc w:val="center"/>
        <w:rPr>
          <w:rFonts w:ascii="Calibri" w:eastAsia="Times New Roman" w:hAnsi="Calibri" w:cs="Calibri"/>
          <w:color w:val="auto"/>
          <w:szCs w:val="20"/>
        </w:rPr>
      </w:pPr>
    </w:p>
    <w:tbl>
      <w:tblPr>
        <w:tblStyle w:val="TableGrid2"/>
        <w:tblW w:w="9356" w:type="dxa"/>
        <w:tblLayout w:type="fixed"/>
        <w:tblLook w:val="04A0" w:firstRow="1" w:lastRow="0" w:firstColumn="1" w:lastColumn="0" w:noHBand="0" w:noVBand="1"/>
      </w:tblPr>
      <w:tblGrid>
        <w:gridCol w:w="2552"/>
        <w:gridCol w:w="1843"/>
        <w:gridCol w:w="1701"/>
        <w:gridCol w:w="1701"/>
        <w:gridCol w:w="1559"/>
      </w:tblGrid>
      <w:tr w:rsidR="00E50B37" w14:paraId="34813379" w14:textId="77777777">
        <w:trPr>
          <w:trHeight w:val="301"/>
        </w:trPr>
        <w:tc>
          <w:tcPr>
            <w:tcW w:w="2552" w:type="dxa"/>
            <w:tcBorders>
              <w:top w:val="nil"/>
              <w:left w:val="nil"/>
              <w:bottom w:val="single" w:sz="18" w:space="0" w:color="9D2234"/>
              <w:right w:val="nil"/>
            </w:tcBorders>
          </w:tcPr>
          <w:p w14:paraId="0DE56DC3" w14:textId="77777777" w:rsidR="00E50B37" w:rsidRDefault="00E50B37">
            <w:pPr>
              <w:pStyle w:val="FDPTabulapamats"/>
              <w:widowControl w:val="0"/>
            </w:pPr>
          </w:p>
        </w:tc>
        <w:tc>
          <w:tcPr>
            <w:tcW w:w="1843" w:type="dxa"/>
            <w:tcBorders>
              <w:top w:val="nil"/>
              <w:left w:val="nil"/>
              <w:bottom w:val="single" w:sz="18" w:space="0" w:color="9D2234"/>
              <w:right w:val="single" w:sz="6" w:space="0" w:color="000000"/>
            </w:tcBorders>
          </w:tcPr>
          <w:p w14:paraId="35B094AD" w14:textId="77777777" w:rsidR="00E50B37" w:rsidRDefault="00645276">
            <w:pPr>
              <w:pStyle w:val="FDPTabulagalvina"/>
              <w:widowControl w:val="0"/>
              <w:rPr>
                <w:sz w:val="16"/>
                <w:szCs w:val="18"/>
              </w:rPr>
            </w:pPr>
            <w:r>
              <w:rPr>
                <w:sz w:val="16"/>
                <w:szCs w:val="18"/>
              </w:rPr>
              <w:t>2020 fakts/ 2019 fakts</w:t>
            </w:r>
          </w:p>
        </w:tc>
        <w:tc>
          <w:tcPr>
            <w:tcW w:w="1701" w:type="dxa"/>
            <w:tcBorders>
              <w:top w:val="nil"/>
              <w:left w:val="single" w:sz="6" w:space="0" w:color="000000"/>
              <w:bottom w:val="single" w:sz="18" w:space="0" w:color="9D2234"/>
              <w:right w:val="single" w:sz="6" w:space="0" w:color="000000"/>
            </w:tcBorders>
          </w:tcPr>
          <w:p w14:paraId="52448B96" w14:textId="77777777" w:rsidR="00E50B37" w:rsidRDefault="00645276">
            <w:pPr>
              <w:pStyle w:val="FDPTabulagalvina"/>
              <w:widowControl w:val="0"/>
              <w:rPr>
                <w:sz w:val="16"/>
                <w:szCs w:val="18"/>
              </w:rPr>
            </w:pPr>
            <w:r>
              <w:rPr>
                <w:sz w:val="16"/>
                <w:szCs w:val="18"/>
              </w:rPr>
              <w:t>2021 prognoze/ 2020 fakts</w:t>
            </w:r>
          </w:p>
        </w:tc>
        <w:tc>
          <w:tcPr>
            <w:tcW w:w="1701" w:type="dxa"/>
            <w:tcBorders>
              <w:top w:val="nil"/>
              <w:left w:val="single" w:sz="6" w:space="0" w:color="000000"/>
              <w:bottom w:val="single" w:sz="18" w:space="0" w:color="9D2234"/>
              <w:right w:val="single" w:sz="6" w:space="0" w:color="000000"/>
            </w:tcBorders>
          </w:tcPr>
          <w:p w14:paraId="2AABD20F" w14:textId="77777777" w:rsidR="00E50B37" w:rsidRDefault="00645276">
            <w:pPr>
              <w:pStyle w:val="FDPTabulagalvina"/>
              <w:widowControl w:val="0"/>
              <w:rPr>
                <w:sz w:val="16"/>
                <w:szCs w:val="18"/>
              </w:rPr>
            </w:pPr>
            <w:r>
              <w:rPr>
                <w:sz w:val="16"/>
                <w:szCs w:val="18"/>
              </w:rPr>
              <w:t>8 m 2021 fakts /8 m 2020 fakts</w:t>
            </w:r>
          </w:p>
        </w:tc>
        <w:tc>
          <w:tcPr>
            <w:tcW w:w="1559" w:type="dxa"/>
            <w:tcBorders>
              <w:top w:val="nil"/>
              <w:left w:val="single" w:sz="6" w:space="0" w:color="000000"/>
              <w:bottom w:val="single" w:sz="18" w:space="0" w:color="9D2234"/>
              <w:right w:val="nil"/>
            </w:tcBorders>
          </w:tcPr>
          <w:p w14:paraId="1CA657C0" w14:textId="77777777" w:rsidR="00E50B37" w:rsidRDefault="00645276">
            <w:pPr>
              <w:pStyle w:val="FDPTabulagalvina"/>
              <w:widowControl w:val="0"/>
              <w:rPr>
                <w:sz w:val="16"/>
                <w:szCs w:val="18"/>
                <w:highlight w:val="yellow"/>
              </w:rPr>
            </w:pPr>
            <w:r>
              <w:rPr>
                <w:sz w:val="16"/>
                <w:szCs w:val="18"/>
              </w:rPr>
              <w:t>2022 BPP /2021 budžets</w:t>
            </w:r>
          </w:p>
        </w:tc>
      </w:tr>
      <w:tr w:rsidR="00E50B37" w14:paraId="63CC2251" w14:textId="77777777">
        <w:trPr>
          <w:trHeight w:val="301"/>
        </w:trPr>
        <w:tc>
          <w:tcPr>
            <w:tcW w:w="2552" w:type="dxa"/>
            <w:tcBorders>
              <w:top w:val="single" w:sz="18" w:space="0" w:color="9D2234"/>
              <w:left w:val="nil"/>
              <w:bottom w:val="nil"/>
              <w:right w:val="nil"/>
            </w:tcBorders>
            <w:shd w:val="clear" w:color="auto" w:fill="auto"/>
          </w:tcPr>
          <w:p w14:paraId="5BA070D0" w14:textId="77777777" w:rsidR="00E50B37" w:rsidRDefault="00645276">
            <w:pPr>
              <w:pStyle w:val="FDPTabulapamats"/>
              <w:widowControl w:val="0"/>
              <w:rPr>
                <w:b/>
                <w:sz w:val="14"/>
                <w:szCs w:val="14"/>
              </w:rPr>
            </w:pPr>
            <w:r>
              <w:rPr>
                <w:b/>
                <w:sz w:val="14"/>
                <w:szCs w:val="14"/>
              </w:rPr>
              <w:t>Nodokļu ieņēmumi</w:t>
            </w:r>
          </w:p>
        </w:tc>
        <w:tc>
          <w:tcPr>
            <w:tcW w:w="1843" w:type="dxa"/>
            <w:tcBorders>
              <w:top w:val="single" w:sz="18" w:space="0" w:color="9D2234"/>
              <w:left w:val="nil"/>
              <w:bottom w:val="nil"/>
              <w:right w:val="single" w:sz="6" w:space="0" w:color="000000"/>
            </w:tcBorders>
            <w:shd w:val="clear" w:color="auto" w:fill="auto"/>
            <w:vAlign w:val="bottom"/>
          </w:tcPr>
          <w:p w14:paraId="3514BCD2" w14:textId="77777777" w:rsidR="00E50B37" w:rsidRDefault="00645276">
            <w:pPr>
              <w:pStyle w:val="FDPTabulapamats"/>
              <w:widowControl w:val="0"/>
              <w:rPr>
                <w:b/>
                <w:sz w:val="14"/>
                <w:szCs w:val="14"/>
              </w:rPr>
            </w:pPr>
            <w:r>
              <w:rPr>
                <w:rFonts w:cs="Calibri"/>
                <w:b/>
                <w:color w:val="000000"/>
                <w:sz w:val="14"/>
                <w:szCs w:val="14"/>
              </w:rPr>
              <w:t>-0,6%</w:t>
            </w:r>
          </w:p>
        </w:tc>
        <w:tc>
          <w:tcPr>
            <w:tcW w:w="1701" w:type="dxa"/>
            <w:tcBorders>
              <w:top w:val="single" w:sz="18" w:space="0" w:color="9D2234"/>
              <w:left w:val="single" w:sz="6" w:space="0" w:color="000000"/>
              <w:bottom w:val="nil"/>
              <w:right w:val="single" w:sz="6" w:space="0" w:color="000000"/>
            </w:tcBorders>
            <w:shd w:val="clear" w:color="auto" w:fill="auto"/>
            <w:vAlign w:val="bottom"/>
          </w:tcPr>
          <w:p w14:paraId="779C9549" w14:textId="77777777" w:rsidR="00E50B37" w:rsidRDefault="00645276">
            <w:pPr>
              <w:pStyle w:val="FDPTabulapamats"/>
              <w:widowControl w:val="0"/>
              <w:rPr>
                <w:rFonts w:cs="Calibri"/>
                <w:b/>
                <w:color w:val="000000"/>
                <w:sz w:val="14"/>
                <w:szCs w:val="14"/>
              </w:rPr>
            </w:pPr>
            <w:r>
              <w:rPr>
                <w:rFonts w:cs="Calibri"/>
                <w:b/>
                <w:color w:val="000000"/>
                <w:sz w:val="14"/>
                <w:szCs w:val="14"/>
              </w:rPr>
              <w:t>3,6%</w:t>
            </w:r>
          </w:p>
        </w:tc>
        <w:tc>
          <w:tcPr>
            <w:tcW w:w="1701" w:type="dxa"/>
            <w:tcBorders>
              <w:top w:val="single" w:sz="18" w:space="0" w:color="9D2234"/>
              <w:left w:val="single" w:sz="6" w:space="0" w:color="000000"/>
              <w:bottom w:val="nil"/>
              <w:right w:val="single" w:sz="6" w:space="0" w:color="000000"/>
            </w:tcBorders>
            <w:shd w:val="clear" w:color="auto" w:fill="auto"/>
            <w:vAlign w:val="bottom"/>
          </w:tcPr>
          <w:p w14:paraId="4D17F8EC" w14:textId="77777777" w:rsidR="00E50B37" w:rsidRDefault="00645276">
            <w:pPr>
              <w:pStyle w:val="FDPTabulapamats"/>
              <w:widowControl w:val="0"/>
              <w:rPr>
                <w:rFonts w:cs="Calibri"/>
                <w:b/>
                <w:color w:val="000000"/>
                <w:sz w:val="14"/>
                <w:szCs w:val="14"/>
              </w:rPr>
            </w:pPr>
            <w:r>
              <w:rPr>
                <w:rFonts w:cs="Calibri"/>
                <w:b/>
                <w:color w:val="000000"/>
                <w:sz w:val="14"/>
                <w:szCs w:val="14"/>
              </w:rPr>
              <w:t>12,2%</w:t>
            </w:r>
          </w:p>
        </w:tc>
        <w:tc>
          <w:tcPr>
            <w:tcW w:w="1559" w:type="dxa"/>
            <w:tcBorders>
              <w:top w:val="single" w:sz="18" w:space="0" w:color="9D2234"/>
              <w:left w:val="single" w:sz="6" w:space="0" w:color="000000"/>
              <w:bottom w:val="nil"/>
              <w:right w:val="nil"/>
            </w:tcBorders>
            <w:shd w:val="clear" w:color="auto" w:fill="auto"/>
            <w:vAlign w:val="bottom"/>
          </w:tcPr>
          <w:p w14:paraId="2BB542B0" w14:textId="77777777" w:rsidR="00E50B37" w:rsidRDefault="00645276">
            <w:pPr>
              <w:pStyle w:val="FDPTabulapamats"/>
              <w:widowControl w:val="0"/>
              <w:rPr>
                <w:rFonts w:cs="Calibri"/>
                <w:b/>
                <w:color w:val="000000"/>
                <w:sz w:val="14"/>
                <w:szCs w:val="14"/>
              </w:rPr>
            </w:pPr>
            <w:r>
              <w:rPr>
                <w:rFonts w:cs="Calibri"/>
                <w:b/>
                <w:color w:val="000000"/>
                <w:sz w:val="14"/>
                <w:szCs w:val="14"/>
              </w:rPr>
              <w:t>9.4%</w:t>
            </w:r>
          </w:p>
        </w:tc>
      </w:tr>
      <w:tr w:rsidR="00E50B37" w14:paraId="4955E2B1" w14:textId="77777777">
        <w:trPr>
          <w:trHeight w:val="301"/>
        </w:trPr>
        <w:tc>
          <w:tcPr>
            <w:tcW w:w="2552" w:type="dxa"/>
            <w:tcBorders>
              <w:top w:val="nil"/>
              <w:left w:val="nil"/>
              <w:bottom w:val="nil"/>
              <w:right w:val="nil"/>
            </w:tcBorders>
          </w:tcPr>
          <w:p w14:paraId="294D6919" w14:textId="77777777" w:rsidR="00E50B37" w:rsidRDefault="00645276">
            <w:pPr>
              <w:pStyle w:val="FDPTabulapamats"/>
              <w:widowControl w:val="0"/>
              <w:rPr>
                <w:sz w:val="14"/>
                <w:szCs w:val="14"/>
              </w:rPr>
            </w:pPr>
            <w:r>
              <w:rPr>
                <w:sz w:val="14"/>
                <w:szCs w:val="14"/>
              </w:rPr>
              <w:t xml:space="preserve"> UIN</w:t>
            </w:r>
          </w:p>
        </w:tc>
        <w:tc>
          <w:tcPr>
            <w:tcW w:w="1843" w:type="dxa"/>
            <w:tcBorders>
              <w:top w:val="nil"/>
              <w:left w:val="nil"/>
              <w:bottom w:val="nil"/>
              <w:right w:val="single" w:sz="6" w:space="0" w:color="000000"/>
            </w:tcBorders>
            <w:vAlign w:val="bottom"/>
          </w:tcPr>
          <w:p w14:paraId="19C5BE99" w14:textId="77777777" w:rsidR="00E50B37" w:rsidRDefault="00645276">
            <w:pPr>
              <w:pStyle w:val="FDPTabulapamats"/>
              <w:widowControl w:val="0"/>
              <w:rPr>
                <w:sz w:val="14"/>
                <w:szCs w:val="14"/>
              </w:rPr>
            </w:pPr>
            <w:r>
              <w:rPr>
                <w:rFonts w:cs="Calibri"/>
                <w:color w:val="000000"/>
                <w:sz w:val="14"/>
                <w:szCs w:val="14"/>
              </w:rPr>
              <w:t>363,3%</w:t>
            </w:r>
          </w:p>
        </w:tc>
        <w:tc>
          <w:tcPr>
            <w:tcW w:w="1701" w:type="dxa"/>
            <w:tcBorders>
              <w:top w:val="nil"/>
              <w:left w:val="single" w:sz="6" w:space="0" w:color="000000"/>
              <w:bottom w:val="nil"/>
              <w:right w:val="single" w:sz="6" w:space="0" w:color="000000"/>
            </w:tcBorders>
            <w:vAlign w:val="bottom"/>
          </w:tcPr>
          <w:p w14:paraId="522DB73E" w14:textId="77777777" w:rsidR="00E50B37" w:rsidRDefault="00645276">
            <w:pPr>
              <w:pStyle w:val="FDPTabulapamats"/>
              <w:widowControl w:val="0"/>
              <w:rPr>
                <w:rFonts w:cs="Calibri"/>
                <w:color w:val="000000"/>
                <w:sz w:val="14"/>
                <w:szCs w:val="14"/>
              </w:rPr>
            </w:pPr>
            <w:r>
              <w:rPr>
                <w:rFonts w:cs="Calibri"/>
                <w:color w:val="000000"/>
                <w:sz w:val="14"/>
                <w:szCs w:val="14"/>
              </w:rPr>
              <w:t>32,6%</w:t>
            </w:r>
          </w:p>
        </w:tc>
        <w:tc>
          <w:tcPr>
            <w:tcW w:w="1701" w:type="dxa"/>
            <w:tcBorders>
              <w:top w:val="nil"/>
              <w:left w:val="single" w:sz="6" w:space="0" w:color="000000"/>
              <w:bottom w:val="nil"/>
              <w:right w:val="single" w:sz="6" w:space="0" w:color="000000"/>
            </w:tcBorders>
            <w:vAlign w:val="bottom"/>
          </w:tcPr>
          <w:p w14:paraId="3EDBA030" w14:textId="77777777" w:rsidR="00E50B37" w:rsidRDefault="00645276">
            <w:pPr>
              <w:pStyle w:val="FDPTabulapamats"/>
              <w:widowControl w:val="0"/>
              <w:rPr>
                <w:rFonts w:cs="Calibri"/>
                <w:color w:val="000000"/>
                <w:sz w:val="14"/>
                <w:szCs w:val="14"/>
              </w:rPr>
            </w:pPr>
            <w:r>
              <w:rPr>
                <w:rFonts w:cs="Calibri"/>
                <w:color w:val="000000"/>
                <w:sz w:val="14"/>
                <w:szCs w:val="14"/>
              </w:rPr>
              <w:t>63,8%</w:t>
            </w:r>
          </w:p>
        </w:tc>
        <w:tc>
          <w:tcPr>
            <w:tcW w:w="1559" w:type="dxa"/>
            <w:tcBorders>
              <w:top w:val="nil"/>
              <w:left w:val="single" w:sz="6" w:space="0" w:color="000000"/>
              <w:bottom w:val="nil"/>
              <w:right w:val="nil"/>
            </w:tcBorders>
            <w:vAlign w:val="bottom"/>
          </w:tcPr>
          <w:p w14:paraId="0A9D230A" w14:textId="77777777" w:rsidR="00E50B37" w:rsidRDefault="00645276">
            <w:pPr>
              <w:pStyle w:val="FDPTabulapamats"/>
              <w:widowControl w:val="0"/>
              <w:rPr>
                <w:rFonts w:cs="Calibri"/>
                <w:color w:val="000000"/>
                <w:sz w:val="14"/>
                <w:szCs w:val="14"/>
              </w:rPr>
            </w:pPr>
            <w:r>
              <w:rPr>
                <w:rFonts w:cs="Calibri"/>
                <w:color w:val="000000"/>
                <w:sz w:val="14"/>
                <w:szCs w:val="14"/>
              </w:rPr>
              <w:t>17.8%</w:t>
            </w:r>
          </w:p>
        </w:tc>
      </w:tr>
      <w:tr w:rsidR="00E50B37" w14:paraId="018BF62C" w14:textId="77777777">
        <w:trPr>
          <w:trHeight w:val="301"/>
        </w:trPr>
        <w:tc>
          <w:tcPr>
            <w:tcW w:w="2552" w:type="dxa"/>
            <w:tcBorders>
              <w:top w:val="nil"/>
              <w:left w:val="nil"/>
              <w:bottom w:val="nil"/>
              <w:right w:val="nil"/>
            </w:tcBorders>
          </w:tcPr>
          <w:p w14:paraId="7EE672A5" w14:textId="77777777" w:rsidR="00E50B37" w:rsidRDefault="00645276">
            <w:pPr>
              <w:pStyle w:val="FDPTabulapamats"/>
              <w:widowControl w:val="0"/>
              <w:rPr>
                <w:sz w:val="14"/>
                <w:szCs w:val="14"/>
              </w:rPr>
            </w:pPr>
            <w:r>
              <w:rPr>
                <w:sz w:val="14"/>
                <w:szCs w:val="14"/>
              </w:rPr>
              <w:t xml:space="preserve"> IIN</w:t>
            </w:r>
          </w:p>
        </w:tc>
        <w:tc>
          <w:tcPr>
            <w:tcW w:w="1843" w:type="dxa"/>
            <w:tcBorders>
              <w:top w:val="nil"/>
              <w:left w:val="nil"/>
              <w:bottom w:val="nil"/>
              <w:right w:val="single" w:sz="6" w:space="0" w:color="000000"/>
            </w:tcBorders>
            <w:vAlign w:val="bottom"/>
          </w:tcPr>
          <w:p w14:paraId="69C915AE" w14:textId="77777777" w:rsidR="00E50B37" w:rsidRDefault="00645276">
            <w:pPr>
              <w:pStyle w:val="FDPTabulapamats"/>
              <w:widowControl w:val="0"/>
              <w:rPr>
                <w:sz w:val="14"/>
                <w:szCs w:val="14"/>
              </w:rPr>
            </w:pPr>
            <w:r>
              <w:rPr>
                <w:rFonts w:cs="Calibri"/>
                <w:color w:val="000000"/>
                <w:sz w:val="14"/>
                <w:szCs w:val="14"/>
              </w:rPr>
              <w:t>-5,7%</w:t>
            </w:r>
          </w:p>
        </w:tc>
        <w:tc>
          <w:tcPr>
            <w:tcW w:w="1701" w:type="dxa"/>
            <w:tcBorders>
              <w:top w:val="nil"/>
              <w:left w:val="single" w:sz="6" w:space="0" w:color="000000"/>
              <w:bottom w:val="nil"/>
              <w:right w:val="single" w:sz="6" w:space="0" w:color="000000"/>
            </w:tcBorders>
            <w:vAlign w:val="bottom"/>
          </w:tcPr>
          <w:p w14:paraId="6251AA39" w14:textId="77777777" w:rsidR="00E50B37" w:rsidRDefault="00645276">
            <w:pPr>
              <w:pStyle w:val="FDPTabulapamats"/>
              <w:widowControl w:val="0"/>
              <w:rPr>
                <w:rFonts w:cs="Calibri"/>
                <w:color w:val="000000"/>
                <w:sz w:val="14"/>
                <w:szCs w:val="14"/>
              </w:rPr>
            </w:pPr>
            <w:r>
              <w:rPr>
                <w:rFonts w:cs="Calibri"/>
                <w:color w:val="000000"/>
                <w:sz w:val="14"/>
                <w:szCs w:val="14"/>
              </w:rPr>
              <w:t>-4,0%</w:t>
            </w:r>
          </w:p>
        </w:tc>
        <w:tc>
          <w:tcPr>
            <w:tcW w:w="1701" w:type="dxa"/>
            <w:tcBorders>
              <w:top w:val="nil"/>
              <w:left w:val="single" w:sz="6" w:space="0" w:color="000000"/>
              <w:bottom w:val="nil"/>
              <w:right w:val="single" w:sz="6" w:space="0" w:color="000000"/>
            </w:tcBorders>
            <w:vAlign w:val="bottom"/>
          </w:tcPr>
          <w:p w14:paraId="71FC29C4" w14:textId="77777777" w:rsidR="00E50B37" w:rsidRDefault="00645276">
            <w:pPr>
              <w:pStyle w:val="FDPTabulapamats"/>
              <w:widowControl w:val="0"/>
              <w:rPr>
                <w:rFonts w:cs="Calibri"/>
                <w:color w:val="000000"/>
                <w:sz w:val="14"/>
                <w:szCs w:val="14"/>
              </w:rPr>
            </w:pPr>
            <w:r>
              <w:rPr>
                <w:rFonts w:cs="Calibri"/>
                <w:color w:val="000000"/>
                <w:sz w:val="14"/>
                <w:szCs w:val="14"/>
              </w:rPr>
              <w:t>12,1%</w:t>
            </w:r>
          </w:p>
        </w:tc>
        <w:tc>
          <w:tcPr>
            <w:tcW w:w="1559" w:type="dxa"/>
            <w:tcBorders>
              <w:top w:val="nil"/>
              <w:left w:val="single" w:sz="6" w:space="0" w:color="000000"/>
              <w:bottom w:val="nil"/>
              <w:right w:val="nil"/>
            </w:tcBorders>
            <w:vAlign w:val="bottom"/>
          </w:tcPr>
          <w:p w14:paraId="71DB34F8" w14:textId="77777777" w:rsidR="00E50B37" w:rsidRDefault="00645276">
            <w:pPr>
              <w:pStyle w:val="FDPTabulapamats"/>
              <w:widowControl w:val="0"/>
              <w:rPr>
                <w:rFonts w:cs="Calibri"/>
                <w:color w:val="000000"/>
                <w:sz w:val="14"/>
                <w:szCs w:val="14"/>
              </w:rPr>
            </w:pPr>
            <w:r>
              <w:rPr>
                <w:rFonts w:cs="Calibri"/>
                <w:color w:val="000000"/>
                <w:sz w:val="14"/>
                <w:szCs w:val="14"/>
              </w:rPr>
              <w:t>9.9%</w:t>
            </w:r>
          </w:p>
        </w:tc>
      </w:tr>
      <w:tr w:rsidR="00E50B37" w14:paraId="0FCEFE25" w14:textId="77777777">
        <w:trPr>
          <w:trHeight w:val="301"/>
        </w:trPr>
        <w:tc>
          <w:tcPr>
            <w:tcW w:w="2552" w:type="dxa"/>
            <w:tcBorders>
              <w:top w:val="nil"/>
              <w:left w:val="nil"/>
              <w:bottom w:val="nil"/>
              <w:right w:val="nil"/>
            </w:tcBorders>
          </w:tcPr>
          <w:p w14:paraId="716FB4FF" w14:textId="77777777" w:rsidR="00E50B37" w:rsidRDefault="00645276">
            <w:pPr>
              <w:pStyle w:val="FDPTabulapamats"/>
              <w:widowControl w:val="0"/>
              <w:rPr>
                <w:sz w:val="14"/>
                <w:szCs w:val="14"/>
              </w:rPr>
            </w:pPr>
            <w:r>
              <w:rPr>
                <w:sz w:val="14"/>
                <w:szCs w:val="14"/>
              </w:rPr>
              <w:t xml:space="preserve"> Sociālās iemaksas</w:t>
            </w:r>
          </w:p>
        </w:tc>
        <w:tc>
          <w:tcPr>
            <w:tcW w:w="1843" w:type="dxa"/>
            <w:tcBorders>
              <w:top w:val="nil"/>
              <w:left w:val="nil"/>
              <w:bottom w:val="nil"/>
              <w:right w:val="single" w:sz="6" w:space="0" w:color="000000"/>
            </w:tcBorders>
            <w:vAlign w:val="bottom"/>
          </w:tcPr>
          <w:p w14:paraId="657F919F" w14:textId="77777777" w:rsidR="00E50B37" w:rsidRDefault="00645276">
            <w:pPr>
              <w:pStyle w:val="FDPTabulapamats"/>
              <w:widowControl w:val="0"/>
              <w:rPr>
                <w:sz w:val="14"/>
                <w:szCs w:val="14"/>
              </w:rPr>
            </w:pPr>
            <w:r>
              <w:rPr>
                <w:rFonts w:cs="Calibri"/>
                <w:color w:val="000000"/>
                <w:sz w:val="14"/>
                <w:szCs w:val="14"/>
              </w:rPr>
              <w:t>0,6%</w:t>
            </w:r>
          </w:p>
        </w:tc>
        <w:tc>
          <w:tcPr>
            <w:tcW w:w="1701" w:type="dxa"/>
            <w:tcBorders>
              <w:top w:val="nil"/>
              <w:left w:val="single" w:sz="6" w:space="0" w:color="000000"/>
              <w:bottom w:val="nil"/>
              <w:right w:val="single" w:sz="6" w:space="0" w:color="000000"/>
            </w:tcBorders>
            <w:vAlign w:val="bottom"/>
          </w:tcPr>
          <w:p w14:paraId="6A027739" w14:textId="77777777" w:rsidR="00E50B37" w:rsidRDefault="00645276">
            <w:pPr>
              <w:pStyle w:val="FDPTabulapamats"/>
              <w:widowControl w:val="0"/>
              <w:rPr>
                <w:rFonts w:cs="Calibri"/>
                <w:color w:val="000000"/>
                <w:sz w:val="14"/>
                <w:szCs w:val="14"/>
              </w:rPr>
            </w:pPr>
            <w:r>
              <w:rPr>
                <w:rFonts w:cs="Calibri"/>
                <w:color w:val="000000"/>
                <w:sz w:val="14"/>
                <w:szCs w:val="14"/>
              </w:rPr>
              <w:t>-4,1%</w:t>
            </w:r>
          </w:p>
        </w:tc>
        <w:tc>
          <w:tcPr>
            <w:tcW w:w="1701" w:type="dxa"/>
            <w:tcBorders>
              <w:top w:val="nil"/>
              <w:left w:val="single" w:sz="6" w:space="0" w:color="000000"/>
              <w:bottom w:val="nil"/>
              <w:right w:val="single" w:sz="6" w:space="0" w:color="000000"/>
            </w:tcBorders>
            <w:vAlign w:val="bottom"/>
          </w:tcPr>
          <w:p w14:paraId="7BA4A636" w14:textId="77777777" w:rsidR="00E50B37" w:rsidRDefault="00645276">
            <w:pPr>
              <w:pStyle w:val="FDPTabulapamats"/>
              <w:widowControl w:val="0"/>
              <w:rPr>
                <w:rFonts w:cs="Calibri"/>
                <w:color w:val="000000"/>
                <w:sz w:val="14"/>
                <w:szCs w:val="14"/>
              </w:rPr>
            </w:pPr>
            <w:r>
              <w:rPr>
                <w:rFonts w:cs="Calibri"/>
                <w:color w:val="000000"/>
                <w:sz w:val="14"/>
                <w:szCs w:val="14"/>
              </w:rPr>
              <w:t>15,2%</w:t>
            </w:r>
          </w:p>
        </w:tc>
        <w:tc>
          <w:tcPr>
            <w:tcW w:w="1559" w:type="dxa"/>
            <w:tcBorders>
              <w:top w:val="nil"/>
              <w:left w:val="single" w:sz="6" w:space="0" w:color="000000"/>
              <w:bottom w:val="nil"/>
              <w:right w:val="nil"/>
            </w:tcBorders>
            <w:shd w:val="clear" w:color="auto" w:fill="auto"/>
            <w:vAlign w:val="bottom"/>
          </w:tcPr>
          <w:p w14:paraId="76896405" w14:textId="77777777" w:rsidR="00E50B37" w:rsidRDefault="00645276">
            <w:pPr>
              <w:pStyle w:val="FDPTabulapamats"/>
              <w:widowControl w:val="0"/>
              <w:rPr>
                <w:rFonts w:cs="Calibri"/>
                <w:color w:val="000000"/>
                <w:sz w:val="14"/>
                <w:szCs w:val="14"/>
              </w:rPr>
            </w:pPr>
            <w:r>
              <w:rPr>
                <w:rFonts w:cs="Calibri"/>
                <w:color w:val="000000"/>
                <w:sz w:val="14"/>
                <w:szCs w:val="14"/>
              </w:rPr>
              <w:t>9.3%</w:t>
            </w:r>
          </w:p>
        </w:tc>
      </w:tr>
      <w:tr w:rsidR="00E50B37" w14:paraId="3EA4228A" w14:textId="77777777">
        <w:trPr>
          <w:trHeight w:val="301"/>
        </w:trPr>
        <w:tc>
          <w:tcPr>
            <w:tcW w:w="2552" w:type="dxa"/>
            <w:tcBorders>
              <w:top w:val="nil"/>
              <w:left w:val="nil"/>
              <w:bottom w:val="nil"/>
              <w:right w:val="nil"/>
            </w:tcBorders>
          </w:tcPr>
          <w:p w14:paraId="12F87B54" w14:textId="77777777" w:rsidR="00E50B37" w:rsidRDefault="00645276">
            <w:pPr>
              <w:pStyle w:val="FDPTabulapamats"/>
              <w:widowControl w:val="0"/>
              <w:rPr>
                <w:sz w:val="14"/>
                <w:szCs w:val="14"/>
              </w:rPr>
            </w:pPr>
            <w:r>
              <w:rPr>
                <w:sz w:val="14"/>
                <w:szCs w:val="14"/>
              </w:rPr>
              <w:t xml:space="preserve"> Nekustāmā īpašuma n.</w:t>
            </w:r>
          </w:p>
        </w:tc>
        <w:tc>
          <w:tcPr>
            <w:tcW w:w="1843" w:type="dxa"/>
            <w:tcBorders>
              <w:top w:val="nil"/>
              <w:left w:val="nil"/>
              <w:bottom w:val="nil"/>
              <w:right w:val="single" w:sz="6" w:space="0" w:color="000000"/>
            </w:tcBorders>
            <w:vAlign w:val="bottom"/>
          </w:tcPr>
          <w:p w14:paraId="61A00D98" w14:textId="77777777" w:rsidR="00E50B37" w:rsidRDefault="00645276">
            <w:pPr>
              <w:pStyle w:val="FDPTabulapamats"/>
              <w:widowControl w:val="0"/>
              <w:rPr>
                <w:sz w:val="14"/>
                <w:szCs w:val="14"/>
              </w:rPr>
            </w:pPr>
            <w:r>
              <w:rPr>
                <w:rFonts w:cs="Calibri"/>
                <w:color w:val="000000"/>
                <w:sz w:val="14"/>
                <w:szCs w:val="14"/>
              </w:rPr>
              <w:t>-1,9%</w:t>
            </w:r>
          </w:p>
        </w:tc>
        <w:tc>
          <w:tcPr>
            <w:tcW w:w="1701" w:type="dxa"/>
            <w:tcBorders>
              <w:top w:val="nil"/>
              <w:left w:val="single" w:sz="6" w:space="0" w:color="000000"/>
              <w:bottom w:val="nil"/>
              <w:right w:val="single" w:sz="6" w:space="0" w:color="000000"/>
            </w:tcBorders>
            <w:vAlign w:val="bottom"/>
          </w:tcPr>
          <w:p w14:paraId="54367661" w14:textId="77777777" w:rsidR="00E50B37" w:rsidRDefault="00645276">
            <w:pPr>
              <w:pStyle w:val="FDPTabulapamats"/>
              <w:widowControl w:val="0"/>
              <w:rPr>
                <w:rFonts w:cs="Calibri"/>
                <w:color w:val="000000"/>
                <w:sz w:val="14"/>
                <w:szCs w:val="14"/>
              </w:rPr>
            </w:pPr>
            <w:r>
              <w:rPr>
                <w:rFonts w:cs="Calibri"/>
                <w:color w:val="000000"/>
                <w:sz w:val="14"/>
                <w:szCs w:val="14"/>
              </w:rPr>
              <w:t>3,8%</w:t>
            </w:r>
          </w:p>
        </w:tc>
        <w:tc>
          <w:tcPr>
            <w:tcW w:w="1701" w:type="dxa"/>
            <w:tcBorders>
              <w:top w:val="nil"/>
              <w:left w:val="single" w:sz="6" w:space="0" w:color="000000"/>
              <w:bottom w:val="nil"/>
              <w:right w:val="single" w:sz="6" w:space="0" w:color="000000"/>
            </w:tcBorders>
            <w:vAlign w:val="bottom"/>
          </w:tcPr>
          <w:p w14:paraId="4868523C" w14:textId="77777777" w:rsidR="00E50B37" w:rsidRDefault="00645276">
            <w:pPr>
              <w:pStyle w:val="FDPTabulapamats"/>
              <w:widowControl w:val="0"/>
              <w:rPr>
                <w:rFonts w:cs="Calibri"/>
                <w:color w:val="000000"/>
                <w:sz w:val="14"/>
                <w:szCs w:val="14"/>
                <w:lang w:val="en-US"/>
              </w:rPr>
            </w:pPr>
            <w:r>
              <w:rPr>
                <w:rFonts w:cs="Calibri"/>
                <w:sz w:val="14"/>
                <w:szCs w:val="14"/>
              </w:rPr>
              <w:t>-8,8%</w:t>
            </w:r>
          </w:p>
        </w:tc>
        <w:tc>
          <w:tcPr>
            <w:tcW w:w="1559" w:type="dxa"/>
            <w:tcBorders>
              <w:top w:val="nil"/>
              <w:left w:val="single" w:sz="6" w:space="0" w:color="000000"/>
              <w:bottom w:val="nil"/>
              <w:right w:val="nil"/>
            </w:tcBorders>
            <w:shd w:val="clear" w:color="auto" w:fill="auto"/>
            <w:vAlign w:val="bottom"/>
          </w:tcPr>
          <w:p w14:paraId="6527B052" w14:textId="77777777" w:rsidR="00E50B37" w:rsidRDefault="00645276">
            <w:pPr>
              <w:pStyle w:val="FDPTabulapamats"/>
              <w:widowControl w:val="0"/>
              <w:rPr>
                <w:rFonts w:cs="Calibri"/>
                <w:color w:val="000000"/>
                <w:sz w:val="14"/>
                <w:szCs w:val="14"/>
              </w:rPr>
            </w:pPr>
            <w:r>
              <w:rPr>
                <w:rFonts w:cs="Calibri"/>
                <w:color w:val="000000"/>
                <w:sz w:val="14"/>
                <w:szCs w:val="14"/>
              </w:rPr>
              <w:t>1.5%</w:t>
            </w:r>
          </w:p>
        </w:tc>
      </w:tr>
      <w:tr w:rsidR="00E50B37" w14:paraId="459221B5" w14:textId="77777777">
        <w:trPr>
          <w:trHeight w:val="301"/>
        </w:trPr>
        <w:tc>
          <w:tcPr>
            <w:tcW w:w="2552" w:type="dxa"/>
            <w:tcBorders>
              <w:top w:val="nil"/>
              <w:left w:val="nil"/>
              <w:bottom w:val="nil"/>
              <w:right w:val="nil"/>
            </w:tcBorders>
          </w:tcPr>
          <w:p w14:paraId="39CDDF6D" w14:textId="77777777" w:rsidR="00E50B37" w:rsidRDefault="00645276">
            <w:pPr>
              <w:pStyle w:val="FDPTabulapamats"/>
              <w:widowControl w:val="0"/>
              <w:rPr>
                <w:sz w:val="14"/>
                <w:szCs w:val="14"/>
              </w:rPr>
            </w:pPr>
            <w:r>
              <w:rPr>
                <w:sz w:val="14"/>
                <w:szCs w:val="14"/>
              </w:rPr>
              <w:t xml:space="preserve"> PVN</w:t>
            </w:r>
          </w:p>
        </w:tc>
        <w:tc>
          <w:tcPr>
            <w:tcW w:w="1843" w:type="dxa"/>
            <w:tcBorders>
              <w:top w:val="nil"/>
              <w:left w:val="nil"/>
              <w:bottom w:val="nil"/>
              <w:right w:val="single" w:sz="6" w:space="0" w:color="000000"/>
            </w:tcBorders>
            <w:vAlign w:val="bottom"/>
          </w:tcPr>
          <w:p w14:paraId="2A012387" w14:textId="77777777" w:rsidR="00E50B37" w:rsidRDefault="00645276">
            <w:pPr>
              <w:pStyle w:val="FDPTabulapamats"/>
              <w:widowControl w:val="0"/>
              <w:rPr>
                <w:sz w:val="14"/>
                <w:szCs w:val="14"/>
              </w:rPr>
            </w:pPr>
            <w:r>
              <w:rPr>
                <w:rFonts w:cs="Calibri"/>
                <w:color w:val="000000"/>
                <w:sz w:val="14"/>
                <w:szCs w:val="14"/>
              </w:rPr>
              <w:t>-3,9%</w:t>
            </w:r>
          </w:p>
        </w:tc>
        <w:tc>
          <w:tcPr>
            <w:tcW w:w="1701" w:type="dxa"/>
            <w:tcBorders>
              <w:top w:val="nil"/>
              <w:left w:val="single" w:sz="6" w:space="0" w:color="000000"/>
              <w:bottom w:val="nil"/>
              <w:right w:val="single" w:sz="6" w:space="0" w:color="000000"/>
            </w:tcBorders>
            <w:vAlign w:val="bottom"/>
          </w:tcPr>
          <w:p w14:paraId="08BCBE19" w14:textId="77777777" w:rsidR="00E50B37" w:rsidRDefault="00645276">
            <w:pPr>
              <w:pStyle w:val="FDPTabulapamats"/>
              <w:widowControl w:val="0"/>
              <w:rPr>
                <w:rFonts w:cs="Calibri"/>
                <w:color w:val="000000"/>
                <w:sz w:val="14"/>
                <w:szCs w:val="14"/>
              </w:rPr>
            </w:pPr>
            <w:r>
              <w:rPr>
                <w:rFonts w:cs="Calibri"/>
                <w:color w:val="000000"/>
                <w:sz w:val="14"/>
                <w:szCs w:val="14"/>
              </w:rPr>
              <w:t>10,5%</w:t>
            </w:r>
          </w:p>
        </w:tc>
        <w:tc>
          <w:tcPr>
            <w:tcW w:w="1701" w:type="dxa"/>
            <w:tcBorders>
              <w:top w:val="nil"/>
              <w:left w:val="single" w:sz="6" w:space="0" w:color="000000"/>
              <w:bottom w:val="nil"/>
              <w:right w:val="single" w:sz="6" w:space="0" w:color="000000"/>
            </w:tcBorders>
            <w:vAlign w:val="bottom"/>
          </w:tcPr>
          <w:p w14:paraId="4BD58692" w14:textId="77777777" w:rsidR="00E50B37" w:rsidRDefault="00645276">
            <w:pPr>
              <w:pStyle w:val="FDPTabulapamats"/>
              <w:widowControl w:val="0"/>
              <w:rPr>
                <w:rFonts w:cs="Calibri"/>
                <w:color w:val="000000"/>
                <w:sz w:val="14"/>
                <w:szCs w:val="14"/>
              </w:rPr>
            </w:pPr>
            <w:r>
              <w:rPr>
                <w:rFonts w:cs="Calibri"/>
                <w:color w:val="000000"/>
                <w:sz w:val="14"/>
                <w:szCs w:val="14"/>
              </w:rPr>
              <w:t>11,8%</w:t>
            </w:r>
          </w:p>
        </w:tc>
        <w:tc>
          <w:tcPr>
            <w:tcW w:w="1559" w:type="dxa"/>
            <w:tcBorders>
              <w:top w:val="nil"/>
              <w:left w:val="single" w:sz="6" w:space="0" w:color="000000"/>
              <w:bottom w:val="nil"/>
              <w:right w:val="nil"/>
            </w:tcBorders>
            <w:vAlign w:val="bottom"/>
          </w:tcPr>
          <w:p w14:paraId="59985F70" w14:textId="77777777" w:rsidR="00E50B37" w:rsidRDefault="00645276">
            <w:pPr>
              <w:pStyle w:val="FDPTabulapamats"/>
              <w:widowControl w:val="0"/>
              <w:rPr>
                <w:rFonts w:cs="Calibri"/>
                <w:color w:val="000000"/>
                <w:sz w:val="14"/>
                <w:szCs w:val="14"/>
              </w:rPr>
            </w:pPr>
            <w:r>
              <w:rPr>
                <w:rFonts w:cs="Calibri"/>
                <w:color w:val="000000"/>
                <w:sz w:val="14"/>
                <w:szCs w:val="14"/>
              </w:rPr>
              <w:t>11.7%</w:t>
            </w:r>
          </w:p>
        </w:tc>
      </w:tr>
      <w:tr w:rsidR="00E50B37" w14:paraId="43971A8D" w14:textId="77777777">
        <w:trPr>
          <w:trHeight w:val="301"/>
        </w:trPr>
        <w:tc>
          <w:tcPr>
            <w:tcW w:w="2552" w:type="dxa"/>
            <w:tcBorders>
              <w:top w:val="nil"/>
              <w:left w:val="nil"/>
              <w:bottom w:val="nil"/>
              <w:right w:val="nil"/>
            </w:tcBorders>
          </w:tcPr>
          <w:p w14:paraId="1223E450" w14:textId="77777777" w:rsidR="00E50B37" w:rsidRDefault="00645276">
            <w:pPr>
              <w:pStyle w:val="FDPTabulapamats"/>
              <w:widowControl w:val="0"/>
              <w:rPr>
                <w:sz w:val="14"/>
                <w:szCs w:val="14"/>
              </w:rPr>
            </w:pPr>
            <w:r>
              <w:rPr>
                <w:sz w:val="14"/>
                <w:szCs w:val="14"/>
              </w:rPr>
              <w:t xml:space="preserve"> Akcīzes nodoklis</w:t>
            </w:r>
          </w:p>
        </w:tc>
        <w:tc>
          <w:tcPr>
            <w:tcW w:w="1843" w:type="dxa"/>
            <w:tcBorders>
              <w:top w:val="nil"/>
              <w:left w:val="nil"/>
              <w:bottom w:val="nil"/>
              <w:right w:val="single" w:sz="6" w:space="0" w:color="000000"/>
            </w:tcBorders>
            <w:vAlign w:val="bottom"/>
          </w:tcPr>
          <w:p w14:paraId="05FA9673" w14:textId="77777777" w:rsidR="00E50B37" w:rsidRDefault="00645276">
            <w:pPr>
              <w:pStyle w:val="FDPTabulapamats"/>
              <w:widowControl w:val="0"/>
              <w:rPr>
                <w:sz w:val="14"/>
                <w:szCs w:val="14"/>
              </w:rPr>
            </w:pPr>
            <w:r>
              <w:rPr>
                <w:rFonts w:cs="Calibri"/>
                <w:color w:val="000000"/>
                <w:sz w:val="14"/>
                <w:szCs w:val="14"/>
              </w:rPr>
              <w:t>-0,4%</w:t>
            </w:r>
          </w:p>
        </w:tc>
        <w:tc>
          <w:tcPr>
            <w:tcW w:w="1701" w:type="dxa"/>
            <w:tcBorders>
              <w:top w:val="nil"/>
              <w:left w:val="single" w:sz="6" w:space="0" w:color="000000"/>
              <w:bottom w:val="nil"/>
              <w:right w:val="single" w:sz="6" w:space="0" w:color="000000"/>
            </w:tcBorders>
            <w:vAlign w:val="bottom"/>
          </w:tcPr>
          <w:p w14:paraId="796A74E5" w14:textId="77777777" w:rsidR="00E50B37" w:rsidRDefault="00645276">
            <w:pPr>
              <w:pStyle w:val="FDPTabulapamats"/>
              <w:widowControl w:val="0"/>
              <w:rPr>
                <w:rFonts w:cs="Calibri"/>
                <w:color w:val="000000"/>
                <w:sz w:val="14"/>
                <w:szCs w:val="14"/>
              </w:rPr>
            </w:pPr>
            <w:r>
              <w:rPr>
                <w:rFonts w:cs="Calibri"/>
                <w:color w:val="000000"/>
                <w:sz w:val="14"/>
                <w:szCs w:val="14"/>
              </w:rPr>
              <w:t>5,5%</w:t>
            </w:r>
          </w:p>
        </w:tc>
        <w:tc>
          <w:tcPr>
            <w:tcW w:w="1701" w:type="dxa"/>
            <w:tcBorders>
              <w:top w:val="nil"/>
              <w:left w:val="single" w:sz="6" w:space="0" w:color="000000"/>
              <w:bottom w:val="nil"/>
              <w:right w:val="single" w:sz="6" w:space="0" w:color="000000"/>
            </w:tcBorders>
            <w:vAlign w:val="bottom"/>
          </w:tcPr>
          <w:p w14:paraId="04135B19" w14:textId="77777777" w:rsidR="00E50B37" w:rsidRDefault="00645276">
            <w:pPr>
              <w:pStyle w:val="FDPTabulapamats"/>
              <w:widowControl w:val="0"/>
              <w:rPr>
                <w:rFonts w:cs="Calibri"/>
                <w:color w:val="000000"/>
                <w:sz w:val="14"/>
                <w:szCs w:val="14"/>
              </w:rPr>
            </w:pPr>
            <w:r>
              <w:rPr>
                <w:rFonts w:cs="Calibri"/>
                <w:color w:val="000000"/>
                <w:sz w:val="14"/>
                <w:szCs w:val="14"/>
              </w:rPr>
              <w:t>3,4%</w:t>
            </w:r>
          </w:p>
        </w:tc>
        <w:tc>
          <w:tcPr>
            <w:tcW w:w="1559" w:type="dxa"/>
            <w:tcBorders>
              <w:top w:val="nil"/>
              <w:left w:val="single" w:sz="6" w:space="0" w:color="000000"/>
              <w:bottom w:val="nil"/>
              <w:right w:val="nil"/>
            </w:tcBorders>
            <w:shd w:val="clear" w:color="auto" w:fill="auto"/>
            <w:vAlign w:val="bottom"/>
          </w:tcPr>
          <w:p w14:paraId="759A82C1" w14:textId="77777777" w:rsidR="00E50B37" w:rsidRDefault="00645276">
            <w:pPr>
              <w:pStyle w:val="FDPTabulapamats"/>
              <w:widowControl w:val="0"/>
              <w:rPr>
                <w:rFonts w:cs="Calibri"/>
                <w:color w:val="000000"/>
                <w:sz w:val="14"/>
                <w:szCs w:val="14"/>
              </w:rPr>
            </w:pPr>
            <w:r>
              <w:rPr>
                <w:rFonts w:cs="Calibri"/>
                <w:color w:val="000000"/>
                <w:sz w:val="14"/>
                <w:szCs w:val="14"/>
              </w:rPr>
              <w:t>4.7%</w:t>
            </w:r>
          </w:p>
        </w:tc>
      </w:tr>
      <w:tr w:rsidR="00E50B37" w14:paraId="1DDF43B9" w14:textId="77777777">
        <w:trPr>
          <w:trHeight w:val="301"/>
        </w:trPr>
        <w:tc>
          <w:tcPr>
            <w:tcW w:w="2552" w:type="dxa"/>
            <w:tcBorders>
              <w:top w:val="nil"/>
              <w:left w:val="nil"/>
              <w:bottom w:val="single" w:sz="6" w:space="0" w:color="9D2234"/>
              <w:right w:val="nil"/>
            </w:tcBorders>
          </w:tcPr>
          <w:p w14:paraId="16E2778E" w14:textId="77777777" w:rsidR="00E50B37" w:rsidRDefault="00645276">
            <w:pPr>
              <w:pStyle w:val="FDPTabulapamats"/>
              <w:widowControl w:val="0"/>
              <w:rPr>
                <w:sz w:val="14"/>
                <w:szCs w:val="14"/>
              </w:rPr>
            </w:pPr>
            <w:r>
              <w:rPr>
                <w:sz w:val="14"/>
                <w:szCs w:val="14"/>
              </w:rPr>
              <w:t xml:space="preserve"> Citi netieši n.</w:t>
            </w:r>
          </w:p>
        </w:tc>
        <w:tc>
          <w:tcPr>
            <w:tcW w:w="1843" w:type="dxa"/>
            <w:tcBorders>
              <w:top w:val="nil"/>
              <w:left w:val="nil"/>
              <w:bottom w:val="single" w:sz="6" w:space="0" w:color="9D2234"/>
              <w:right w:val="single" w:sz="6" w:space="0" w:color="000000"/>
            </w:tcBorders>
            <w:vAlign w:val="bottom"/>
          </w:tcPr>
          <w:p w14:paraId="09113E62" w14:textId="77777777" w:rsidR="00E50B37" w:rsidRDefault="00645276">
            <w:pPr>
              <w:pStyle w:val="FDPTabulapamats"/>
              <w:widowControl w:val="0"/>
              <w:rPr>
                <w:sz w:val="14"/>
                <w:szCs w:val="14"/>
              </w:rPr>
            </w:pPr>
            <w:r>
              <w:rPr>
                <w:rFonts w:cs="Calibri"/>
                <w:color w:val="000000"/>
                <w:sz w:val="14"/>
                <w:szCs w:val="14"/>
              </w:rPr>
              <w:t>-3,5%</w:t>
            </w:r>
          </w:p>
        </w:tc>
        <w:tc>
          <w:tcPr>
            <w:tcW w:w="1701" w:type="dxa"/>
            <w:tcBorders>
              <w:top w:val="nil"/>
              <w:left w:val="single" w:sz="6" w:space="0" w:color="000000"/>
              <w:bottom w:val="single" w:sz="6" w:space="0" w:color="9D2234"/>
              <w:right w:val="single" w:sz="6" w:space="0" w:color="000000"/>
            </w:tcBorders>
            <w:vAlign w:val="bottom"/>
          </w:tcPr>
          <w:p w14:paraId="7592E720" w14:textId="77777777" w:rsidR="00E50B37" w:rsidRDefault="00645276">
            <w:pPr>
              <w:pStyle w:val="FDPTabulapamats"/>
              <w:widowControl w:val="0"/>
              <w:rPr>
                <w:rFonts w:cs="Calibri"/>
                <w:color w:val="000000"/>
                <w:sz w:val="14"/>
                <w:szCs w:val="14"/>
              </w:rPr>
            </w:pPr>
            <w:r>
              <w:rPr>
                <w:rFonts w:cs="Calibri"/>
                <w:color w:val="000000"/>
                <w:sz w:val="14"/>
                <w:szCs w:val="14"/>
              </w:rPr>
              <w:t>-19,1%</w:t>
            </w:r>
          </w:p>
        </w:tc>
        <w:tc>
          <w:tcPr>
            <w:tcW w:w="1701" w:type="dxa"/>
            <w:tcBorders>
              <w:top w:val="nil"/>
              <w:left w:val="single" w:sz="6" w:space="0" w:color="000000"/>
              <w:bottom w:val="single" w:sz="6" w:space="0" w:color="9D2234"/>
              <w:right w:val="single" w:sz="6" w:space="0" w:color="000000"/>
            </w:tcBorders>
            <w:vAlign w:val="bottom"/>
          </w:tcPr>
          <w:p w14:paraId="1FB9B94D" w14:textId="77777777" w:rsidR="00E50B37" w:rsidRDefault="00645276">
            <w:pPr>
              <w:pStyle w:val="FDPTabulapamats"/>
              <w:widowControl w:val="0"/>
              <w:rPr>
                <w:rFonts w:cs="Calibri"/>
                <w:color w:val="000000"/>
                <w:sz w:val="14"/>
                <w:szCs w:val="14"/>
              </w:rPr>
            </w:pPr>
            <w:r>
              <w:rPr>
                <w:rFonts w:cs="Calibri"/>
                <w:color w:val="000000"/>
                <w:sz w:val="14"/>
                <w:szCs w:val="14"/>
              </w:rPr>
              <w:t>8,6%</w:t>
            </w:r>
          </w:p>
        </w:tc>
        <w:tc>
          <w:tcPr>
            <w:tcW w:w="1559" w:type="dxa"/>
            <w:tcBorders>
              <w:top w:val="nil"/>
              <w:left w:val="single" w:sz="6" w:space="0" w:color="000000"/>
              <w:bottom w:val="single" w:sz="6" w:space="0" w:color="9D2234"/>
              <w:right w:val="nil"/>
            </w:tcBorders>
            <w:vAlign w:val="bottom"/>
          </w:tcPr>
          <w:p w14:paraId="3306906C" w14:textId="77777777" w:rsidR="00E50B37" w:rsidRDefault="00645276">
            <w:pPr>
              <w:pStyle w:val="FDPTabulapamats"/>
              <w:widowControl w:val="0"/>
              <w:rPr>
                <w:rFonts w:cs="Calibri"/>
                <w:color w:val="000000"/>
                <w:sz w:val="14"/>
                <w:szCs w:val="14"/>
              </w:rPr>
            </w:pPr>
            <w:r>
              <w:rPr>
                <w:rFonts w:cs="Calibri"/>
                <w:color w:val="000000"/>
                <w:sz w:val="14"/>
                <w:szCs w:val="14"/>
              </w:rPr>
              <w:t>-1.6%</w:t>
            </w:r>
          </w:p>
        </w:tc>
      </w:tr>
    </w:tbl>
    <w:p w14:paraId="1935C46F" w14:textId="77777777" w:rsidR="00E50B37" w:rsidRDefault="00645276">
      <w:pPr>
        <w:pStyle w:val="FDPTabulagalvina"/>
      </w:pPr>
      <w:r>
        <w:t xml:space="preserve">Avots: Finanšu ministrija un Padomes aprēķini: </w:t>
      </w:r>
    </w:p>
    <w:p w14:paraId="3EBDA0F4" w14:textId="77777777" w:rsidR="00E50B37" w:rsidRDefault="00645276">
      <w:pPr>
        <w:pStyle w:val="FDPTabulagalvina"/>
      </w:pPr>
      <w:r>
        <w:t xml:space="preserve"> </w:t>
      </w:r>
    </w:p>
    <w:p w14:paraId="0BD48730" w14:textId="77777777" w:rsidR="00E50B37" w:rsidRDefault="00645276">
      <w:pPr>
        <w:pStyle w:val="FDPList1"/>
      </w:pPr>
      <w:r>
        <w:rPr>
          <w:b/>
          <w:bCs/>
        </w:rPr>
        <w:t>Kopumā ir jāatzīmē, ka FM nodokļu ieņēmumu prognozēšana ir bijusi konservatīva pēdējos gadus un reālie nodokļu ieņēmumi vienmēr ir bijuši lielāki par budžeta likumā plānotajiem, izņemot 2020. gadu, kad Covid-19 krīzes ietekme vēl nebija ņemta vērā.</w:t>
      </w:r>
      <w:r>
        <w:t xml:space="preserve"> Zemāk 3. attēlā redzama nodokļu iekasēšanas plāna dinamika. Izņemot 2020. gadu, plāns visu laiku bija nedaudz pārpildīts, pat gados ar zemāku ekonomikas izaugsmi nekā plānots. Covid-19 krīze bija izņēmums, jo tik liela recesija nebija prognozēta ne Latvijā, ne pārējā pasaulē. Ir jāatzīmē, ka nodokļu iekasēšanas plāna izpildi 2020. gadā ietekmēja ne tikai ekonomiskās aktivitātes samazinājums, bet arī valdības atbalsta pasākumu instrumenti, daļa no kuriem bija nodokļu atvieglojumi. Tika piešķirtas nodokļu brīvdienas un pieņemts lēmums par ātrāko PVN pārmaksas atmaksu, kuru kopējo apjomu FM novērtēja 125,1 miljonu eiro apmērā. Šogad daļa no nodokļiem tiks atgriezta atpakaļ budžetā - pēc pēdējiem datiem to apjoms ir 28,7 miljoni eiro.</w:t>
      </w:r>
    </w:p>
    <w:p w14:paraId="7352E80B" w14:textId="77777777" w:rsidR="00E50B37" w:rsidRDefault="00645276">
      <w:pPr>
        <w:pStyle w:val="FDPNosaukumsGrafikam"/>
        <w:rPr>
          <w:lang w:eastAsia="lv-LV"/>
        </w:rPr>
      </w:pPr>
      <w:r>
        <w:rPr>
          <w:noProof/>
          <w:lang w:eastAsia="lv-LV"/>
        </w:rPr>
        <w:lastRenderedPageBreak/>
        <w:drawing>
          <wp:anchor distT="0" distB="0" distL="0" distR="0" simplePos="0" relativeHeight="40" behindDoc="0" locked="0" layoutInCell="0" allowOverlap="1" wp14:anchorId="27A70B03" wp14:editId="4E5E3168">
            <wp:simplePos x="0" y="0"/>
            <wp:positionH relativeFrom="margin">
              <wp:align>center</wp:align>
            </wp:positionH>
            <wp:positionV relativeFrom="paragraph">
              <wp:posOffset>621665</wp:posOffset>
            </wp:positionV>
            <wp:extent cx="5276850" cy="3166110"/>
            <wp:effectExtent l="0" t="0" r="0" b="0"/>
            <wp:wrapTopAndBottom/>
            <wp:docPr id="4" name="Object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lang w:eastAsia="lv-LV"/>
        </w:rPr>
        <w:t>3.attēls: Kopbudžeta nodokļu ieņēmumu plāns, izpilde un pārpilde no 2015.g.-2020.g. (tūkstošos eiro un pārpilde %)</w:t>
      </w:r>
    </w:p>
    <w:p w14:paraId="4E9CE342" w14:textId="77777777" w:rsidR="00E50B37" w:rsidRDefault="00E50B37">
      <w:pPr>
        <w:pStyle w:val="FDPList1"/>
        <w:numPr>
          <w:ilvl w:val="0"/>
          <w:numId w:val="0"/>
        </w:numPr>
        <w:ind w:left="567" w:hanging="567"/>
      </w:pPr>
    </w:p>
    <w:p w14:paraId="73C73F27" w14:textId="77777777" w:rsidR="00E50B37" w:rsidRDefault="00645276">
      <w:pPr>
        <w:pStyle w:val="FDPTabulagalvina"/>
      </w:pPr>
      <w:r>
        <w:t>Avots: Finanšu ministrija un Padomes aprēķini</w:t>
      </w:r>
    </w:p>
    <w:p w14:paraId="3DCEB5C0" w14:textId="77777777" w:rsidR="00E50B37" w:rsidRDefault="00E50B37">
      <w:pPr>
        <w:pStyle w:val="FDPTabulagalvina"/>
      </w:pPr>
    </w:p>
    <w:p w14:paraId="3E1F66E2" w14:textId="77777777" w:rsidR="00E50B37" w:rsidRDefault="00645276">
      <w:pPr>
        <w:pStyle w:val="FDPList1"/>
      </w:pPr>
      <w:r>
        <w:t xml:space="preserve">Padome atzīmē, ka pilnībā netiek izmantots budžeta izdevumu pārskatīšanas potenciāls, tādējādi neiegūstot lielākus ietaupījumus no strukturālu reformu un neracionālu budžeta izdevumu samazināšanas. 2019. gadā budžeta procesa izdevumu pārskatīšanas procesā tika atrasti 93,7 miljoni eiro ietaupījumi 2020. gada budžetam (47,7 miljoni no tiem tika piešķirti vispārējai fiskālajai telpai, pārējie - attiecīgo ministriju prioritātēm). Gadu atpakaļ izdevumu pārskatīšanas procesā tika atrasti tikai 53,6 miljoni eiro ietaupījumu 2021.gada budžetam, kas ir par 43% mazāk. Šogad šī summa samazinājās vēl vairāk – kopumā tika identificēti tikai 38,4 miljoni eiro pieejamo resursu. Lai arī identificēto summu samazinājums var būt saistīts ar līdzekļu nepieciešamību Covid-19 krīzes laikā, Padome norāda, ka īpaši krīzes laikā izdevumu pārskatīšanas process ir vērtīgs instruments, lai pārdalītu budžeta apropriācijas efektīvākai budžeta līdzekļu izmantošanai un politikas prioritātēm. </w:t>
      </w:r>
    </w:p>
    <w:p w14:paraId="55BAC7AA" w14:textId="77777777" w:rsidR="00E50B37" w:rsidRDefault="00645276">
      <w:pPr>
        <w:pStyle w:val="FDPList1"/>
      </w:pPr>
      <w:r>
        <w:rPr>
          <w:b/>
          <w:bCs/>
        </w:rPr>
        <w:t>Veicot ikgadējo revīziju, Valsts kontrole atzīmēja uzlabojumus finanšu uzskaitē, kā arī sniedza iebildumus par dažiem aspektiem</w:t>
      </w:r>
      <w:r>
        <w:rPr>
          <w:rStyle w:val="FootnoteAnchor"/>
        </w:rPr>
        <w:footnoteReference w:id="12"/>
      </w:r>
      <w:r>
        <w:t xml:space="preserve">. Viens no galvenajiem trūkumiem ir saistīts ar ierobežojumiem ilgtermiņa ieguldījumiem, lielāko daļu no kuriem veido Rīgas pilsētas ilgtermiņa ieguldījumi. Valsts kontrole norāda, ka kopš 2015. gada šie ieguldījumi netika atbilstoši inventarizēti, un tagad to vērtība pārsniedz 1,6 miljardus eiro. Tika norādīts arī uz VID īstenoto pasākumu trūkumiem, kas ir saistīti ar uzkrāšanas principa ieviešanu no 2021. gada. Trūkumi potenciāli palēnina reformu, </w:t>
      </w:r>
      <w:r>
        <w:lastRenderedPageBreak/>
        <w:t>un pēc Valsts kontroles sniegtajiem komentāriem, to dēļ reforma pat varētu netikt īstenota norādītajos termiņos.</w:t>
      </w:r>
    </w:p>
    <w:p w14:paraId="798A9D3F" w14:textId="77777777" w:rsidR="00E50B37" w:rsidRDefault="00645276">
      <w:pPr>
        <w:pStyle w:val="FDPList1"/>
      </w:pPr>
      <w:r>
        <w:rPr>
          <w:b/>
          <w:bCs/>
        </w:rPr>
        <w:t>2022.gada budžeta prioritātes kopumā ir sociāli orientētas, ar potenciālu fiskāli stimulēt kopējo iekšējo pieprasījumu, uzlabot veselības aprūpes sistēmas kapacitāti un mazināt sociālo nevienlīdzību.</w:t>
      </w:r>
      <w:r>
        <w:t xml:space="preserve"> Ministru kabinets 2021. gada 24.septembrī sēdē apstiprināja informatīvo ziņojumu “Par priekšlikumiem valsts budžeta ieņēmumiem un izdevumiem 2022.gadam un ietvaram 2022.-2024.gadam”,</w:t>
      </w:r>
      <w:r>
        <w:rPr>
          <w:rStyle w:val="FootnoteAnchor"/>
        </w:rPr>
        <w:footnoteReference w:id="13"/>
      </w:r>
      <w:r>
        <w:t xml:space="preserve"> kas noteica budžeta prioritātes. Fiskālā telpa 2022. gadam ietver 310 miljonus eiro, neieskaitot Covid-19 pasākumus un investīcijas, kuriem ierobežojumu nav. Lielākais finansējums tika novirzīts darbaspēka nodokļu sloga mazināšanai (94 miljoni eiro) un veselības aprūpei (87 miljoni eiro). Ņemot vērā, ka papildus budžeta finansējums paredzēts iedzīvotāju grupām ar salīdzinoši zemu ienākuma līmeni, var sagaidīt, ka šiem izdevumiem būs salīdzinoši augsts fiskālais multiplikators, tas ir, liela daļa no tiem palielinās valsts IKP, kā arī budžeta ieņēmumus.  </w:t>
      </w:r>
    </w:p>
    <w:p w14:paraId="55BF6795" w14:textId="77777777" w:rsidR="00E50B37" w:rsidRDefault="00645276">
      <w:pPr>
        <w:pStyle w:val="FDPList1"/>
      </w:pPr>
      <w:r>
        <w:rPr>
          <w:b/>
          <w:bCs/>
        </w:rPr>
        <w:t>Covid-19 krīzes un ārējās vides lielās nenoteiktības apstākļos tuvākie gadi var būt sarežģīti Latvijas ekonomikai. Šādos apstākļos valdībai ir jābūt spējīgai ātri reaģēt un stabilizēt ekonomiku.</w:t>
      </w:r>
      <w:r>
        <w:t xml:space="preserve"> Kopumā, valdībai līdz šim ir veiksmīgi izdevies cīnīties ar Covid-19 izraisītās krīzes sekām. Tomēr ir iespējami papildus sarežģījumi, kas prasīs valdības aktīvu reaģēšanu. Kā tuvākā prioritāte ir uzskatāma Eiropas Atveseļošanās un noturības mehānisma ātra un efektīva izmantošana tuvākajos gados, lai stiprinātu Latvijas ekonomikas potenciālu saskaņā ar ES izvirzītajām prioritātēm</w:t>
      </w:r>
      <w:r>
        <w:rPr>
          <w:rStyle w:val="FootnoteAnchor"/>
        </w:rPr>
        <w:footnoteReference w:id="14"/>
      </w:r>
      <w:r>
        <w:t xml:space="preserve">: (i) veicināt ES ekonomisko, sociālo un teritoriālo kohēziju, (ii) stiprināt ekonomisko un sociālo noturību, (iii) mīkstināt krīzes sociālo un ekonomisko ietekmi, (iv) atbalstīt zaļās un digitālās transformācijas.  </w:t>
      </w:r>
    </w:p>
    <w:p w14:paraId="2AF595F9" w14:textId="77777777" w:rsidR="00E50B37" w:rsidRDefault="00E50B37">
      <w:pPr>
        <w:spacing w:after="0" w:line="240" w:lineRule="auto"/>
        <w:ind w:left="720"/>
        <w:contextualSpacing/>
        <w:jc w:val="left"/>
        <w:rPr>
          <w:rFonts w:ascii="Times New Roman" w:eastAsia="Times New Roman" w:hAnsi="Times New Roman" w:cs="Times New Roman"/>
          <w:b/>
          <w:bCs/>
          <w:color w:val="auto"/>
          <w:sz w:val="24"/>
        </w:rPr>
      </w:pPr>
    </w:p>
    <w:p w14:paraId="2A8738F1" w14:textId="77777777" w:rsidR="00E50B37" w:rsidRDefault="00645276">
      <w:pPr>
        <w:pStyle w:val="Virsraksts2"/>
        <w:rPr>
          <w:color w:val="2E74B5"/>
        </w:rPr>
      </w:pPr>
      <w:bookmarkStart w:id="11" w:name="_Toc53398599"/>
      <w:bookmarkStart w:id="12" w:name="_Toc84839730"/>
      <w:r>
        <w:t>1.3. Pēdējo gadu fiskālā retrospekcija</w:t>
      </w:r>
      <w:bookmarkEnd w:id="11"/>
      <w:bookmarkEnd w:id="12"/>
    </w:p>
    <w:p w14:paraId="20A033F8" w14:textId="77777777" w:rsidR="00E50B37" w:rsidRDefault="00645276">
      <w:pPr>
        <w:pStyle w:val="FDPList1"/>
      </w:pPr>
      <w:r>
        <w:t>2020.gadā Valsts konsolidētajā kopbudžetā ir bijis 1148,9 miljonu eiro deficīts, kas ir par 1031,5 miljoniem eiro vairāk nekā 2019. gadā, un par 964,5 miljoniem vairāk nekā</w:t>
      </w:r>
      <w:r>
        <w:rPr>
          <w:noProof/>
        </w:rPr>
        <w:drawing>
          <wp:inline distT="0" distB="0" distL="0" distR="0" wp14:anchorId="0E9A346B" wp14:editId="4CD9AF8F">
            <wp:extent cx="43815" cy="12319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17"/>
                    <a:stretch>
                      <a:fillRect/>
                    </a:stretch>
                  </pic:blipFill>
                  <pic:spPr bwMode="auto">
                    <a:xfrm>
                      <a:off x="0" y="0"/>
                      <a:ext cx="43815" cy="123190"/>
                    </a:xfrm>
                    <a:prstGeom prst="rect">
                      <a:avLst/>
                    </a:prstGeom>
                  </pic:spPr>
                </pic:pic>
              </a:graphicData>
            </a:graphic>
          </wp:inline>
        </w:drawing>
      </w:r>
      <w:r>
        <w:t xml:space="preserve">prognozēts likumā “Par valsts budžetu 2020. gadam”. Negatīvāka kopbudžeta bilance skaidrojama ar lielākiem subsīdiju un dotāciju izdevumiem un sociālajiem izdevumiem Covid-19 krīzes dēļ, kas pieauga par 444,3 un 362,0 miljoniem eiro attiecīgi. Negatīvās EKS korekcijas nedaudz uzlaboja 2020.gada konsolidētā kopbudžeta provizorisku rezultātu, bet kopumā bilance ir krietni pasliktinājusies krīzes dēļ. Tomēr, rezultāts bija labāks nekā tika prognozēts krīzes sākumā. Vispārējās valdības budžeta bilance 2020. gadā ir -1326,6 miljoni eiro, kas ir -4.5% no IKP. Budžeta bilances plānu un iznākumus 2020. un 2019. gadā skatīties tabulā zemāk. </w:t>
      </w:r>
    </w:p>
    <w:p w14:paraId="3CF67055" w14:textId="77777777" w:rsidR="00E50B37" w:rsidRDefault="00E50B37">
      <w:pPr>
        <w:pStyle w:val="FDPList1"/>
        <w:numPr>
          <w:ilvl w:val="0"/>
          <w:numId w:val="0"/>
        </w:numPr>
        <w:ind w:left="567" w:hanging="567"/>
      </w:pPr>
    </w:p>
    <w:p w14:paraId="55405268" w14:textId="77777777" w:rsidR="00E50B37" w:rsidRDefault="00E50B37">
      <w:pPr>
        <w:pStyle w:val="FDPList1"/>
        <w:numPr>
          <w:ilvl w:val="0"/>
          <w:numId w:val="0"/>
        </w:numPr>
        <w:ind w:left="567" w:hanging="567"/>
      </w:pPr>
    </w:p>
    <w:p w14:paraId="1FA63E58" w14:textId="77777777" w:rsidR="00E50B37" w:rsidRDefault="00E50B37">
      <w:pPr>
        <w:pStyle w:val="FDPList1"/>
        <w:numPr>
          <w:ilvl w:val="0"/>
          <w:numId w:val="0"/>
        </w:numPr>
        <w:ind w:left="567" w:hanging="567"/>
      </w:pPr>
    </w:p>
    <w:p w14:paraId="47B27249" w14:textId="58526920" w:rsidR="00E50B37" w:rsidRDefault="00E50B37">
      <w:pPr>
        <w:pStyle w:val="FDPList1"/>
        <w:numPr>
          <w:ilvl w:val="0"/>
          <w:numId w:val="0"/>
        </w:numPr>
        <w:ind w:left="567" w:hanging="567"/>
      </w:pPr>
    </w:p>
    <w:p w14:paraId="6C97E7AF" w14:textId="77777777" w:rsidR="00C766CF" w:rsidRDefault="00C766CF">
      <w:pPr>
        <w:pStyle w:val="FDPList1"/>
        <w:numPr>
          <w:ilvl w:val="0"/>
          <w:numId w:val="0"/>
        </w:numPr>
        <w:ind w:left="567" w:hanging="567"/>
      </w:pPr>
    </w:p>
    <w:p w14:paraId="23D73CD4" w14:textId="77777777" w:rsidR="00E50B37" w:rsidRDefault="00E50B37">
      <w:pPr>
        <w:pStyle w:val="FDPList1"/>
        <w:numPr>
          <w:ilvl w:val="0"/>
          <w:numId w:val="0"/>
        </w:numPr>
        <w:ind w:left="567" w:hanging="567"/>
      </w:pPr>
    </w:p>
    <w:p w14:paraId="1345507C" w14:textId="77777777" w:rsidR="00E50B37" w:rsidRDefault="00645276">
      <w:pPr>
        <w:pStyle w:val="FDPNosaukumsGrafikam"/>
      </w:pPr>
      <w:r>
        <w:lastRenderedPageBreak/>
        <w:t>3. tabula. Budžeta bilances plāni un iznākumi 2019.g.- 2020.g., milj. eiro.</w:t>
      </w:r>
    </w:p>
    <w:tbl>
      <w:tblPr>
        <w:tblStyle w:val="TableGrid2"/>
        <w:tblW w:w="9394" w:type="dxa"/>
        <w:jc w:val="center"/>
        <w:tblLayout w:type="fixed"/>
        <w:tblLook w:val="04A0" w:firstRow="1" w:lastRow="0" w:firstColumn="1" w:lastColumn="0" w:noHBand="0" w:noVBand="1"/>
      </w:tblPr>
      <w:tblGrid>
        <w:gridCol w:w="3917"/>
        <w:gridCol w:w="1214"/>
        <w:gridCol w:w="1412"/>
        <w:gridCol w:w="1424"/>
        <w:gridCol w:w="1427"/>
      </w:tblGrid>
      <w:tr w:rsidR="00E50B37" w14:paraId="7DB6869A" w14:textId="77777777">
        <w:trPr>
          <w:trHeight w:val="299"/>
          <w:jc w:val="center"/>
        </w:trPr>
        <w:tc>
          <w:tcPr>
            <w:tcW w:w="3917" w:type="dxa"/>
            <w:vMerge w:val="restart"/>
            <w:tcBorders>
              <w:top w:val="nil"/>
              <w:left w:val="nil"/>
              <w:right w:val="nil"/>
            </w:tcBorders>
            <w:shd w:val="clear" w:color="auto" w:fill="auto"/>
            <w:vAlign w:val="center"/>
          </w:tcPr>
          <w:p w14:paraId="652D52C0" w14:textId="77777777" w:rsidR="00E50B37" w:rsidRDefault="00645276">
            <w:pPr>
              <w:pStyle w:val="FDPTabulagalvina"/>
              <w:widowControl w:val="0"/>
              <w:jc w:val="center"/>
            </w:pPr>
            <w:r>
              <w:t>Bilance</w:t>
            </w:r>
          </w:p>
        </w:tc>
        <w:tc>
          <w:tcPr>
            <w:tcW w:w="2626" w:type="dxa"/>
            <w:gridSpan w:val="2"/>
            <w:tcBorders>
              <w:top w:val="nil"/>
              <w:left w:val="nil"/>
              <w:bottom w:val="nil"/>
            </w:tcBorders>
            <w:shd w:val="clear" w:color="auto" w:fill="auto"/>
            <w:vAlign w:val="center"/>
          </w:tcPr>
          <w:p w14:paraId="16CC8850" w14:textId="77777777" w:rsidR="00E50B37" w:rsidRDefault="00645276">
            <w:pPr>
              <w:pStyle w:val="FDPTabulagalvina"/>
              <w:widowControl w:val="0"/>
              <w:jc w:val="center"/>
            </w:pPr>
            <w:r>
              <w:t>2020</w:t>
            </w:r>
          </w:p>
        </w:tc>
        <w:tc>
          <w:tcPr>
            <w:tcW w:w="2851" w:type="dxa"/>
            <w:gridSpan w:val="2"/>
            <w:tcBorders>
              <w:top w:val="nil"/>
              <w:bottom w:val="nil"/>
              <w:right w:val="nil"/>
            </w:tcBorders>
            <w:shd w:val="clear" w:color="auto" w:fill="auto"/>
            <w:vAlign w:val="center"/>
          </w:tcPr>
          <w:p w14:paraId="3F962281" w14:textId="77777777" w:rsidR="00E50B37" w:rsidRDefault="00645276">
            <w:pPr>
              <w:pStyle w:val="FDPTabulagalvina"/>
              <w:widowControl w:val="0"/>
              <w:jc w:val="center"/>
            </w:pPr>
            <w:r>
              <w:t>2019</w:t>
            </w:r>
          </w:p>
        </w:tc>
      </w:tr>
      <w:tr w:rsidR="00E50B37" w14:paraId="4E394C3D" w14:textId="77777777">
        <w:trPr>
          <w:trHeight w:val="299"/>
          <w:jc w:val="center"/>
        </w:trPr>
        <w:tc>
          <w:tcPr>
            <w:tcW w:w="3917" w:type="dxa"/>
            <w:vMerge/>
          </w:tcPr>
          <w:p w14:paraId="5E56B6AF" w14:textId="77777777" w:rsidR="00E50B37" w:rsidRDefault="00E50B37">
            <w:pPr>
              <w:pStyle w:val="FDPTabulagalvina"/>
              <w:widowControl w:val="0"/>
              <w:rPr>
                <w:rFonts w:eastAsia="Times New Roman"/>
              </w:rPr>
            </w:pPr>
          </w:p>
        </w:tc>
        <w:tc>
          <w:tcPr>
            <w:tcW w:w="1214" w:type="dxa"/>
            <w:tcBorders>
              <w:top w:val="nil"/>
              <w:left w:val="nil"/>
              <w:bottom w:val="single" w:sz="18" w:space="0" w:color="9D2234"/>
              <w:right w:val="nil"/>
            </w:tcBorders>
            <w:shd w:val="clear" w:color="auto" w:fill="auto"/>
          </w:tcPr>
          <w:p w14:paraId="3FAB316A" w14:textId="77777777" w:rsidR="00E50B37" w:rsidRDefault="00645276">
            <w:pPr>
              <w:pStyle w:val="FDPTabulagalvina"/>
              <w:widowControl w:val="0"/>
              <w:jc w:val="center"/>
            </w:pPr>
            <w:r>
              <w:rPr>
                <w:rFonts w:cs="Times New Roman"/>
              </w:rPr>
              <w:t>Plāns</w:t>
            </w:r>
            <w:r>
              <w:rPr>
                <w:rStyle w:val="FootnoteAnchor"/>
                <w:rFonts w:eastAsia="Calibri" w:cs="Times New Roman"/>
                <w:b w:val="0"/>
                <w:bCs w:val="0"/>
                <w:color w:val="9D2234" w:themeColor="accent5"/>
              </w:rPr>
              <w:footnoteReference w:id="15"/>
            </w:r>
          </w:p>
        </w:tc>
        <w:tc>
          <w:tcPr>
            <w:tcW w:w="1412" w:type="dxa"/>
            <w:tcBorders>
              <w:top w:val="nil"/>
              <w:left w:val="nil"/>
              <w:bottom w:val="single" w:sz="18" w:space="0" w:color="9D2234"/>
            </w:tcBorders>
            <w:shd w:val="clear" w:color="auto" w:fill="auto"/>
            <w:vAlign w:val="center"/>
          </w:tcPr>
          <w:p w14:paraId="2593812E" w14:textId="77777777" w:rsidR="00E50B37" w:rsidRDefault="00645276">
            <w:pPr>
              <w:pStyle w:val="FDPTabulagalvina"/>
              <w:widowControl w:val="0"/>
              <w:jc w:val="center"/>
            </w:pPr>
            <w:r>
              <w:t>Iznākums</w:t>
            </w:r>
          </w:p>
        </w:tc>
        <w:tc>
          <w:tcPr>
            <w:tcW w:w="1424" w:type="dxa"/>
            <w:tcBorders>
              <w:top w:val="nil"/>
              <w:bottom w:val="single" w:sz="18" w:space="0" w:color="9D2234"/>
              <w:right w:val="nil"/>
            </w:tcBorders>
            <w:shd w:val="clear" w:color="auto" w:fill="auto"/>
            <w:vAlign w:val="center"/>
          </w:tcPr>
          <w:p w14:paraId="26CF9B1A" w14:textId="77777777" w:rsidR="00E50B37" w:rsidRDefault="00645276">
            <w:pPr>
              <w:pStyle w:val="FDPTabulagalvina"/>
              <w:widowControl w:val="0"/>
              <w:jc w:val="center"/>
            </w:pPr>
            <w:r>
              <w:t>Plāns</w:t>
            </w:r>
            <w:r>
              <w:rPr>
                <w:rStyle w:val="FootnoteAnchor"/>
              </w:rPr>
              <w:footnoteReference w:id="16"/>
            </w:r>
          </w:p>
        </w:tc>
        <w:tc>
          <w:tcPr>
            <w:tcW w:w="1427" w:type="dxa"/>
            <w:tcBorders>
              <w:top w:val="nil"/>
              <w:left w:val="nil"/>
              <w:bottom w:val="single" w:sz="18" w:space="0" w:color="9D2234"/>
              <w:right w:val="nil"/>
            </w:tcBorders>
            <w:vAlign w:val="center"/>
          </w:tcPr>
          <w:p w14:paraId="057E02AD" w14:textId="77777777" w:rsidR="00E50B37" w:rsidRDefault="00645276">
            <w:pPr>
              <w:pStyle w:val="FDPTabulagalvina"/>
              <w:widowControl w:val="0"/>
              <w:jc w:val="center"/>
            </w:pPr>
            <w:r>
              <w:t>Iznākums</w:t>
            </w:r>
          </w:p>
        </w:tc>
      </w:tr>
      <w:tr w:rsidR="00E50B37" w14:paraId="16B22D77" w14:textId="77777777">
        <w:trPr>
          <w:trHeight w:val="299"/>
          <w:jc w:val="center"/>
        </w:trPr>
        <w:tc>
          <w:tcPr>
            <w:tcW w:w="3917" w:type="dxa"/>
            <w:tcBorders>
              <w:top w:val="single" w:sz="18" w:space="0" w:color="9D2234"/>
              <w:left w:val="nil"/>
              <w:bottom w:val="nil"/>
              <w:right w:val="nil"/>
            </w:tcBorders>
            <w:shd w:val="clear" w:color="auto" w:fill="auto"/>
          </w:tcPr>
          <w:p w14:paraId="072E8C24" w14:textId="77777777" w:rsidR="00E50B37" w:rsidRDefault="00645276">
            <w:pPr>
              <w:widowControl w:val="0"/>
              <w:spacing w:after="0" w:line="240" w:lineRule="auto"/>
              <w:rPr>
                <w:rFonts w:eastAsia="Calibri" w:cs="Calibri"/>
                <w:b/>
                <w:color w:val="auto"/>
                <w:sz w:val="18"/>
                <w:szCs w:val="18"/>
              </w:rPr>
            </w:pPr>
            <w:r>
              <w:rPr>
                <w:rFonts w:eastAsia="Calibri" w:cs="Calibri"/>
                <w:b/>
                <w:color w:val="auto"/>
                <w:sz w:val="18"/>
                <w:szCs w:val="18"/>
              </w:rPr>
              <w:t>Vispārējās valdības budžeta bilance</w:t>
            </w:r>
          </w:p>
        </w:tc>
        <w:tc>
          <w:tcPr>
            <w:tcW w:w="1214" w:type="dxa"/>
            <w:tcBorders>
              <w:top w:val="single" w:sz="18" w:space="0" w:color="9D2234"/>
              <w:left w:val="nil"/>
              <w:bottom w:val="nil"/>
              <w:right w:val="nil"/>
            </w:tcBorders>
            <w:shd w:val="clear" w:color="auto" w:fill="auto"/>
            <w:vAlign w:val="center"/>
          </w:tcPr>
          <w:p w14:paraId="1FC2FB99" w14:textId="77777777" w:rsidR="00E50B37" w:rsidRDefault="00645276">
            <w:pPr>
              <w:widowControl w:val="0"/>
              <w:spacing w:after="0" w:line="240" w:lineRule="auto"/>
              <w:jc w:val="right"/>
              <w:rPr>
                <w:rFonts w:eastAsia="Calibri" w:cs="Calibri"/>
                <w:b/>
                <w:color w:val="auto"/>
                <w:sz w:val="18"/>
                <w:szCs w:val="18"/>
              </w:rPr>
            </w:pPr>
            <w:r>
              <w:rPr>
                <w:rFonts w:eastAsia="Calibri" w:cs="Calibri"/>
                <w:b/>
                <w:color w:val="auto"/>
                <w:sz w:val="18"/>
                <w:szCs w:val="18"/>
              </w:rPr>
              <w:t>-111,3</w:t>
            </w:r>
          </w:p>
        </w:tc>
        <w:tc>
          <w:tcPr>
            <w:tcW w:w="1412" w:type="dxa"/>
            <w:tcBorders>
              <w:top w:val="single" w:sz="18" w:space="0" w:color="9D2234"/>
              <w:left w:val="nil"/>
              <w:bottom w:val="nil"/>
            </w:tcBorders>
            <w:shd w:val="clear" w:color="auto" w:fill="auto"/>
            <w:vAlign w:val="center"/>
          </w:tcPr>
          <w:p w14:paraId="163AF11B" w14:textId="77777777" w:rsidR="00E50B37" w:rsidRDefault="00645276">
            <w:pPr>
              <w:widowControl w:val="0"/>
              <w:spacing w:after="0" w:line="240" w:lineRule="auto"/>
              <w:jc w:val="right"/>
              <w:rPr>
                <w:rFonts w:eastAsia="Calibri" w:cs="Calibri"/>
                <w:b/>
                <w:color w:val="auto"/>
                <w:sz w:val="18"/>
                <w:szCs w:val="18"/>
              </w:rPr>
            </w:pPr>
            <w:r>
              <w:rPr>
                <w:rFonts w:eastAsia="Calibri" w:cs="Calibri"/>
                <w:b/>
                <w:color w:val="auto"/>
                <w:sz w:val="18"/>
                <w:szCs w:val="18"/>
              </w:rPr>
              <w:t>-1326,6</w:t>
            </w:r>
          </w:p>
        </w:tc>
        <w:tc>
          <w:tcPr>
            <w:tcW w:w="1424" w:type="dxa"/>
            <w:tcBorders>
              <w:top w:val="single" w:sz="18" w:space="0" w:color="9D2234"/>
              <w:bottom w:val="nil"/>
              <w:right w:val="nil"/>
            </w:tcBorders>
            <w:shd w:val="clear" w:color="auto" w:fill="auto"/>
            <w:vAlign w:val="center"/>
          </w:tcPr>
          <w:p w14:paraId="6E404816" w14:textId="77777777" w:rsidR="00E50B37" w:rsidRDefault="00645276">
            <w:pPr>
              <w:widowControl w:val="0"/>
              <w:spacing w:after="0" w:line="240" w:lineRule="auto"/>
              <w:jc w:val="right"/>
              <w:rPr>
                <w:rFonts w:eastAsia="Calibri" w:cs="Calibri"/>
                <w:b/>
                <w:color w:val="auto"/>
                <w:sz w:val="18"/>
                <w:szCs w:val="18"/>
              </w:rPr>
            </w:pPr>
            <w:r>
              <w:rPr>
                <w:rFonts w:eastAsia="Calibri" w:cs="Calibri"/>
                <w:b/>
                <w:color w:val="auto"/>
                <w:sz w:val="18"/>
                <w:szCs w:val="18"/>
              </w:rPr>
              <w:t>-168.6</w:t>
            </w:r>
          </w:p>
        </w:tc>
        <w:tc>
          <w:tcPr>
            <w:tcW w:w="1427" w:type="dxa"/>
            <w:tcBorders>
              <w:top w:val="single" w:sz="18" w:space="0" w:color="9D2234"/>
              <w:left w:val="nil"/>
              <w:bottom w:val="nil"/>
              <w:right w:val="nil"/>
            </w:tcBorders>
            <w:vAlign w:val="center"/>
          </w:tcPr>
          <w:p w14:paraId="331A656F" w14:textId="77777777" w:rsidR="00E50B37" w:rsidRDefault="00645276">
            <w:pPr>
              <w:widowControl w:val="0"/>
              <w:spacing w:after="0" w:line="240" w:lineRule="auto"/>
              <w:jc w:val="right"/>
              <w:rPr>
                <w:rFonts w:eastAsia="Calibri" w:cs="Calibri"/>
                <w:b/>
                <w:color w:val="auto"/>
                <w:sz w:val="18"/>
                <w:szCs w:val="18"/>
              </w:rPr>
            </w:pPr>
            <w:r>
              <w:rPr>
                <w:rFonts w:eastAsia="Calibri" w:cs="Calibri"/>
                <w:b/>
                <w:color w:val="auto"/>
                <w:sz w:val="18"/>
                <w:szCs w:val="18"/>
              </w:rPr>
              <w:t>-63.2</w:t>
            </w:r>
          </w:p>
        </w:tc>
      </w:tr>
      <w:tr w:rsidR="00E50B37" w14:paraId="031091F8" w14:textId="77777777">
        <w:trPr>
          <w:trHeight w:val="299"/>
          <w:jc w:val="center"/>
        </w:trPr>
        <w:tc>
          <w:tcPr>
            <w:tcW w:w="3917" w:type="dxa"/>
            <w:tcBorders>
              <w:top w:val="nil"/>
              <w:left w:val="nil"/>
              <w:bottom w:val="nil"/>
              <w:right w:val="nil"/>
            </w:tcBorders>
            <w:shd w:val="clear" w:color="auto" w:fill="auto"/>
          </w:tcPr>
          <w:p w14:paraId="4C86F569" w14:textId="77777777" w:rsidR="00E50B37" w:rsidRDefault="00645276">
            <w:pPr>
              <w:widowControl w:val="0"/>
              <w:spacing w:after="0" w:line="240" w:lineRule="auto"/>
              <w:ind w:left="179"/>
              <w:rPr>
                <w:rFonts w:eastAsia="Calibri" w:cs="Calibri"/>
                <w:color w:val="auto"/>
                <w:sz w:val="18"/>
                <w:szCs w:val="18"/>
              </w:rPr>
            </w:pPr>
            <w:r>
              <w:rPr>
                <w:rFonts w:eastAsia="Calibri" w:cs="Times New Roman"/>
                <w:color w:val="auto"/>
                <w:sz w:val="18"/>
                <w:szCs w:val="18"/>
              </w:rPr>
              <w:t>EKS2010</w:t>
            </w:r>
            <w:r>
              <w:rPr>
                <w:rStyle w:val="FootnoteAnchor"/>
                <w:rFonts w:eastAsia="Calibri" w:cs="Times New Roman"/>
                <w:color w:val="auto"/>
                <w:sz w:val="18"/>
                <w:szCs w:val="18"/>
              </w:rPr>
              <w:footnoteReference w:id="17"/>
            </w:r>
            <w:r>
              <w:rPr>
                <w:rFonts w:eastAsia="Calibri" w:cs="Times New Roman"/>
                <w:color w:val="auto"/>
                <w:sz w:val="18"/>
                <w:szCs w:val="18"/>
              </w:rPr>
              <w:t xml:space="preserve"> korekcijas</w:t>
            </w:r>
          </w:p>
        </w:tc>
        <w:tc>
          <w:tcPr>
            <w:tcW w:w="1214" w:type="dxa"/>
            <w:tcBorders>
              <w:top w:val="nil"/>
              <w:left w:val="nil"/>
              <w:bottom w:val="nil"/>
              <w:right w:val="nil"/>
            </w:tcBorders>
            <w:shd w:val="clear" w:color="auto" w:fill="auto"/>
            <w:vAlign w:val="center"/>
          </w:tcPr>
          <w:p w14:paraId="7081AC69"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73,1</w:t>
            </w:r>
          </w:p>
        </w:tc>
        <w:tc>
          <w:tcPr>
            <w:tcW w:w="1412" w:type="dxa"/>
            <w:tcBorders>
              <w:top w:val="nil"/>
              <w:left w:val="nil"/>
              <w:bottom w:val="nil"/>
            </w:tcBorders>
            <w:shd w:val="clear" w:color="auto" w:fill="auto"/>
            <w:vAlign w:val="center"/>
          </w:tcPr>
          <w:p w14:paraId="39C02E3B"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-177,6</w:t>
            </w:r>
          </w:p>
        </w:tc>
        <w:tc>
          <w:tcPr>
            <w:tcW w:w="1424" w:type="dxa"/>
            <w:tcBorders>
              <w:top w:val="nil"/>
              <w:bottom w:val="nil"/>
              <w:right w:val="nil"/>
            </w:tcBorders>
            <w:shd w:val="clear" w:color="auto" w:fill="auto"/>
            <w:vAlign w:val="center"/>
          </w:tcPr>
          <w:p w14:paraId="1CBA7177"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103.1</w:t>
            </w:r>
          </w:p>
        </w:tc>
        <w:tc>
          <w:tcPr>
            <w:tcW w:w="1427" w:type="dxa"/>
            <w:tcBorders>
              <w:top w:val="nil"/>
              <w:left w:val="nil"/>
              <w:bottom w:val="nil"/>
              <w:right w:val="nil"/>
            </w:tcBorders>
            <w:vAlign w:val="center"/>
          </w:tcPr>
          <w:p w14:paraId="379FA884"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54.4</w:t>
            </w:r>
          </w:p>
        </w:tc>
      </w:tr>
      <w:tr w:rsidR="00E50B37" w14:paraId="0D9D0A35" w14:textId="77777777">
        <w:trPr>
          <w:trHeight w:val="299"/>
          <w:jc w:val="center"/>
        </w:trPr>
        <w:tc>
          <w:tcPr>
            <w:tcW w:w="3917" w:type="dxa"/>
            <w:tcBorders>
              <w:top w:val="nil"/>
              <w:left w:val="nil"/>
              <w:bottom w:val="nil"/>
              <w:right w:val="nil"/>
            </w:tcBorders>
            <w:shd w:val="clear" w:color="auto" w:fill="auto"/>
          </w:tcPr>
          <w:p w14:paraId="2DBC8B8C" w14:textId="77777777" w:rsidR="00E50B37" w:rsidRDefault="00645276">
            <w:pPr>
              <w:widowControl w:val="0"/>
              <w:spacing w:after="0" w:line="240" w:lineRule="auto"/>
              <w:rPr>
                <w:rFonts w:eastAsia="Calibri" w:cs="Calibri"/>
                <w:b/>
                <w:color w:val="auto"/>
                <w:sz w:val="18"/>
                <w:szCs w:val="18"/>
              </w:rPr>
            </w:pPr>
            <w:r>
              <w:rPr>
                <w:rFonts w:eastAsia="Calibri" w:cs="Calibri"/>
                <w:b/>
                <w:color w:val="auto"/>
                <w:sz w:val="18"/>
                <w:szCs w:val="18"/>
              </w:rPr>
              <w:t>Valsts konsolidētais kopbudžets</w:t>
            </w:r>
          </w:p>
        </w:tc>
        <w:tc>
          <w:tcPr>
            <w:tcW w:w="1214" w:type="dxa"/>
            <w:tcBorders>
              <w:top w:val="nil"/>
              <w:left w:val="nil"/>
              <w:bottom w:val="nil"/>
              <w:right w:val="nil"/>
            </w:tcBorders>
            <w:shd w:val="clear" w:color="auto" w:fill="auto"/>
            <w:vAlign w:val="center"/>
          </w:tcPr>
          <w:p w14:paraId="35423308" w14:textId="77777777" w:rsidR="00E50B37" w:rsidRDefault="00645276">
            <w:pPr>
              <w:widowControl w:val="0"/>
              <w:spacing w:after="0" w:line="240" w:lineRule="auto"/>
              <w:jc w:val="right"/>
              <w:rPr>
                <w:rFonts w:eastAsia="Calibri" w:cs="Calibri"/>
                <w:b/>
                <w:color w:val="auto"/>
                <w:sz w:val="18"/>
                <w:szCs w:val="18"/>
              </w:rPr>
            </w:pPr>
            <w:r>
              <w:rPr>
                <w:rFonts w:eastAsia="Calibri" w:cs="Calibri"/>
                <w:b/>
                <w:color w:val="auto"/>
                <w:sz w:val="18"/>
                <w:szCs w:val="18"/>
              </w:rPr>
              <w:t>-184,4</w:t>
            </w:r>
          </w:p>
        </w:tc>
        <w:tc>
          <w:tcPr>
            <w:tcW w:w="1412" w:type="dxa"/>
            <w:tcBorders>
              <w:top w:val="nil"/>
              <w:left w:val="nil"/>
              <w:bottom w:val="nil"/>
            </w:tcBorders>
            <w:shd w:val="clear" w:color="auto" w:fill="auto"/>
            <w:vAlign w:val="center"/>
          </w:tcPr>
          <w:p w14:paraId="47AC9B17" w14:textId="77777777" w:rsidR="00E50B37" w:rsidRDefault="00645276">
            <w:pPr>
              <w:widowControl w:val="0"/>
              <w:spacing w:after="0" w:line="240" w:lineRule="auto"/>
              <w:jc w:val="right"/>
              <w:rPr>
                <w:rFonts w:eastAsia="Calibri" w:cs="Calibri"/>
                <w:b/>
                <w:color w:val="auto"/>
                <w:sz w:val="18"/>
                <w:szCs w:val="18"/>
              </w:rPr>
            </w:pPr>
            <w:r>
              <w:rPr>
                <w:rFonts w:eastAsia="Calibri" w:cs="Calibri"/>
                <w:b/>
                <w:color w:val="auto"/>
                <w:sz w:val="18"/>
                <w:szCs w:val="18"/>
              </w:rPr>
              <w:t>-1148,9</w:t>
            </w:r>
          </w:p>
        </w:tc>
        <w:tc>
          <w:tcPr>
            <w:tcW w:w="1424" w:type="dxa"/>
            <w:tcBorders>
              <w:top w:val="nil"/>
              <w:bottom w:val="nil"/>
              <w:right w:val="nil"/>
            </w:tcBorders>
            <w:shd w:val="clear" w:color="auto" w:fill="auto"/>
            <w:vAlign w:val="center"/>
          </w:tcPr>
          <w:p w14:paraId="43C68B62" w14:textId="77777777" w:rsidR="00E50B37" w:rsidRDefault="00645276">
            <w:pPr>
              <w:widowControl w:val="0"/>
              <w:spacing w:after="0" w:line="240" w:lineRule="auto"/>
              <w:jc w:val="right"/>
              <w:rPr>
                <w:rFonts w:eastAsia="Calibri" w:cs="Calibri"/>
                <w:b/>
                <w:color w:val="auto"/>
                <w:sz w:val="18"/>
                <w:szCs w:val="18"/>
              </w:rPr>
            </w:pPr>
            <w:r>
              <w:rPr>
                <w:rFonts w:eastAsia="Calibri" w:cs="Calibri"/>
                <w:b/>
                <w:color w:val="auto"/>
                <w:sz w:val="18"/>
                <w:szCs w:val="18"/>
              </w:rPr>
              <w:t>-271.7</w:t>
            </w:r>
          </w:p>
        </w:tc>
        <w:tc>
          <w:tcPr>
            <w:tcW w:w="1427" w:type="dxa"/>
            <w:tcBorders>
              <w:top w:val="nil"/>
              <w:left w:val="nil"/>
              <w:bottom w:val="nil"/>
              <w:right w:val="nil"/>
            </w:tcBorders>
            <w:vAlign w:val="center"/>
          </w:tcPr>
          <w:p w14:paraId="32DE1A20" w14:textId="77777777" w:rsidR="00E50B37" w:rsidRDefault="00645276">
            <w:pPr>
              <w:widowControl w:val="0"/>
              <w:spacing w:after="0" w:line="240" w:lineRule="auto"/>
              <w:jc w:val="right"/>
              <w:rPr>
                <w:rFonts w:eastAsia="Calibri" w:cs="Calibri"/>
                <w:b/>
                <w:color w:val="auto"/>
                <w:sz w:val="18"/>
                <w:szCs w:val="18"/>
              </w:rPr>
            </w:pPr>
            <w:r>
              <w:rPr>
                <w:rFonts w:eastAsia="Calibri" w:cs="Calibri"/>
                <w:b/>
                <w:color w:val="auto"/>
                <w:sz w:val="18"/>
                <w:szCs w:val="18"/>
              </w:rPr>
              <w:t>-117.6</w:t>
            </w:r>
          </w:p>
        </w:tc>
      </w:tr>
      <w:tr w:rsidR="00E50B37" w14:paraId="0EBAE746" w14:textId="77777777">
        <w:trPr>
          <w:trHeight w:val="299"/>
          <w:jc w:val="center"/>
        </w:trPr>
        <w:tc>
          <w:tcPr>
            <w:tcW w:w="3917" w:type="dxa"/>
            <w:tcBorders>
              <w:top w:val="nil"/>
              <w:left w:val="nil"/>
              <w:bottom w:val="nil"/>
              <w:right w:val="nil"/>
            </w:tcBorders>
            <w:shd w:val="clear" w:color="auto" w:fill="auto"/>
          </w:tcPr>
          <w:p w14:paraId="5C9D38CB" w14:textId="77777777" w:rsidR="00E50B37" w:rsidRDefault="00645276">
            <w:pPr>
              <w:widowControl w:val="0"/>
              <w:spacing w:after="0" w:line="240" w:lineRule="auto"/>
              <w:rPr>
                <w:rFonts w:eastAsia="Calibri" w:cs="Calibri"/>
                <w:color w:val="auto"/>
                <w:sz w:val="18"/>
                <w:szCs w:val="18"/>
              </w:rPr>
            </w:pPr>
            <w:r>
              <w:rPr>
                <w:rFonts w:eastAsia="Calibri" w:cs="Calibri"/>
                <w:color w:val="auto"/>
                <w:sz w:val="18"/>
                <w:szCs w:val="18"/>
              </w:rPr>
              <w:t xml:space="preserve">     Valsts pamatbudžets</w:t>
            </w:r>
          </w:p>
        </w:tc>
        <w:tc>
          <w:tcPr>
            <w:tcW w:w="1214" w:type="dxa"/>
            <w:tcBorders>
              <w:top w:val="nil"/>
              <w:left w:val="nil"/>
              <w:bottom w:val="nil"/>
              <w:right w:val="nil"/>
            </w:tcBorders>
            <w:shd w:val="clear" w:color="auto" w:fill="auto"/>
            <w:vAlign w:val="center"/>
          </w:tcPr>
          <w:p w14:paraId="16989DAA"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-342,0</w:t>
            </w:r>
          </w:p>
        </w:tc>
        <w:tc>
          <w:tcPr>
            <w:tcW w:w="1412" w:type="dxa"/>
            <w:tcBorders>
              <w:top w:val="nil"/>
              <w:left w:val="nil"/>
              <w:bottom w:val="nil"/>
            </w:tcBorders>
            <w:shd w:val="clear" w:color="auto" w:fill="auto"/>
            <w:vAlign w:val="center"/>
          </w:tcPr>
          <w:p w14:paraId="77E53508"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-1242,0</w:t>
            </w:r>
          </w:p>
        </w:tc>
        <w:tc>
          <w:tcPr>
            <w:tcW w:w="1424" w:type="dxa"/>
            <w:tcBorders>
              <w:top w:val="nil"/>
              <w:bottom w:val="nil"/>
              <w:right w:val="nil"/>
            </w:tcBorders>
            <w:shd w:val="clear" w:color="auto" w:fill="auto"/>
            <w:vAlign w:val="center"/>
          </w:tcPr>
          <w:p w14:paraId="2F306F8A"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-438.3</w:t>
            </w:r>
          </w:p>
        </w:tc>
        <w:tc>
          <w:tcPr>
            <w:tcW w:w="1427" w:type="dxa"/>
            <w:tcBorders>
              <w:top w:val="nil"/>
              <w:left w:val="nil"/>
              <w:bottom w:val="nil"/>
              <w:right w:val="nil"/>
            </w:tcBorders>
            <w:vAlign w:val="center"/>
          </w:tcPr>
          <w:p w14:paraId="7033CFE1"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-485.0</w:t>
            </w:r>
          </w:p>
        </w:tc>
      </w:tr>
      <w:tr w:rsidR="00E50B37" w14:paraId="18008807" w14:textId="77777777">
        <w:trPr>
          <w:trHeight w:val="299"/>
          <w:jc w:val="center"/>
        </w:trPr>
        <w:tc>
          <w:tcPr>
            <w:tcW w:w="3917" w:type="dxa"/>
            <w:tcBorders>
              <w:top w:val="nil"/>
              <w:left w:val="nil"/>
              <w:bottom w:val="nil"/>
              <w:right w:val="nil"/>
            </w:tcBorders>
            <w:shd w:val="clear" w:color="auto" w:fill="auto"/>
          </w:tcPr>
          <w:p w14:paraId="334717B6" w14:textId="77777777" w:rsidR="00E50B37" w:rsidRDefault="00645276">
            <w:pPr>
              <w:widowControl w:val="0"/>
              <w:spacing w:after="0" w:line="240" w:lineRule="auto"/>
              <w:rPr>
                <w:rFonts w:eastAsia="Calibri" w:cs="Calibri"/>
                <w:color w:val="auto"/>
                <w:sz w:val="18"/>
                <w:szCs w:val="18"/>
              </w:rPr>
            </w:pPr>
            <w:r>
              <w:rPr>
                <w:rFonts w:eastAsia="Calibri" w:cs="Calibri"/>
                <w:color w:val="auto"/>
                <w:sz w:val="18"/>
                <w:szCs w:val="18"/>
              </w:rPr>
              <w:t xml:space="preserve">     Valsts speciālais budžets</w:t>
            </w:r>
          </w:p>
        </w:tc>
        <w:tc>
          <w:tcPr>
            <w:tcW w:w="1214" w:type="dxa"/>
            <w:tcBorders>
              <w:top w:val="nil"/>
              <w:left w:val="nil"/>
              <w:bottom w:val="nil"/>
              <w:right w:val="nil"/>
            </w:tcBorders>
            <w:shd w:val="clear" w:color="auto" w:fill="auto"/>
            <w:vAlign w:val="center"/>
          </w:tcPr>
          <w:p w14:paraId="49656C32"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234,5</w:t>
            </w:r>
          </w:p>
        </w:tc>
        <w:tc>
          <w:tcPr>
            <w:tcW w:w="1412" w:type="dxa"/>
            <w:tcBorders>
              <w:top w:val="nil"/>
              <w:left w:val="nil"/>
              <w:bottom w:val="nil"/>
            </w:tcBorders>
            <w:shd w:val="clear" w:color="auto" w:fill="auto"/>
            <w:vAlign w:val="center"/>
          </w:tcPr>
          <w:p w14:paraId="52F49427"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114,9</w:t>
            </w:r>
          </w:p>
        </w:tc>
        <w:tc>
          <w:tcPr>
            <w:tcW w:w="1424" w:type="dxa"/>
            <w:tcBorders>
              <w:top w:val="nil"/>
              <w:bottom w:val="nil"/>
              <w:right w:val="nil"/>
            </w:tcBorders>
            <w:shd w:val="clear" w:color="auto" w:fill="auto"/>
            <w:vAlign w:val="center"/>
          </w:tcPr>
          <w:p w14:paraId="0BE47BC8"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223.8</w:t>
            </w:r>
          </w:p>
        </w:tc>
        <w:tc>
          <w:tcPr>
            <w:tcW w:w="1427" w:type="dxa"/>
            <w:tcBorders>
              <w:top w:val="nil"/>
              <w:left w:val="nil"/>
              <w:bottom w:val="nil"/>
              <w:right w:val="nil"/>
            </w:tcBorders>
            <w:vAlign w:val="center"/>
          </w:tcPr>
          <w:p w14:paraId="576D5270"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299.6</w:t>
            </w:r>
          </w:p>
        </w:tc>
      </w:tr>
      <w:tr w:rsidR="00E50B37" w14:paraId="44EDCA1D" w14:textId="77777777">
        <w:trPr>
          <w:trHeight w:val="299"/>
          <w:jc w:val="center"/>
        </w:trPr>
        <w:tc>
          <w:tcPr>
            <w:tcW w:w="3917" w:type="dxa"/>
            <w:tcBorders>
              <w:top w:val="nil"/>
              <w:left w:val="nil"/>
              <w:bottom w:val="nil"/>
              <w:right w:val="nil"/>
            </w:tcBorders>
            <w:shd w:val="clear" w:color="auto" w:fill="auto"/>
          </w:tcPr>
          <w:p w14:paraId="676F3940" w14:textId="77777777" w:rsidR="00E50B37" w:rsidRDefault="00645276">
            <w:pPr>
              <w:widowControl w:val="0"/>
              <w:spacing w:after="0" w:line="240" w:lineRule="auto"/>
              <w:rPr>
                <w:rFonts w:eastAsia="Calibri" w:cs="Calibri"/>
                <w:color w:val="auto"/>
                <w:sz w:val="18"/>
                <w:szCs w:val="18"/>
              </w:rPr>
            </w:pPr>
            <w:r>
              <w:rPr>
                <w:rFonts w:eastAsia="Calibri" w:cs="Calibri"/>
                <w:color w:val="auto"/>
                <w:sz w:val="18"/>
                <w:szCs w:val="18"/>
              </w:rPr>
              <w:t xml:space="preserve">     Pašvaldību budžeti</w:t>
            </w:r>
          </w:p>
        </w:tc>
        <w:tc>
          <w:tcPr>
            <w:tcW w:w="1214" w:type="dxa"/>
            <w:tcBorders>
              <w:top w:val="nil"/>
              <w:left w:val="nil"/>
              <w:bottom w:val="nil"/>
              <w:right w:val="nil"/>
            </w:tcBorders>
            <w:shd w:val="clear" w:color="auto" w:fill="auto"/>
            <w:vAlign w:val="center"/>
          </w:tcPr>
          <w:p w14:paraId="30F43BBF"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-78,6</w:t>
            </w:r>
          </w:p>
        </w:tc>
        <w:tc>
          <w:tcPr>
            <w:tcW w:w="1412" w:type="dxa"/>
            <w:tcBorders>
              <w:top w:val="nil"/>
              <w:left w:val="nil"/>
              <w:bottom w:val="nil"/>
            </w:tcBorders>
            <w:shd w:val="clear" w:color="auto" w:fill="auto"/>
            <w:vAlign w:val="center"/>
          </w:tcPr>
          <w:p w14:paraId="24A4CCA7"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-39,4</w:t>
            </w:r>
          </w:p>
        </w:tc>
        <w:tc>
          <w:tcPr>
            <w:tcW w:w="1424" w:type="dxa"/>
            <w:tcBorders>
              <w:top w:val="nil"/>
              <w:bottom w:val="nil"/>
              <w:right w:val="nil"/>
            </w:tcBorders>
            <w:shd w:val="clear" w:color="auto" w:fill="auto"/>
            <w:vAlign w:val="center"/>
          </w:tcPr>
          <w:p w14:paraId="614BFA55"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-61.4</w:t>
            </w:r>
          </w:p>
        </w:tc>
        <w:tc>
          <w:tcPr>
            <w:tcW w:w="1427" w:type="dxa"/>
            <w:tcBorders>
              <w:top w:val="nil"/>
              <w:left w:val="nil"/>
              <w:bottom w:val="nil"/>
              <w:right w:val="nil"/>
            </w:tcBorders>
            <w:vAlign w:val="center"/>
          </w:tcPr>
          <w:p w14:paraId="3ACF7CA6"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50.1</w:t>
            </w:r>
          </w:p>
        </w:tc>
      </w:tr>
      <w:tr w:rsidR="00E50B37" w14:paraId="0726DA74" w14:textId="77777777">
        <w:trPr>
          <w:trHeight w:val="299"/>
          <w:jc w:val="center"/>
        </w:trPr>
        <w:tc>
          <w:tcPr>
            <w:tcW w:w="3917" w:type="dxa"/>
            <w:tcBorders>
              <w:top w:val="nil"/>
              <w:left w:val="nil"/>
              <w:bottom w:val="single" w:sz="8" w:space="0" w:color="9D2234"/>
              <w:right w:val="nil"/>
            </w:tcBorders>
            <w:shd w:val="clear" w:color="auto" w:fill="auto"/>
          </w:tcPr>
          <w:p w14:paraId="716FA442" w14:textId="77777777" w:rsidR="00E50B37" w:rsidRDefault="00645276">
            <w:pPr>
              <w:widowControl w:val="0"/>
              <w:spacing w:after="0" w:line="240" w:lineRule="auto"/>
              <w:rPr>
                <w:rFonts w:eastAsia="Calibri" w:cs="Calibri"/>
                <w:color w:val="auto"/>
                <w:sz w:val="18"/>
                <w:szCs w:val="18"/>
              </w:rPr>
            </w:pPr>
            <w:r>
              <w:rPr>
                <w:rFonts w:eastAsia="Calibri" w:cs="Calibri"/>
                <w:color w:val="auto"/>
                <w:sz w:val="18"/>
                <w:szCs w:val="18"/>
              </w:rPr>
              <w:t xml:space="preserve">     Atvasināto publisko personu budžets</w:t>
            </w:r>
          </w:p>
        </w:tc>
        <w:tc>
          <w:tcPr>
            <w:tcW w:w="1214" w:type="dxa"/>
            <w:tcBorders>
              <w:top w:val="nil"/>
              <w:left w:val="nil"/>
              <w:bottom w:val="single" w:sz="8" w:space="0" w:color="9D2234"/>
              <w:right w:val="nil"/>
            </w:tcBorders>
            <w:shd w:val="clear" w:color="auto" w:fill="auto"/>
            <w:vAlign w:val="center"/>
          </w:tcPr>
          <w:p w14:paraId="62FD5D21"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1,7</w:t>
            </w:r>
          </w:p>
        </w:tc>
        <w:tc>
          <w:tcPr>
            <w:tcW w:w="1412" w:type="dxa"/>
            <w:tcBorders>
              <w:top w:val="nil"/>
              <w:left w:val="nil"/>
              <w:bottom w:val="single" w:sz="8" w:space="0" w:color="9D2234"/>
            </w:tcBorders>
            <w:shd w:val="clear" w:color="auto" w:fill="auto"/>
            <w:vAlign w:val="center"/>
          </w:tcPr>
          <w:p w14:paraId="2CEA9D39"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17,3</w:t>
            </w:r>
          </w:p>
        </w:tc>
        <w:tc>
          <w:tcPr>
            <w:tcW w:w="1424" w:type="dxa"/>
            <w:tcBorders>
              <w:top w:val="nil"/>
              <w:bottom w:val="single" w:sz="8" w:space="0" w:color="9D2234"/>
              <w:right w:val="nil"/>
            </w:tcBorders>
            <w:shd w:val="clear" w:color="auto" w:fill="auto"/>
            <w:vAlign w:val="center"/>
          </w:tcPr>
          <w:p w14:paraId="3F9E4C34"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4.2</w:t>
            </w:r>
          </w:p>
        </w:tc>
        <w:tc>
          <w:tcPr>
            <w:tcW w:w="1427" w:type="dxa"/>
            <w:tcBorders>
              <w:top w:val="nil"/>
              <w:left w:val="nil"/>
              <w:bottom w:val="single" w:sz="8" w:space="0" w:color="9D2234"/>
              <w:right w:val="nil"/>
            </w:tcBorders>
            <w:vAlign w:val="center"/>
          </w:tcPr>
          <w:p w14:paraId="36DE3F15" w14:textId="77777777" w:rsidR="00E50B37" w:rsidRDefault="00645276">
            <w:pPr>
              <w:widowControl w:val="0"/>
              <w:spacing w:after="0" w:line="240" w:lineRule="auto"/>
              <w:jc w:val="right"/>
              <w:rPr>
                <w:rFonts w:eastAsia="Calibri" w:cs="Calibri"/>
                <w:color w:val="auto"/>
                <w:sz w:val="18"/>
                <w:szCs w:val="18"/>
              </w:rPr>
            </w:pPr>
            <w:r>
              <w:rPr>
                <w:rFonts w:eastAsia="Calibri" w:cs="Calibri"/>
                <w:color w:val="auto"/>
                <w:sz w:val="18"/>
                <w:szCs w:val="18"/>
              </w:rPr>
              <w:t>17.9</w:t>
            </w:r>
          </w:p>
        </w:tc>
      </w:tr>
    </w:tbl>
    <w:p w14:paraId="7897551A" w14:textId="77777777" w:rsidR="00E50B37" w:rsidRDefault="00645276">
      <w:pPr>
        <w:pStyle w:val="FDPTabulasumma"/>
      </w:pPr>
      <w:r>
        <w:t>Avots: Finanšu Ministrija</w:t>
      </w:r>
    </w:p>
    <w:p w14:paraId="60A8B2CA" w14:textId="77777777" w:rsidR="00E50B37" w:rsidRDefault="00E50B37">
      <w:pPr>
        <w:pStyle w:val="FDPList1"/>
        <w:numPr>
          <w:ilvl w:val="0"/>
          <w:numId w:val="0"/>
        </w:numPr>
        <w:ind w:left="567"/>
      </w:pPr>
    </w:p>
    <w:p w14:paraId="42DFE266" w14:textId="7514EEF0" w:rsidR="00E50B37" w:rsidRDefault="00645276">
      <w:pPr>
        <w:pStyle w:val="FDPList1"/>
      </w:pPr>
      <w:r>
        <w:rPr>
          <w:b/>
          <w:bCs/>
        </w:rPr>
        <w:t>2020.gadā konsolidētā kopbudžeta ieņēmumi, salīdzinot ar iepriekšējo gadu, samazinājās par 0,8% jeb 87,1 miljoniem eiro, sasniedzot 11,3 miljardus eiro.</w:t>
      </w:r>
      <w:r>
        <w:t xml:space="preserve"> </w:t>
      </w:r>
      <w:r w:rsidR="00601CAC" w:rsidRPr="00601CAC">
        <w:t xml:space="preserve">Galvenais kopbudžeta ienākumu avots </w:t>
      </w:r>
      <w:r w:rsidR="00D51377" w:rsidRPr="00601CAC">
        <w:t>2020.</w:t>
      </w:r>
      <w:r w:rsidR="00601CAC" w:rsidRPr="00601CAC">
        <w:t xml:space="preserve"> </w:t>
      </w:r>
      <w:r w:rsidR="00D51377" w:rsidRPr="00601CAC">
        <w:t>gadā</w:t>
      </w:r>
      <w:r w:rsidR="00601CAC" w:rsidRPr="00601CAC">
        <w:t>-</w:t>
      </w:r>
      <w:r w:rsidR="00D51377" w:rsidRPr="00601CAC">
        <w:t xml:space="preserve"> </w:t>
      </w:r>
      <w:r w:rsidRPr="00601CAC">
        <w:t>nodokļu ieņēmum</w:t>
      </w:r>
      <w:r w:rsidR="00601CAC" w:rsidRPr="00601CAC">
        <w:t>i</w:t>
      </w:r>
      <w:r w:rsidR="00C766CF" w:rsidRPr="00601CAC">
        <w:t>,</w:t>
      </w:r>
      <w:r w:rsidRPr="00601CAC">
        <w:t xml:space="preserve"> samazinājās par 0,6%. </w:t>
      </w:r>
      <w:r>
        <w:t>Tika iekasēts par 7% mazāk nodokļu nekā bija paredzēts budžeta plānā. Kopumā 2020.gadu var raksturot kā recesīv</w:t>
      </w:r>
      <w:r w:rsidR="00D51377">
        <w:t>u</w:t>
      </w:r>
      <w:r>
        <w:t>, jo ieņēmumu apjoms nesasniedza plānotos rādītājus un bija mazāks par iepriekšējā gada ieņēmumiem.</w:t>
      </w:r>
    </w:p>
    <w:p w14:paraId="21FD35ED" w14:textId="77777777" w:rsidR="00E50B37" w:rsidRDefault="00645276">
      <w:pPr>
        <w:pStyle w:val="FDPList1"/>
      </w:pPr>
      <w:r>
        <w:rPr>
          <w:b/>
          <w:bCs/>
        </w:rPr>
        <w:t>VID administrēto ieņēmumu plāns un tā izpilde 2020.gadā ir zemāk pievienotajā 4.tabulā.</w:t>
      </w:r>
      <w:r>
        <w:t xml:space="preserve"> Neskatoties uz kopbudžeta nodokļu plāna neizpildi, šāds rezultāts bija sagaidāms, jo prognozes tika sagatavotas pirms Covid-19 krīze bija sākusies. Gandrīz visi nodokļu ieņēmumi netika iekasēti plānotājā daudzumā – nedaudz tika pārpildīts tikai IIN, kā arī nenodokļu ieņēmumu plāns. Dažu nozīmīgāko nodokļu plāns netika izpildīts vairāk par 10% (UIN, PVN, AN). Arī mazāko pēc īpatsvara nodokļu kopējais plāns tika izpildīts tikai par 85,7%. </w:t>
      </w:r>
    </w:p>
    <w:p w14:paraId="0A0A9AE5" w14:textId="77777777" w:rsidR="00E50B37" w:rsidRDefault="00645276">
      <w:pPr>
        <w:spacing w:after="0" w:line="240" w:lineRule="auto"/>
        <w:jc w:val="left"/>
      </w:pPr>
      <w:r>
        <w:br w:type="page"/>
      </w:r>
    </w:p>
    <w:p w14:paraId="53E4F5D8" w14:textId="77777777" w:rsidR="00E50B37" w:rsidRDefault="00645276">
      <w:pPr>
        <w:pStyle w:val="FDPNosaukumsGrafikam"/>
        <w:rPr>
          <w:i/>
        </w:rPr>
      </w:pPr>
      <w:r>
        <w:lastRenderedPageBreak/>
        <w:t>4.tabula. VID administrēto ieņēmumu plāns un tā izpilde 2020.gadā (tūkst. eiro)</w:t>
      </w:r>
    </w:p>
    <w:p w14:paraId="11B83138" w14:textId="77777777" w:rsidR="00E50B37" w:rsidRDefault="00E50B37">
      <w:pPr>
        <w:spacing w:after="0" w:line="240" w:lineRule="auto"/>
        <w:ind w:left="1637"/>
        <w:contextualSpacing/>
        <w:jc w:val="right"/>
        <w:rPr>
          <w:rFonts w:ascii="Calibri" w:eastAsia="Times New Roman" w:hAnsi="Calibri" w:cs="Calibri"/>
          <w:color w:val="auto"/>
          <w:szCs w:val="20"/>
        </w:rPr>
      </w:pPr>
    </w:p>
    <w:tbl>
      <w:tblPr>
        <w:tblStyle w:val="TableGrid2"/>
        <w:tblW w:w="5000" w:type="pct"/>
        <w:tblLayout w:type="fixed"/>
        <w:tblLook w:val="04A0" w:firstRow="1" w:lastRow="0" w:firstColumn="1" w:lastColumn="0" w:noHBand="0" w:noVBand="1"/>
      </w:tblPr>
      <w:tblGrid>
        <w:gridCol w:w="3114"/>
        <w:gridCol w:w="1954"/>
        <w:gridCol w:w="2144"/>
        <w:gridCol w:w="2142"/>
      </w:tblGrid>
      <w:tr w:rsidR="00E50B37" w14:paraId="068CCD40" w14:textId="77777777">
        <w:trPr>
          <w:trHeight w:val="300"/>
        </w:trPr>
        <w:tc>
          <w:tcPr>
            <w:tcW w:w="3113" w:type="dxa"/>
            <w:tcBorders>
              <w:top w:val="nil"/>
              <w:left w:val="nil"/>
              <w:bottom w:val="single" w:sz="18" w:space="0" w:color="9D2234"/>
              <w:right w:val="nil"/>
            </w:tcBorders>
            <w:shd w:val="clear" w:color="auto" w:fill="auto"/>
          </w:tcPr>
          <w:p w14:paraId="6244EB56" w14:textId="77777777" w:rsidR="00E50B37" w:rsidRDefault="00645276">
            <w:pPr>
              <w:pStyle w:val="FDPTabulasumma"/>
              <w:widowControl w:val="0"/>
            </w:pPr>
            <w:r>
              <w:t>Ieņēmumi</w:t>
            </w:r>
          </w:p>
        </w:tc>
        <w:tc>
          <w:tcPr>
            <w:tcW w:w="1954" w:type="dxa"/>
            <w:tcBorders>
              <w:top w:val="nil"/>
              <w:left w:val="nil"/>
              <w:bottom w:val="single" w:sz="18" w:space="0" w:color="9D2234"/>
              <w:right w:val="nil"/>
            </w:tcBorders>
            <w:shd w:val="clear" w:color="auto" w:fill="auto"/>
          </w:tcPr>
          <w:p w14:paraId="090532B7" w14:textId="77777777" w:rsidR="00E50B37" w:rsidRDefault="00645276">
            <w:pPr>
              <w:pStyle w:val="FDPTabulasumma"/>
              <w:widowControl w:val="0"/>
            </w:pPr>
            <w:r>
              <w:t>2020 fakts</w:t>
            </w:r>
          </w:p>
        </w:tc>
        <w:tc>
          <w:tcPr>
            <w:tcW w:w="2144" w:type="dxa"/>
            <w:tcBorders>
              <w:top w:val="nil"/>
              <w:left w:val="nil"/>
              <w:bottom w:val="single" w:sz="18" w:space="0" w:color="9D2234"/>
              <w:right w:val="nil"/>
            </w:tcBorders>
            <w:shd w:val="clear" w:color="auto" w:fill="auto"/>
          </w:tcPr>
          <w:p w14:paraId="27773C3F" w14:textId="77777777" w:rsidR="00E50B37" w:rsidRDefault="00645276">
            <w:pPr>
              <w:pStyle w:val="FDPTabulasumma"/>
              <w:widowControl w:val="0"/>
            </w:pPr>
            <w:r>
              <w:t>2020 plāns</w:t>
            </w:r>
          </w:p>
        </w:tc>
        <w:tc>
          <w:tcPr>
            <w:tcW w:w="2142" w:type="dxa"/>
            <w:tcBorders>
              <w:top w:val="nil"/>
              <w:left w:val="nil"/>
              <w:bottom w:val="single" w:sz="18" w:space="0" w:color="9D2234"/>
              <w:right w:val="nil"/>
            </w:tcBorders>
            <w:shd w:val="clear" w:color="auto" w:fill="auto"/>
          </w:tcPr>
          <w:p w14:paraId="244F0558" w14:textId="77777777" w:rsidR="00E50B37" w:rsidRDefault="00645276">
            <w:pPr>
              <w:pStyle w:val="FDPTabulasumma"/>
              <w:widowControl w:val="0"/>
            </w:pPr>
            <w:r>
              <w:t>Izpilde (%)</w:t>
            </w:r>
          </w:p>
        </w:tc>
      </w:tr>
      <w:tr w:rsidR="00E50B37" w14:paraId="75D73C93" w14:textId="77777777">
        <w:trPr>
          <w:trHeight w:val="300"/>
        </w:trPr>
        <w:tc>
          <w:tcPr>
            <w:tcW w:w="3113" w:type="dxa"/>
            <w:tcBorders>
              <w:top w:val="single" w:sz="18" w:space="0" w:color="9D2234"/>
              <w:left w:val="nil"/>
              <w:bottom w:val="nil"/>
              <w:right w:val="nil"/>
            </w:tcBorders>
            <w:shd w:val="clear" w:color="auto" w:fill="auto"/>
          </w:tcPr>
          <w:p w14:paraId="62AAC047" w14:textId="77777777" w:rsidR="00E50B37" w:rsidRDefault="00645276">
            <w:pPr>
              <w:pStyle w:val="FDPTabulapamats"/>
              <w:widowControl w:val="0"/>
              <w:rPr>
                <w:b/>
              </w:rPr>
            </w:pPr>
            <w:r>
              <w:rPr>
                <w:b/>
              </w:rPr>
              <w:t xml:space="preserve"> UIN</w:t>
            </w:r>
          </w:p>
        </w:tc>
        <w:tc>
          <w:tcPr>
            <w:tcW w:w="1954" w:type="dxa"/>
            <w:tcBorders>
              <w:top w:val="single" w:sz="18" w:space="0" w:color="9D2234"/>
              <w:left w:val="nil"/>
              <w:bottom w:val="nil"/>
              <w:right w:val="nil"/>
            </w:tcBorders>
            <w:shd w:val="clear" w:color="auto" w:fill="auto"/>
          </w:tcPr>
          <w:p w14:paraId="4B9F4E31" w14:textId="77777777" w:rsidR="00E50B37" w:rsidRDefault="00645276">
            <w:pPr>
              <w:pStyle w:val="FDPTabulapamats"/>
              <w:widowControl w:val="0"/>
            </w:pPr>
            <w:r>
              <w:t>207,5</w:t>
            </w:r>
          </w:p>
        </w:tc>
        <w:tc>
          <w:tcPr>
            <w:tcW w:w="2144" w:type="dxa"/>
            <w:tcBorders>
              <w:top w:val="single" w:sz="18" w:space="0" w:color="9D2234"/>
              <w:left w:val="nil"/>
              <w:bottom w:val="nil"/>
              <w:right w:val="nil"/>
            </w:tcBorders>
            <w:shd w:val="clear" w:color="auto" w:fill="auto"/>
          </w:tcPr>
          <w:p w14:paraId="398784F1" w14:textId="77777777" w:rsidR="00E50B37" w:rsidRDefault="00645276">
            <w:pPr>
              <w:pStyle w:val="FDPTabulapamats"/>
              <w:widowControl w:val="0"/>
            </w:pPr>
            <w:r>
              <w:t>261,0</w:t>
            </w:r>
          </w:p>
        </w:tc>
        <w:tc>
          <w:tcPr>
            <w:tcW w:w="2142" w:type="dxa"/>
            <w:tcBorders>
              <w:top w:val="single" w:sz="18" w:space="0" w:color="9D2234"/>
              <w:left w:val="nil"/>
              <w:bottom w:val="nil"/>
              <w:right w:val="nil"/>
            </w:tcBorders>
            <w:shd w:val="clear" w:color="auto" w:fill="auto"/>
          </w:tcPr>
          <w:p w14:paraId="1F03F4E8" w14:textId="77777777" w:rsidR="00E50B37" w:rsidRDefault="00645276">
            <w:pPr>
              <w:pStyle w:val="FDPTabulapamats"/>
              <w:widowControl w:val="0"/>
            </w:pPr>
            <w:r>
              <w:t>79,5</w:t>
            </w:r>
          </w:p>
        </w:tc>
      </w:tr>
      <w:tr w:rsidR="00E50B37" w14:paraId="6CB598A0" w14:textId="77777777">
        <w:trPr>
          <w:trHeight w:val="300"/>
        </w:trPr>
        <w:tc>
          <w:tcPr>
            <w:tcW w:w="3113" w:type="dxa"/>
            <w:tcBorders>
              <w:top w:val="nil"/>
              <w:left w:val="nil"/>
              <w:bottom w:val="nil"/>
              <w:right w:val="nil"/>
            </w:tcBorders>
            <w:shd w:val="clear" w:color="auto" w:fill="auto"/>
          </w:tcPr>
          <w:p w14:paraId="5D3BBA81" w14:textId="77777777" w:rsidR="00E50B37" w:rsidRDefault="00645276">
            <w:pPr>
              <w:pStyle w:val="FDPTabulapamats"/>
              <w:widowControl w:val="0"/>
              <w:rPr>
                <w:b/>
              </w:rPr>
            </w:pPr>
            <w:r>
              <w:rPr>
                <w:b/>
              </w:rPr>
              <w:t xml:space="preserve"> PVN</w:t>
            </w:r>
          </w:p>
        </w:tc>
        <w:tc>
          <w:tcPr>
            <w:tcW w:w="1954" w:type="dxa"/>
            <w:tcBorders>
              <w:top w:val="nil"/>
              <w:left w:val="nil"/>
              <w:bottom w:val="nil"/>
              <w:right w:val="nil"/>
            </w:tcBorders>
            <w:shd w:val="clear" w:color="auto" w:fill="auto"/>
          </w:tcPr>
          <w:p w14:paraId="576EBE4E" w14:textId="77777777" w:rsidR="00E50B37" w:rsidRDefault="00645276">
            <w:pPr>
              <w:pStyle w:val="FDPTabulapamats"/>
              <w:widowControl w:val="0"/>
            </w:pPr>
            <w:r>
              <w:t>2 544,7</w:t>
            </w:r>
          </w:p>
        </w:tc>
        <w:tc>
          <w:tcPr>
            <w:tcW w:w="2144" w:type="dxa"/>
            <w:tcBorders>
              <w:top w:val="nil"/>
              <w:left w:val="nil"/>
              <w:bottom w:val="nil"/>
              <w:right w:val="nil"/>
            </w:tcBorders>
            <w:shd w:val="clear" w:color="auto" w:fill="auto"/>
          </w:tcPr>
          <w:p w14:paraId="4E878F33" w14:textId="77777777" w:rsidR="00E50B37" w:rsidRDefault="00645276">
            <w:pPr>
              <w:pStyle w:val="FDPTabulapamats"/>
              <w:widowControl w:val="0"/>
            </w:pPr>
            <w:r>
              <w:t>2 884,9</w:t>
            </w:r>
          </w:p>
        </w:tc>
        <w:tc>
          <w:tcPr>
            <w:tcW w:w="2142" w:type="dxa"/>
            <w:tcBorders>
              <w:top w:val="nil"/>
              <w:left w:val="nil"/>
              <w:bottom w:val="nil"/>
              <w:right w:val="nil"/>
            </w:tcBorders>
            <w:shd w:val="clear" w:color="auto" w:fill="auto"/>
          </w:tcPr>
          <w:p w14:paraId="418D81B3" w14:textId="77777777" w:rsidR="00E50B37" w:rsidRDefault="00645276">
            <w:pPr>
              <w:pStyle w:val="FDPTabulapamats"/>
              <w:widowControl w:val="0"/>
            </w:pPr>
            <w:r>
              <w:t>88,2</w:t>
            </w:r>
          </w:p>
        </w:tc>
      </w:tr>
      <w:tr w:rsidR="00E50B37" w14:paraId="1F8D6C4D" w14:textId="77777777">
        <w:trPr>
          <w:trHeight w:val="300"/>
        </w:trPr>
        <w:tc>
          <w:tcPr>
            <w:tcW w:w="3113" w:type="dxa"/>
            <w:tcBorders>
              <w:top w:val="nil"/>
              <w:left w:val="nil"/>
              <w:bottom w:val="nil"/>
              <w:right w:val="nil"/>
            </w:tcBorders>
            <w:shd w:val="clear" w:color="auto" w:fill="auto"/>
          </w:tcPr>
          <w:p w14:paraId="0DAD21D9" w14:textId="77777777" w:rsidR="00E50B37" w:rsidRDefault="00645276">
            <w:pPr>
              <w:pStyle w:val="FDPTabulapamats"/>
              <w:widowControl w:val="0"/>
              <w:rPr>
                <w:b/>
              </w:rPr>
            </w:pPr>
            <w:r>
              <w:rPr>
                <w:b/>
              </w:rPr>
              <w:t xml:space="preserve"> Akcīzes nodoklis</w:t>
            </w:r>
          </w:p>
        </w:tc>
        <w:tc>
          <w:tcPr>
            <w:tcW w:w="1954" w:type="dxa"/>
            <w:tcBorders>
              <w:top w:val="nil"/>
              <w:left w:val="nil"/>
              <w:bottom w:val="nil"/>
              <w:right w:val="nil"/>
            </w:tcBorders>
            <w:shd w:val="clear" w:color="auto" w:fill="auto"/>
          </w:tcPr>
          <w:p w14:paraId="45F82EB7" w14:textId="77777777" w:rsidR="00E50B37" w:rsidRDefault="00645276">
            <w:pPr>
              <w:pStyle w:val="FDPTabulapamats"/>
              <w:widowControl w:val="0"/>
            </w:pPr>
            <w:r>
              <w:t>1 059,7</w:t>
            </w:r>
          </w:p>
        </w:tc>
        <w:tc>
          <w:tcPr>
            <w:tcW w:w="2144" w:type="dxa"/>
            <w:tcBorders>
              <w:top w:val="nil"/>
              <w:left w:val="nil"/>
              <w:bottom w:val="nil"/>
              <w:right w:val="nil"/>
            </w:tcBorders>
            <w:shd w:val="clear" w:color="auto" w:fill="auto"/>
          </w:tcPr>
          <w:p w14:paraId="5D24F4C0" w14:textId="77777777" w:rsidR="00E50B37" w:rsidRDefault="00645276">
            <w:pPr>
              <w:pStyle w:val="FDPTabulapamats"/>
              <w:widowControl w:val="0"/>
            </w:pPr>
            <w:r>
              <w:t>1 203,4</w:t>
            </w:r>
          </w:p>
        </w:tc>
        <w:tc>
          <w:tcPr>
            <w:tcW w:w="2142" w:type="dxa"/>
            <w:tcBorders>
              <w:top w:val="nil"/>
              <w:left w:val="nil"/>
              <w:bottom w:val="nil"/>
              <w:right w:val="nil"/>
            </w:tcBorders>
            <w:shd w:val="clear" w:color="auto" w:fill="auto"/>
          </w:tcPr>
          <w:p w14:paraId="6DCE5485" w14:textId="77777777" w:rsidR="00E50B37" w:rsidRDefault="00645276">
            <w:pPr>
              <w:pStyle w:val="FDPTabulapamats"/>
              <w:widowControl w:val="0"/>
            </w:pPr>
            <w:r>
              <w:t>88,1</w:t>
            </w:r>
          </w:p>
        </w:tc>
      </w:tr>
      <w:tr w:rsidR="00E50B37" w14:paraId="15A6F4E7" w14:textId="77777777">
        <w:trPr>
          <w:trHeight w:val="300"/>
        </w:trPr>
        <w:tc>
          <w:tcPr>
            <w:tcW w:w="3113" w:type="dxa"/>
            <w:tcBorders>
              <w:top w:val="nil"/>
              <w:left w:val="nil"/>
              <w:bottom w:val="nil"/>
              <w:right w:val="nil"/>
            </w:tcBorders>
            <w:shd w:val="clear" w:color="auto" w:fill="auto"/>
          </w:tcPr>
          <w:p w14:paraId="0F8094BA" w14:textId="77777777" w:rsidR="00E50B37" w:rsidRDefault="00645276">
            <w:pPr>
              <w:pStyle w:val="FDPTabulapamats"/>
              <w:widowControl w:val="0"/>
              <w:rPr>
                <w:b/>
              </w:rPr>
            </w:pPr>
            <w:r>
              <w:rPr>
                <w:b/>
              </w:rPr>
              <w:t xml:space="preserve"> IIN</w:t>
            </w:r>
          </w:p>
        </w:tc>
        <w:tc>
          <w:tcPr>
            <w:tcW w:w="1954" w:type="dxa"/>
            <w:tcBorders>
              <w:top w:val="nil"/>
              <w:left w:val="nil"/>
              <w:bottom w:val="nil"/>
              <w:right w:val="nil"/>
            </w:tcBorders>
            <w:shd w:val="clear" w:color="auto" w:fill="auto"/>
          </w:tcPr>
          <w:p w14:paraId="52D65360" w14:textId="77777777" w:rsidR="00E50B37" w:rsidRDefault="00645276">
            <w:pPr>
              <w:pStyle w:val="FDPTabulapamats"/>
              <w:widowControl w:val="0"/>
            </w:pPr>
            <w:r>
              <w:t>1 817,4</w:t>
            </w:r>
          </w:p>
        </w:tc>
        <w:tc>
          <w:tcPr>
            <w:tcW w:w="2144" w:type="dxa"/>
            <w:tcBorders>
              <w:top w:val="nil"/>
              <w:left w:val="nil"/>
              <w:bottom w:val="nil"/>
              <w:right w:val="nil"/>
            </w:tcBorders>
            <w:shd w:val="clear" w:color="auto" w:fill="auto"/>
          </w:tcPr>
          <w:p w14:paraId="03495F5F" w14:textId="77777777" w:rsidR="00E50B37" w:rsidRDefault="00645276">
            <w:pPr>
              <w:pStyle w:val="FDPTabulapamats"/>
              <w:widowControl w:val="0"/>
            </w:pPr>
            <w:r>
              <w:t>1 758,3</w:t>
            </w:r>
          </w:p>
        </w:tc>
        <w:tc>
          <w:tcPr>
            <w:tcW w:w="2142" w:type="dxa"/>
            <w:tcBorders>
              <w:top w:val="nil"/>
              <w:left w:val="nil"/>
              <w:bottom w:val="nil"/>
              <w:right w:val="nil"/>
            </w:tcBorders>
            <w:shd w:val="clear" w:color="auto" w:fill="auto"/>
          </w:tcPr>
          <w:p w14:paraId="30DC7CA8" w14:textId="77777777" w:rsidR="00E50B37" w:rsidRDefault="00645276">
            <w:pPr>
              <w:pStyle w:val="FDPTabulapamats"/>
              <w:widowControl w:val="0"/>
            </w:pPr>
            <w:r>
              <w:t>103,4</w:t>
            </w:r>
          </w:p>
        </w:tc>
      </w:tr>
      <w:tr w:rsidR="00E50B37" w14:paraId="608FED28" w14:textId="77777777">
        <w:trPr>
          <w:trHeight w:val="300"/>
        </w:trPr>
        <w:tc>
          <w:tcPr>
            <w:tcW w:w="3113" w:type="dxa"/>
            <w:tcBorders>
              <w:top w:val="nil"/>
              <w:left w:val="nil"/>
              <w:bottom w:val="nil"/>
              <w:right w:val="nil"/>
            </w:tcBorders>
            <w:shd w:val="clear" w:color="auto" w:fill="auto"/>
          </w:tcPr>
          <w:p w14:paraId="410E116B" w14:textId="77777777" w:rsidR="00E50B37" w:rsidRDefault="00645276">
            <w:pPr>
              <w:pStyle w:val="FDPTabulapamats"/>
              <w:widowControl w:val="0"/>
              <w:rPr>
                <w:b/>
              </w:rPr>
            </w:pPr>
            <w:r>
              <w:rPr>
                <w:b/>
              </w:rPr>
              <w:t xml:space="preserve"> Pārējie nodokļi</w:t>
            </w:r>
          </w:p>
        </w:tc>
        <w:tc>
          <w:tcPr>
            <w:tcW w:w="1954" w:type="dxa"/>
            <w:tcBorders>
              <w:top w:val="nil"/>
              <w:left w:val="nil"/>
              <w:bottom w:val="nil"/>
              <w:right w:val="nil"/>
            </w:tcBorders>
            <w:shd w:val="clear" w:color="auto" w:fill="auto"/>
          </w:tcPr>
          <w:p w14:paraId="53BF04FF" w14:textId="77777777" w:rsidR="00E50B37" w:rsidRDefault="00645276">
            <w:pPr>
              <w:pStyle w:val="FDPTabulapamats"/>
              <w:widowControl w:val="0"/>
            </w:pPr>
            <w:r>
              <w:t>237,6</w:t>
            </w:r>
          </w:p>
        </w:tc>
        <w:tc>
          <w:tcPr>
            <w:tcW w:w="2144" w:type="dxa"/>
            <w:tcBorders>
              <w:top w:val="nil"/>
              <w:left w:val="nil"/>
              <w:bottom w:val="nil"/>
              <w:right w:val="nil"/>
            </w:tcBorders>
            <w:shd w:val="clear" w:color="auto" w:fill="auto"/>
          </w:tcPr>
          <w:p w14:paraId="622F7D48" w14:textId="77777777" w:rsidR="00E50B37" w:rsidRDefault="00645276">
            <w:pPr>
              <w:pStyle w:val="FDPTabulapamats"/>
              <w:widowControl w:val="0"/>
            </w:pPr>
            <w:r>
              <w:t>277,2</w:t>
            </w:r>
          </w:p>
        </w:tc>
        <w:tc>
          <w:tcPr>
            <w:tcW w:w="2142" w:type="dxa"/>
            <w:tcBorders>
              <w:top w:val="nil"/>
              <w:left w:val="nil"/>
              <w:bottom w:val="nil"/>
              <w:right w:val="nil"/>
            </w:tcBorders>
            <w:shd w:val="clear" w:color="auto" w:fill="auto"/>
          </w:tcPr>
          <w:p w14:paraId="52E61A68" w14:textId="77777777" w:rsidR="00E50B37" w:rsidRDefault="00645276">
            <w:pPr>
              <w:pStyle w:val="FDPTabulapamats"/>
              <w:widowControl w:val="0"/>
            </w:pPr>
            <w:r>
              <w:t>85,7</w:t>
            </w:r>
          </w:p>
        </w:tc>
      </w:tr>
      <w:tr w:rsidR="00E50B37" w14:paraId="32D6D8CC" w14:textId="77777777">
        <w:trPr>
          <w:trHeight w:val="300"/>
        </w:trPr>
        <w:tc>
          <w:tcPr>
            <w:tcW w:w="3113" w:type="dxa"/>
            <w:tcBorders>
              <w:top w:val="nil"/>
              <w:left w:val="nil"/>
              <w:bottom w:val="nil"/>
              <w:right w:val="nil"/>
            </w:tcBorders>
            <w:shd w:val="clear" w:color="auto" w:fill="auto"/>
          </w:tcPr>
          <w:p w14:paraId="0C8A0E85" w14:textId="77777777" w:rsidR="00E50B37" w:rsidRDefault="00645276">
            <w:pPr>
              <w:pStyle w:val="FDPTabulapamats"/>
              <w:widowControl w:val="0"/>
              <w:rPr>
                <w:b/>
              </w:rPr>
            </w:pPr>
            <w:r>
              <w:rPr>
                <w:b/>
              </w:rPr>
              <w:t xml:space="preserve"> Nenodokļu ieņēmumi</w:t>
            </w:r>
          </w:p>
        </w:tc>
        <w:tc>
          <w:tcPr>
            <w:tcW w:w="1954" w:type="dxa"/>
            <w:tcBorders>
              <w:top w:val="nil"/>
              <w:left w:val="nil"/>
              <w:bottom w:val="nil"/>
              <w:right w:val="nil"/>
            </w:tcBorders>
            <w:shd w:val="clear" w:color="auto" w:fill="auto"/>
          </w:tcPr>
          <w:p w14:paraId="275BC8E1" w14:textId="77777777" w:rsidR="00E50B37" w:rsidRDefault="00645276">
            <w:pPr>
              <w:pStyle w:val="FDPTabulapamats"/>
              <w:widowControl w:val="0"/>
            </w:pPr>
            <w:r>
              <w:t>495,0</w:t>
            </w:r>
          </w:p>
        </w:tc>
        <w:tc>
          <w:tcPr>
            <w:tcW w:w="2144" w:type="dxa"/>
            <w:tcBorders>
              <w:top w:val="nil"/>
              <w:left w:val="nil"/>
              <w:bottom w:val="nil"/>
              <w:right w:val="nil"/>
            </w:tcBorders>
            <w:shd w:val="clear" w:color="auto" w:fill="auto"/>
          </w:tcPr>
          <w:p w14:paraId="07361AEF" w14:textId="77777777" w:rsidR="00E50B37" w:rsidRDefault="00645276">
            <w:pPr>
              <w:pStyle w:val="FDPTabulapamats"/>
              <w:widowControl w:val="0"/>
            </w:pPr>
            <w:r>
              <w:t>475,5</w:t>
            </w:r>
          </w:p>
        </w:tc>
        <w:tc>
          <w:tcPr>
            <w:tcW w:w="2142" w:type="dxa"/>
            <w:tcBorders>
              <w:top w:val="nil"/>
              <w:left w:val="nil"/>
              <w:bottom w:val="nil"/>
              <w:right w:val="nil"/>
            </w:tcBorders>
            <w:shd w:val="clear" w:color="auto" w:fill="auto"/>
          </w:tcPr>
          <w:p w14:paraId="41B40955" w14:textId="77777777" w:rsidR="00E50B37" w:rsidRDefault="00645276">
            <w:pPr>
              <w:pStyle w:val="FDPTabulapamats"/>
              <w:widowControl w:val="0"/>
            </w:pPr>
            <w:r>
              <w:t>104,1</w:t>
            </w:r>
          </w:p>
        </w:tc>
      </w:tr>
      <w:tr w:rsidR="00E50B37" w14:paraId="1BA920C8" w14:textId="77777777">
        <w:trPr>
          <w:trHeight w:val="300"/>
        </w:trPr>
        <w:tc>
          <w:tcPr>
            <w:tcW w:w="3113" w:type="dxa"/>
            <w:tcBorders>
              <w:top w:val="nil"/>
              <w:left w:val="nil"/>
              <w:bottom w:val="nil"/>
              <w:right w:val="nil"/>
            </w:tcBorders>
            <w:shd w:val="clear" w:color="auto" w:fill="auto"/>
          </w:tcPr>
          <w:p w14:paraId="7747D88E" w14:textId="77777777" w:rsidR="00E50B37" w:rsidRDefault="00645276">
            <w:pPr>
              <w:pStyle w:val="FDPTabulapamats"/>
              <w:widowControl w:val="0"/>
              <w:rPr>
                <w:b/>
              </w:rPr>
            </w:pPr>
            <w:r>
              <w:rPr>
                <w:b/>
              </w:rPr>
              <w:t xml:space="preserve"> VSAOI</w:t>
            </w:r>
          </w:p>
        </w:tc>
        <w:tc>
          <w:tcPr>
            <w:tcW w:w="1954" w:type="dxa"/>
            <w:tcBorders>
              <w:top w:val="nil"/>
              <w:left w:val="nil"/>
              <w:bottom w:val="nil"/>
              <w:right w:val="nil"/>
            </w:tcBorders>
            <w:shd w:val="clear" w:color="auto" w:fill="auto"/>
          </w:tcPr>
          <w:p w14:paraId="1A4BC69C" w14:textId="77777777" w:rsidR="00E50B37" w:rsidRDefault="00645276">
            <w:pPr>
              <w:pStyle w:val="FDPTabulapamats"/>
              <w:widowControl w:val="0"/>
            </w:pPr>
            <w:r>
              <w:t>3 501,2</w:t>
            </w:r>
          </w:p>
        </w:tc>
        <w:tc>
          <w:tcPr>
            <w:tcW w:w="2144" w:type="dxa"/>
            <w:tcBorders>
              <w:top w:val="nil"/>
              <w:left w:val="nil"/>
              <w:bottom w:val="nil"/>
              <w:right w:val="nil"/>
            </w:tcBorders>
            <w:shd w:val="clear" w:color="auto" w:fill="auto"/>
          </w:tcPr>
          <w:p w14:paraId="680F0E6F" w14:textId="77777777" w:rsidR="00E50B37" w:rsidRDefault="00645276">
            <w:pPr>
              <w:pStyle w:val="FDPTabulapamats"/>
              <w:widowControl w:val="0"/>
            </w:pPr>
            <w:r>
              <w:t>3 643,1</w:t>
            </w:r>
          </w:p>
        </w:tc>
        <w:tc>
          <w:tcPr>
            <w:tcW w:w="2142" w:type="dxa"/>
            <w:tcBorders>
              <w:top w:val="nil"/>
              <w:left w:val="nil"/>
              <w:bottom w:val="nil"/>
              <w:right w:val="nil"/>
            </w:tcBorders>
            <w:shd w:val="clear" w:color="auto" w:fill="auto"/>
          </w:tcPr>
          <w:p w14:paraId="24A9A845" w14:textId="77777777" w:rsidR="00E50B37" w:rsidRDefault="00645276">
            <w:pPr>
              <w:pStyle w:val="FDPTabulapamats"/>
              <w:widowControl w:val="0"/>
            </w:pPr>
            <w:r>
              <w:t>96,1</w:t>
            </w:r>
          </w:p>
        </w:tc>
      </w:tr>
      <w:tr w:rsidR="00E50B37" w14:paraId="43DFDBE9" w14:textId="77777777">
        <w:trPr>
          <w:trHeight w:val="300"/>
        </w:trPr>
        <w:tc>
          <w:tcPr>
            <w:tcW w:w="3113" w:type="dxa"/>
            <w:tcBorders>
              <w:top w:val="nil"/>
              <w:left w:val="nil"/>
              <w:bottom w:val="single" w:sz="6" w:space="0" w:color="9D2234"/>
              <w:right w:val="nil"/>
            </w:tcBorders>
            <w:shd w:val="clear" w:color="auto" w:fill="auto"/>
          </w:tcPr>
          <w:p w14:paraId="425B5799" w14:textId="77777777" w:rsidR="00E50B37" w:rsidRDefault="00645276">
            <w:pPr>
              <w:pStyle w:val="FDPTabulasumma"/>
              <w:widowControl w:val="0"/>
            </w:pPr>
            <w:r>
              <w:t>Kopā</w:t>
            </w:r>
          </w:p>
        </w:tc>
        <w:tc>
          <w:tcPr>
            <w:tcW w:w="1954" w:type="dxa"/>
            <w:tcBorders>
              <w:top w:val="nil"/>
              <w:left w:val="nil"/>
              <w:bottom w:val="single" w:sz="6" w:space="0" w:color="9D2234"/>
              <w:right w:val="nil"/>
            </w:tcBorders>
            <w:shd w:val="clear" w:color="auto" w:fill="auto"/>
          </w:tcPr>
          <w:p w14:paraId="453C523D" w14:textId="77777777" w:rsidR="00E50B37" w:rsidRDefault="00645276">
            <w:pPr>
              <w:pStyle w:val="FDPTabulasumma"/>
              <w:widowControl w:val="0"/>
            </w:pPr>
            <w:r>
              <w:t>9 863,0</w:t>
            </w:r>
          </w:p>
        </w:tc>
        <w:tc>
          <w:tcPr>
            <w:tcW w:w="2144" w:type="dxa"/>
            <w:tcBorders>
              <w:top w:val="nil"/>
              <w:left w:val="nil"/>
              <w:bottom w:val="single" w:sz="6" w:space="0" w:color="9D2234"/>
              <w:right w:val="nil"/>
            </w:tcBorders>
            <w:shd w:val="clear" w:color="auto" w:fill="auto"/>
          </w:tcPr>
          <w:p w14:paraId="362BB6D7" w14:textId="77777777" w:rsidR="00E50B37" w:rsidRDefault="00645276">
            <w:pPr>
              <w:pStyle w:val="FDPTabulasumma"/>
              <w:widowControl w:val="0"/>
            </w:pPr>
            <w:r>
              <w:t>10 503,4</w:t>
            </w:r>
          </w:p>
        </w:tc>
        <w:tc>
          <w:tcPr>
            <w:tcW w:w="2142" w:type="dxa"/>
            <w:tcBorders>
              <w:top w:val="nil"/>
              <w:left w:val="nil"/>
              <w:bottom w:val="single" w:sz="6" w:space="0" w:color="9D2234"/>
              <w:right w:val="nil"/>
            </w:tcBorders>
            <w:shd w:val="clear" w:color="auto" w:fill="auto"/>
          </w:tcPr>
          <w:p w14:paraId="4612374A" w14:textId="77777777" w:rsidR="00E50B37" w:rsidRDefault="00645276">
            <w:pPr>
              <w:pStyle w:val="FDPTabulasumma"/>
              <w:widowControl w:val="0"/>
            </w:pPr>
            <w:r>
              <w:t>91,9</w:t>
            </w:r>
          </w:p>
        </w:tc>
      </w:tr>
    </w:tbl>
    <w:p w14:paraId="7E04652A" w14:textId="77777777" w:rsidR="00E50B37" w:rsidRDefault="00645276">
      <w:pPr>
        <w:pStyle w:val="FDPTabulagalvina"/>
      </w:pPr>
      <w:r>
        <w:t>Avots: VID</w:t>
      </w:r>
    </w:p>
    <w:p w14:paraId="09A9EF34" w14:textId="77777777" w:rsidR="00E50B37" w:rsidRDefault="00E50B37">
      <w:pPr>
        <w:spacing w:after="0" w:line="240" w:lineRule="auto"/>
        <w:ind w:left="426"/>
        <w:contextualSpacing/>
        <w:rPr>
          <w:rFonts w:ascii="Times New Roman" w:eastAsia="Times New Roman" w:hAnsi="Times New Roman" w:cs="Calibri"/>
          <w:b/>
          <w:bCs/>
          <w:color w:val="auto"/>
          <w:sz w:val="24"/>
        </w:rPr>
      </w:pPr>
    </w:p>
    <w:p w14:paraId="574A4394" w14:textId="77777777" w:rsidR="00E50B37" w:rsidRDefault="00645276">
      <w:pPr>
        <w:pStyle w:val="FDPList1"/>
        <w:rPr>
          <w:rFonts w:ascii="Times New Roman" w:hAnsi="Times New Roman" w:cs="Calibri"/>
          <w:b/>
          <w:bCs/>
          <w:sz w:val="24"/>
        </w:rPr>
      </w:pPr>
      <w:r>
        <w:rPr>
          <w:b/>
          <w:bCs/>
        </w:rPr>
        <w:t>Saskaņā ar VID novērtējumu, 2020.gadā VSAOI un IIN plaisa ir samazinājusies par 0,4 procentpunktiem salīdzinot ar 2019.gadu</w:t>
      </w:r>
      <w:r>
        <w:rPr>
          <w:rStyle w:val="FootnoteAnchor"/>
          <w:b/>
          <w:bCs/>
        </w:rPr>
        <w:footnoteReference w:id="18"/>
      </w:r>
      <w:r>
        <w:rPr>
          <w:b/>
          <w:bCs/>
        </w:rPr>
        <w:t xml:space="preserve">. </w:t>
      </w:r>
      <w:r>
        <w:t xml:space="preserve"> Valsts ieņēmumu dienests (VID) jau piekto gadu veic nedeklarētās darba samaksas novērtējumu, un rezultāti rāda, ka nedeklarēto IIN un VSAOI summa samazinās. VID atzīmē, ka plaisas samazināšanos ietekmē dažādi makroekonomiskie faktori, kā arī uzņēmēju iniciatīva. Visbiežāk darba samaksa nav deklarēta uzņēmumu vadītājiem, kravas automobiļa vadītājiem, pārdevējiem, būvstrādniekiem un grāmatvežiem. Visbiežāk darba samaksa netiek deklarēta Rīgā un Pierīgā.</w:t>
      </w:r>
    </w:p>
    <w:p w14:paraId="570F6C9D" w14:textId="77777777" w:rsidR="00E50B37" w:rsidRDefault="00645276">
      <w:pPr>
        <w:pStyle w:val="FDPList1"/>
        <w:rPr>
          <w:rFonts w:cs="Calibri"/>
          <w:b/>
          <w:bCs/>
        </w:rPr>
      </w:pPr>
      <w:r>
        <w:rPr>
          <w:rFonts w:cs="Calibri"/>
          <w:b/>
          <w:bCs/>
        </w:rPr>
        <w:t xml:space="preserve">2020.gada konsolidētā kopbudžeta izdevumi pieauga par 8,1%, sasniedzot 12,5 miljardus eiro. </w:t>
      </w:r>
      <w:r>
        <w:rPr>
          <w:rFonts w:cs="Calibri"/>
        </w:rPr>
        <w:t xml:space="preserve">Procentuāli lielākais īpatsvars valsts konsolidētā kopbudžeta izdevumos ir sociālajiem pabalstiem – ap 29%, kas 2020.gadā pieauga par 11,1%. Otrais nozīmīgākais izdevumu postenis ir subsīdijas un dotācijas, kuru īpatsvars ir ap 22%, un kuras 2020.gadā pieauga par 19,1%, kas arī ir lielākais pieaugums starp izdevumu veidiem gada griezumā. Atlīdzības izdevumi pieauga par 8,1%, preču un pakalpojumu izdevumi samazinājās par 2,2%, bet ES un starptautiskās sadarbības izmaksas palielinājās par 6,3%. </w:t>
      </w:r>
    </w:p>
    <w:p w14:paraId="05C6B9CD" w14:textId="77777777" w:rsidR="00E50B37" w:rsidRDefault="00645276">
      <w:pPr>
        <w:pStyle w:val="FDPList1"/>
        <w:rPr>
          <w:b/>
          <w:bCs/>
        </w:rPr>
      </w:pPr>
      <w:r>
        <w:rPr>
          <w:b/>
          <w:bCs/>
        </w:rPr>
        <w:t xml:space="preserve">Budžeta likumā noteiktais vispārējās valdības strukturālās bilances mērķis -0,46% no IKP 2020. gadā netika sasniegts, jo VVBB gada beigās bija daudz zemāka par plānoto Covid-19 krīzes dēļ. Rezultātā valdības strukturālā bilance 2020. gada beigās bija -5,4%. </w:t>
      </w:r>
      <w:r>
        <w:t>Valsts pamatbudžeta un speciālā budžeta rezultāti, kā arī EKS korekcijas pasliktināja strukturālās bilances rezultātu attiecībā pret budžetā plānoto. Šāds iznākums bija saistīts arī ar to, ka izdevumi vērsti uz krīzes pārvarēšanu pēc EK lēmuma netika klasificēti kā vienreizējie, tāpēc tie tika iekļauti strukturālajā bilancē.</w:t>
      </w:r>
    </w:p>
    <w:p w14:paraId="33D29D21" w14:textId="77777777" w:rsidR="00E50B37" w:rsidRDefault="00645276">
      <w:pPr>
        <w:pStyle w:val="FDPList1"/>
        <w:rPr>
          <w:rFonts w:asciiTheme="minorHAnsi" w:eastAsiaTheme="minorEastAsia" w:hAnsiTheme="minorHAnsi"/>
          <w:b/>
          <w:bCs/>
          <w:szCs w:val="20"/>
        </w:rPr>
      </w:pPr>
      <w:r>
        <w:rPr>
          <w:b/>
          <w:bCs/>
          <w:lang w:val="lv"/>
        </w:rPr>
        <w:t>V</w:t>
      </w:r>
      <w:r>
        <w:rPr>
          <w:b/>
          <w:bCs/>
        </w:rPr>
        <w:t xml:space="preserve">alsts kopbudžeta deficīts 2020. gadā, pēc </w:t>
      </w:r>
      <w:r>
        <w:rPr>
          <w:b/>
          <w:bCs/>
          <w:lang w:val="lv"/>
        </w:rPr>
        <w:t xml:space="preserve">Eurostat datiem, </w:t>
      </w:r>
      <w:r>
        <w:rPr>
          <w:b/>
          <w:bCs/>
        </w:rPr>
        <w:t>bija 4,5%, kas ir mazāk nekā pārējās Baltijas valstīs, kā arī vidējais ES un eiro zonas valstīs.</w:t>
      </w:r>
      <w:r>
        <w:t xml:space="preserve"> </w:t>
      </w:r>
      <w:r>
        <w:rPr>
          <w:b/>
          <w:bCs/>
        </w:rPr>
        <w:t xml:space="preserve">Krīzes sākumā valdība izmantoja resursus pietiekami efektīvi, saglabājot valsts fiskālo ilgtspēju. </w:t>
      </w:r>
      <w:r>
        <w:t xml:space="preserve">No Latvijas nedaudz atpalika Igaunija, kurai deficīts, 2020. gada beigās, bija 4,9%. Lietuvai, kā arī ES un </w:t>
      </w:r>
      <w:r>
        <w:rPr>
          <w:lang w:val="lv"/>
        </w:rPr>
        <w:t xml:space="preserve">Eurozonas valstīm deficīts bija salīdzinoši lielāks - ap 7% (skatīt 4. attēlu). </w:t>
      </w:r>
      <w:r>
        <w:t xml:space="preserve">Novērtējot pēdējo gadu Latvijas valsts kopbudžeta deficītu, var secināt, ka līdz 2021. gadam deficīts bija kontrolējamā līmenī. </w:t>
      </w:r>
      <w:r>
        <w:rPr>
          <w:b/>
          <w:bCs/>
        </w:rPr>
        <w:t xml:space="preserve">Tomēr </w:t>
      </w:r>
      <w:r>
        <w:rPr>
          <w:b/>
          <w:bCs/>
        </w:rPr>
        <w:lastRenderedPageBreak/>
        <w:t>Padomes viedoklis ir, ka 2021. gada rezultāti nebūs tik pozitīvi, ņemot vērā š.g. atbalsta apjomus, kas ievērojami pasliktina 2021. gada bilances prognozes. Turklāt, Covid-19 krīze nav līdz galam pārvarēta un joprojām pastāv varbūtība, ka būs jāpieņem jaunie atbalsta pasākumi, kas vēl vairāk pasliktinās VVBB.</w:t>
      </w:r>
    </w:p>
    <w:p w14:paraId="634E3A3E" w14:textId="77777777" w:rsidR="00E50B37" w:rsidRDefault="00645276">
      <w:pPr>
        <w:pStyle w:val="FDPNosaukumsGrafikam"/>
        <w:rPr>
          <w:lang w:eastAsia="lv-LV"/>
        </w:rPr>
      </w:pPr>
      <w:bookmarkStart w:id="15" w:name="_Hlk84600810"/>
      <w:bookmarkEnd w:id="15"/>
      <w:r>
        <w:rPr>
          <w:lang w:eastAsia="lv-LV"/>
        </w:rPr>
        <w:t>4. attēls: Vispārējās valdības budžeta deficīts (% no IKP) ES27, Eirozonā un Baltijas valstīs periodā no 2016. g.-2020. g.</w:t>
      </w:r>
    </w:p>
    <w:p w14:paraId="4B1D3E01" w14:textId="77777777" w:rsidR="00E50B37" w:rsidRDefault="00E50B37">
      <w:pPr>
        <w:spacing w:after="0" w:line="240" w:lineRule="auto"/>
        <w:ind w:left="426"/>
        <w:contextualSpacing/>
        <w:rPr>
          <w:rFonts w:ascii="Calibri" w:eastAsia="Times New Roman" w:hAnsi="Calibri" w:cs="Times New Roman"/>
          <w:b/>
          <w:bCs/>
          <w:color w:val="auto"/>
          <w:sz w:val="22"/>
          <w:szCs w:val="22"/>
        </w:rPr>
      </w:pPr>
    </w:p>
    <w:p w14:paraId="3BE09244" w14:textId="77777777" w:rsidR="00E50B37" w:rsidRDefault="00645276">
      <w:pPr>
        <w:spacing w:after="0" w:line="240" w:lineRule="auto"/>
        <w:ind w:left="426"/>
        <w:contextualSpacing/>
        <w:rPr>
          <w:rFonts w:ascii="Calibri" w:eastAsia="Times New Roman" w:hAnsi="Calibri" w:cs="Times New Roman"/>
          <w:b/>
          <w:bCs/>
          <w:color w:val="auto"/>
          <w:sz w:val="22"/>
          <w:szCs w:val="22"/>
        </w:rPr>
      </w:pPr>
      <w:r>
        <w:rPr>
          <w:noProof/>
        </w:rPr>
        <w:drawing>
          <wp:inline distT="0" distB="0" distL="0" distR="0" wp14:anchorId="5630CDC0" wp14:editId="29521F8F">
            <wp:extent cx="5419725" cy="3143250"/>
            <wp:effectExtent l="0" t="0" r="0" b="0"/>
            <wp:docPr id="6" name="Object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15815BE" w14:textId="77777777" w:rsidR="00E50B37" w:rsidRDefault="00645276">
      <w:pPr>
        <w:pStyle w:val="FDPTabulagalvina"/>
      </w:pPr>
      <w:r>
        <w:t>Avots: Eurostat</w:t>
      </w:r>
    </w:p>
    <w:p w14:paraId="1B46E81A" w14:textId="77777777" w:rsidR="00E50B37" w:rsidRDefault="00E50B37">
      <w:pPr>
        <w:pStyle w:val="Virsraksts2"/>
      </w:pPr>
      <w:bookmarkStart w:id="16" w:name="_Hlk846008101"/>
      <w:bookmarkEnd w:id="16"/>
    </w:p>
    <w:p w14:paraId="0A42EB44" w14:textId="77777777" w:rsidR="00E50B37" w:rsidRDefault="00645276">
      <w:pPr>
        <w:pStyle w:val="Virsraksts2"/>
        <w:rPr>
          <w:color w:val="2E74B5"/>
        </w:rPr>
      </w:pPr>
      <w:bookmarkStart w:id="17" w:name="_Toc53398600"/>
      <w:bookmarkStart w:id="18" w:name="_Toc84839731"/>
      <w:r>
        <w:t>1.4. Ekonomikas stabilizācijas pasākumu fiskālā ietekme</w:t>
      </w:r>
      <w:bookmarkEnd w:id="17"/>
      <w:bookmarkEnd w:id="18"/>
    </w:p>
    <w:p w14:paraId="44483D8F" w14:textId="77777777" w:rsidR="00E50B37" w:rsidRDefault="00E50B37">
      <w:pPr>
        <w:spacing w:after="0" w:line="240" w:lineRule="auto"/>
        <w:ind w:left="426"/>
        <w:contextualSpacing/>
        <w:rPr>
          <w:rFonts w:ascii="Calibri Light" w:eastAsia="Times New Roman" w:hAnsi="Calibri Light" w:cs="Times New Roman"/>
          <w:b/>
          <w:bCs/>
          <w:color w:val="auto"/>
          <w:sz w:val="22"/>
          <w:szCs w:val="22"/>
        </w:rPr>
      </w:pPr>
    </w:p>
    <w:p w14:paraId="226E7716" w14:textId="77777777" w:rsidR="00E50B37" w:rsidRDefault="00645276">
      <w:pPr>
        <w:pStyle w:val="FDPList1"/>
      </w:pPr>
      <w:r>
        <w:rPr>
          <w:b/>
          <w:bCs/>
          <w:lang w:val="lv"/>
        </w:rPr>
        <w:t>Latvijas valdība reaģēja uz Covid-19 izraisīto krīzi un izveidoja ekonomikas stabilizācijas un iedzīvotāju atbalsta mehānismus, saskaņā ar starptautisko organizāciju rekomendācijām.</w:t>
      </w:r>
      <w:r>
        <w:rPr>
          <w:lang w:val="lv"/>
        </w:rPr>
        <w:t xml:space="preserve"> Pēc FM pašreizējā novērtējuma, atbalsta pasākumu ietekme uz VVBB 2021.gadā sasniegs </w:t>
      </w:r>
      <w:r>
        <w:t>gandrīz 2,2 miljardu eiro, kas ir 6,9% no IKP. Patiesībā pasākumu ietekme uz ekonomiku būs pat lielāka, jo daļa no pasākumiem, piemēram garantijas, neatstāj iespaidu uz VVBB. Šobrīd daļa no pasākumiem vēl nav realizēti; pēc FM novērtējuma septembra vidū atbalsta pasākumu ietekme uz VVBB ir apmēram 1,7 miljardi eiro (skatīt 5. tabulu zemāk). Pasākumi ir terminēti uz krīzes laiku un ir mērķēti uz likviditātes uzturēšanu, darba ņēmēju un ievainojamāko sabiedrības slāņu sociālo aizsardzību, uzņēmēju un nozaru atbalstu, un veselības aizsardzības un citu sektoru kapacitātes stiprināšanu.</w:t>
      </w:r>
    </w:p>
    <w:p w14:paraId="02DB3C32" w14:textId="77777777" w:rsidR="00E50B37" w:rsidRDefault="00645276">
      <w:pPr>
        <w:pStyle w:val="FDPList1"/>
      </w:pPr>
      <w:r>
        <w:t xml:space="preserve">Sākotnēji likuma “Par valsts apdraudējuma un tā seku novēršanas un pārvarēšanas pasākumiem sakarā ar Covid-19 izplatību” 28.pants paredzēja, ka visi atbalsta pasākumi ir uzskatāmi par vienreizējiem, kam nav ietekmes uz budžeta strukturālo bilanci.  Tomēr EK pieņēma lēmumu, ka izdevumi, kas saistīti ar krīzes pārvarēšanu nav vienreizēji un tiem ir ietekme uz strukturālo deficītu. Līdz ar to likumā “Covid-19 </w:t>
      </w:r>
      <w:r>
        <w:lastRenderedPageBreak/>
        <w:t xml:space="preserve">infekcijas izplatības seku pārvarēšanas likums” vairs netika paredzēts likuma pants, kas noteiktu, ka pasākumi ar Covid-19 izplatību saistītās ārkārtējās situācijas ietekmes mazināšanai ir vienreizēji pasākumi. Līdz ar to strukturālais deficīts 2020. gadā un sagaidāmais deficīts 2021. gadā ir ievērojami lielāki. </w:t>
      </w:r>
    </w:p>
    <w:p w14:paraId="2FA0FC4B" w14:textId="77777777" w:rsidR="00E50B37" w:rsidRDefault="00645276">
      <w:pPr>
        <w:pStyle w:val="FDPList1"/>
      </w:pPr>
      <w:r>
        <w:rPr>
          <w:rFonts w:eastAsia="Calibri"/>
          <w:b/>
          <w:bCs/>
        </w:rPr>
        <w:t xml:space="preserve">Kopumā Padome atbalsta valdības izveidoto atbalsta pasākumu programmu, lai arī dažiem pasākumiem izlietotie resursi varēja būt </w:t>
      </w:r>
      <w:r>
        <w:rPr>
          <w:b/>
          <w:bCs/>
        </w:rPr>
        <w:t>izmantoti</w:t>
      </w:r>
      <w:r>
        <w:t xml:space="preserve"> </w:t>
      </w:r>
      <w:r>
        <w:rPr>
          <w:rFonts w:eastAsia="Calibri"/>
          <w:b/>
          <w:bCs/>
        </w:rPr>
        <w:t>efektīvāk</w:t>
      </w:r>
      <w:r>
        <w:rPr>
          <w:rFonts w:eastAsia="Calibri"/>
        </w:rPr>
        <w:t>. Piemēram, vairāk kā 200 miljonu infrastruktūras investīciju programma pēc Padomes ieskata vairāk pārkarsē būvniecības nozari nekā sniedz atbalstu no Covid-19 cietušajiem. Tomēr, kopumā atbalsts cietušajām grupām tika sniegts laicīgi un lielā mērā mērķēti. Pašlaik ievērojama daļa mehānismu jau pārtrauca savu darbību, lai arī neliela daļa joprojām paliek spēkā. Sakarā ar to, ka tālākā situācija ar Covid-19 nav līdz galam skaidra, ir varbūtība, ka valdībai būs jāpieņem jauni atbalsta mehānismi. Tomēr, pieaugot vakcinēto cilvēku skaitam, jauni Covid-19 uzliesmojumi potenciāli neietekmēs šo cilvēku grupu. Objektīvāk atbalsta programmas varēs izvērtēt pēc krīzes beigām.</w:t>
      </w:r>
    </w:p>
    <w:p w14:paraId="4DFB9094" w14:textId="77777777" w:rsidR="00E50B37" w:rsidRDefault="00645276">
      <w:pPr>
        <w:pStyle w:val="FDPList1"/>
        <w:rPr>
          <w:rFonts w:asciiTheme="minorHAnsi" w:eastAsiaTheme="minorEastAsia" w:hAnsiTheme="minorHAnsi"/>
          <w:b/>
          <w:bCs/>
          <w:szCs w:val="20"/>
        </w:rPr>
      </w:pPr>
      <w:r>
        <w:rPr>
          <w:rFonts w:eastAsia="Calibri"/>
        </w:rPr>
        <w:t xml:space="preserve">Zemāk 5. tabulā ir apkopota Latvijas atbalsta pasākumu statistika, grupējot pa pabalstu saņēmēju grupām. Pašlaik piedāvātie aprēķini ir tikai provizoriski, balstīti uz MK lēmumiem un apstiprinātajām programmām. </w:t>
      </w:r>
      <w:r>
        <w:t xml:space="preserve">Salīdzinoši lielu atbalstu 2021. gadā saņēma uzņēmumi, izmantojot grantus apgrozāmajiem līdzekļiem, dažādas iedzīvotāju grupas (ieskaitot arī mazāk sociāli aizsargātas grupas), kā arī veselības aprūpes nozare.  Likumdošana nosaka, ka gandrīz </w:t>
      </w:r>
      <w:r>
        <w:rPr>
          <w:b/>
          <w:bCs/>
        </w:rPr>
        <w:t>visiem atbalsta pasākumiem ir ierobežots darbības laiks. 2021. gada jūnijā lielākā atbalsta mehānismu daļa pārtrauca savu darbību.</w:t>
      </w:r>
    </w:p>
    <w:p w14:paraId="46E66B9C" w14:textId="77777777" w:rsidR="00E50B37" w:rsidRDefault="00645276">
      <w:pPr>
        <w:ind w:firstLine="426"/>
        <w:jc w:val="left"/>
      </w:pPr>
      <w:r>
        <w:rPr>
          <w:rFonts w:eastAsia="Verdana" w:cs="Verdana"/>
          <w:b/>
          <w:bCs/>
          <w:color w:val="993333"/>
          <w:szCs w:val="20"/>
          <w:lang w:val="lv"/>
        </w:rPr>
        <w:t>5. tabula. Atbalsta pasākumi ar prognozēto vai faktisko ietekmi uz budžetu 2020. un 2021. gadā (milj. eiro)</w:t>
      </w:r>
    </w:p>
    <w:tbl>
      <w:tblPr>
        <w:tblStyle w:val="Reatabula"/>
        <w:tblW w:w="9372" w:type="dxa"/>
        <w:tblLayout w:type="fixed"/>
        <w:tblLook w:val="04A0" w:firstRow="1" w:lastRow="0" w:firstColumn="1" w:lastColumn="0" w:noHBand="0" w:noVBand="1"/>
      </w:tblPr>
      <w:tblGrid>
        <w:gridCol w:w="4523"/>
        <w:gridCol w:w="196"/>
        <w:gridCol w:w="938"/>
        <w:gridCol w:w="182"/>
        <w:gridCol w:w="931"/>
        <w:gridCol w:w="1169"/>
        <w:gridCol w:w="1197"/>
        <w:gridCol w:w="236"/>
      </w:tblGrid>
      <w:tr w:rsidR="00E50B37" w14:paraId="2D03DCCB" w14:textId="77777777">
        <w:trPr>
          <w:trHeight w:val="20"/>
        </w:trPr>
        <w:tc>
          <w:tcPr>
            <w:tcW w:w="4522" w:type="dxa"/>
            <w:tcBorders>
              <w:top w:val="nil"/>
              <w:left w:val="nil"/>
              <w:bottom w:val="single" w:sz="18" w:space="0" w:color="9D2234"/>
              <w:right w:val="nil"/>
            </w:tcBorders>
            <w:vAlign w:val="bottom"/>
          </w:tcPr>
          <w:p w14:paraId="10BB2474" w14:textId="77777777" w:rsidR="00E50B37" w:rsidRDefault="00645276">
            <w:pPr>
              <w:widowControl w:val="0"/>
              <w:spacing w:line="240" w:lineRule="auto"/>
              <w:rPr>
                <w:sz w:val="16"/>
              </w:rPr>
            </w:pPr>
            <w:r>
              <w:rPr>
                <w:rFonts w:eastAsia="Verdana" w:cs="Verdana"/>
                <w:b/>
                <w:bCs/>
                <w:color w:val="993333"/>
                <w:sz w:val="16"/>
                <w:szCs w:val="20"/>
                <w:lang w:val="lv"/>
              </w:rPr>
              <w:t>Pasākuma veids</w:t>
            </w:r>
          </w:p>
        </w:tc>
        <w:tc>
          <w:tcPr>
            <w:tcW w:w="1134" w:type="dxa"/>
            <w:gridSpan w:val="2"/>
            <w:tcBorders>
              <w:top w:val="nil"/>
              <w:left w:val="nil"/>
              <w:bottom w:val="single" w:sz="18" w:space="0" w:color="9D2234"/>
              <w:right w:val="nil"/>
            </w:tcBorders>
            <w:vAlign w:val="bottom"/>
          </w:tcPr>
          <w:p w14:paraId="76723561" w14:textId="77777777" w:rsidR="00E50B37" w:rsidRDefault="00645276">
            <w:pPr>
              <w:widowControl w:val="0"/>
              <w:spacing w:line="240" w:lineRule="auto"/>
              <w:rPr>
                <w:sz w:val="16"/>
              </w:rPr>
            </w:pPr>
            <w:r>
              <w:rPr>
                <w:rFonts w:eastAsia="Verdana" w:cs="Verdana"/>
                <w:b/>
                <w:bCs/>
                <w:color w:val="993333"/>
                <w:sz w:val="16"/>
                <w:szCs w:val="20"/>
                <w:lang w:val="lv"/>
              </w:rPr>
              <w:t>2020 faktiskais atbalsts</w:t>
            </w:r>
          </w:p>
        </w:tc>
        <w:tc>
          <w:tcPr>
            <w:tcW w:w="1113" w:type="dxa"/>
            <w:gridSpan w:val="2"/>
            <w:tcBorders>
              <w:top w:val="nil"/>
              <w:left w:val="nil"/>
              <w:bottom w:val="single" w:sz="18" w:space="0" w:color="9D2234"/>
              <w:right w:val="nil"/>
            </w:tcBorders>
            <w:vAlign w:val="bottom"/>
          </w:tcPr>
          <w:p w14:paraId="1676AFC5" w14:textId="77777777" w:rsidR="00E50B37" w:rsidRDefault="00645276">
            <w:pPr>
              <w:widowControl w:val="0"/>
              <w:spacing w:line="240" w:lineRule="auto"/>
              <w:rPr>
                <w:sz w:val="16"/>
              </w:rPr>
            </w:pPr>
            <w:r>
              <w:rPr>
                <w:rFonts w:eastAsia="Verdana" w:cs="Verdana"/>
                <w:b/>
                <w:bCs/>
                <w:color w:val="993333"/>
                <w:sz w:val="16"/>
                <w:szCs w:val="20"/>
                <w:lang w:val="lv"/>
              </w:rPr>
              <w:t>2021 plānotais atbalsts</w:t>
            </w:r>
          </w:p>
        </w:tc>
        <w:tc>
          <w:tcPr>
            <w:tcW w:w="1169" w:type="dxa"/>
            <w:tcBorders>
              <w:top w:val="nil"/>
              <w:left w:val="nil"/>
              <w:bottom w:val="single" w:sz="18" w:space="0" w:color="9D2234"/>
              <w:right w:val="nil"/>
            </w:tcBorders>
            <w:vAlign w:val="bottom"/>
          </w:tcPr>
          <w:p w14:paraId="6241D0D6" w14:textId="77777777" w:rsidR="00E50B37" w:rsidRDefault="00645276">
            <w:pPr>
              <w:widowControl w:val="0"/>
              <w:spacing w:line="240" w:lineRule="auto"/>
              <w:rPr>
                <w:sz w:val="16"/>
              </w:rPr>
            </w:pPr>
            <w:r>
              <w:rPr>
                <w:rFonts w:eastAsia="Verdana" w:cs="Verdana"/>
                <w:b/>
                <w:bCs/>
                <w:color w:val="993333"/>
                <w:sz w:val="16"/>
                <w:szCs w:val="20"/>
                <w:lang w:val="lv"/>
              </w:rPr>
              <w:t>2021 faktiskais atbalsts</w:t>
            </w:r>
          </w:p>
        </w:tc>
        <w:tc>
          <w:tcPr>
            <w:tcW w:w="1197" w:type="dxa"/>
            <w:tcBorders>
              <w:top w:val="nil"/>
              <w:left w:val="nil"/>
              <w:bottom w:val="single" w:sz="18" w:space="0" w:color="9D2234"/>
              <w:right w:val="nil"/>
            </w:tcBorders>
            <w:vAlign w:val="bottom"/>
          </w:tcPr>
          <w:p w14:paraId="11F58B65" w14:textId="77777777" w:rsidR="00E50B37" w:rsidRDefault="00645276">
            <w:pPr>
              <w:widowControl w:val="0"/>
              <w:spacing w:line="240" w:lineRule="auto"/>
              <w:rPr>
                <w:sz w:val="16"/>
              </w:rPr>
            </w:pPr>
            <w:r>
              <w:rPr>
                <w:rFonts w:eastAsia="Verdana" w:cs="Verdana"/>
                <w:b/>
                <w:bCs/>
                <w:color w:val="993333"/>
                <w:sz w:val="16"/>
                <w:szCs w:val="20"/>
                <w:lang w:val="lv"/>
              </w:rPr>
              <w:t>2022 plānotais atbalsts</w:t>
            </w:r>
          </w:p>
        </w:tc>
        <w:tc>
          <w:tcPr>
            <w:tcW w:w="236" w:type="dxa"/>
            <w:tcBorders>
              <w:top w:val="nil"/>
              <w:left w:val="nil"/>
              <w:bottom w:val="single" w:sz="18" w:space="0" w:color="9D2234"/>
              <w:right w:val="nil"/>
            </w:tcBorders>
          </w:tcPr>
          <w:p w14:paraId="13F15984" w14:textId="77777777" w:rsidR="00E50B37" w:rsidRDefault="00645276">
            <w:pPr>
              <w:widowControl w:val="0"/>
            </w:pPr>
            <w:r>
              <w:rPr>
                <w:rFonts w:eastAsia="Verdana" w:cs="Verdana"/>
                <w:b/>
                <w:bCs/>
                <w:color w:val="993333"/>
                <w:szCs w:val="20"/>
                <w:lang w:val="lv"/>
              </w:rPr>
              <w:t xml:space="preserve"> </w:t>
            </w:r>
          </w:p>
        </w:tc>
      </w:tr>
      <w:tr w:rsidR="00E50B37" w14:paraId="6EACACBD" w14:textId="77777777">
        <w:trPr>
          <w:trHeight w:val="20"/>
        </w:trPr>
        <w:tc>
          <w:tcPr>
            <w:tcW w:w="4718" w:type="dxa"/>
            <w:gridSpan w:val="2"/>
            <w:tcBorders>
              <w:top w:val="single" w:sz="18" w:space="0" w:color="9D2234"/>
              <w:left w:val="nil"/>
              <w:bottom w:val="single" w:sz="18" w:space="0" w:color="9D2234"/>
              <w:right w:val="nil"/>
            </w:tcBorders>
            <w:vAlign w:val="bottom"/>
          </w:tcPr>
          <w:p w14:paraId="083A284C" w14:textId="77777777" w:rsidR="00E50B37" w:rsidRDefault="00645276">
            <w:pPr>
              <w:widowControl w:val="0"/>
              <w:spacing w:line="240" w:lineRule="auto"/>
              <w:rPr>
                <w:sz w:val="16"/>
              </w:rPr>
            </w:pPr>
            <w:r>
              <w:rPr>
                <w:rFonts w:eastAsia="Verdana" w:cs="Verdana"/>
                <w:b/>
                <w:bCs/>
                <w:sz w:val="16"/>
                <w:szCs w:val="20"/>
                <w:lang w:val="lv"/>
              </w:rPr>
              <w:t>Atblasts iedzīvotājiem un darbaspēkam</w:t>
            </w:r>
          </w:p>
        </w:tc>
        <w:tc>
          <w:tcPr>
            <w:tcW w:w="1120" w:type="dxa"/>
            <w:gridSpan w:val="2"/>
            <w:tcBorders>
              <w:top w:val="nil"/>
              <w:left w:val="nil"/>
              <w:bottom w:val="single" w:sz="18" w:space="0" w:color="9D2234"/>
              <w:right w:val="nil"/>
            </w:tcBorders>
            <w:vAlign w:val="bottom"/>
          </w:tcPr>
          <w:p w14:paraId="3A28A933" w14:textId="77777777" w:rsidR="00E50B37" w:rsidRDefault="00645276">
            <w:pPr>
              <w:widowControl w:val="0"/>
              <w:spacing w:line="240" w:lineRule="auto"/>
              <w:rPr>
                <w:sz w:val="16"/>
              </w:rPr>
            </w:pPr>
            <w:r>
              <w:rPr>
                <w:rFonts w:eastAsia="Verdana" w:cs="Verdana"/>
                <w:b/>
                <w:bCs/>
                <w:sz w:val="16"/>
                <w:szCs w:val="20"/>
                <w:lang w:val="lv"/>
              </w:rPr>
              <w:t>131.7</w:t>
            </w:r>
          </w:p>
        </w:tc>
        <w:tc>
          <w:tcPr>
            <w:tcW w:w="931" w:type="dxa"/>
            <w:tcBorders>
              <w:top w:val="nil"/>
              <w:left w:val="nil"/>
              <w:bottom w:val="single" w:sz="18" w:space="0" w:color="9D2234"/>
              <w:right w:val="nil"/>
            </w:tcBorders>
            <w:vAlign w:val="bottom"/>
          </w:tcPr>
          <w:p w14:paraId="44EFEF34" w14:textId="77777777" w:rsidR="00E50B37" w:rsidRDefault="00645276">
            <w:pPr>
              <w:widowControl w:val="0"/>
              <w:spacing w:line="240" w:lineRule="auto"/>
              <w:rPr>
                <w:sz w:val="16"/>
              </w:rPr>
            </w:pPr>
            <w:r>
              <w:rPr>
                <w:rFonts w:eastAsia="Verdana" w:cs="Verdana"/>
                <w:b/>
                <w:bCs/>
                <w:sz w:val="16"/>
                <w:szCs w:val="20"/>
                <w:lang w:val="lv"/>
              </w:rPr>
              <w:t>526.4</w:t>
            </w:r>
          </w:p>
        </w:tc>
        <w:tc>
          <w:tcPr>
            <w:tcW w:w="1169" w:type="dxa"/>
            <w:tcBorders>
              <w:top w:val="single" w:sz="18" w:space="0" w:color="9D2234"/>
              <w:left w:val="nil"/>
              <w:bottom w:val="single" w:sz="18" w:space="0" w:color="9D2234"/>
              <w:right w:val="nil"/>
            </w:tcBorders>
            <w:vAlign w:val="bottom"/>
          </w:tcPr>
          <w:p w14:paraId="43B88A63" w14:textId="77777777" w:rsidR="00E50B37" w:rsidRDefault="00645276">
            <w:pPr>
              <w:widowControl w:val="0"/>
              <w:spacing w:line="240" w:lineRule="auto"/>
              <w:rPr>
                <w:sz w:val="16"/>
              </w:rPr>
            </w:pPr>
            <w:r>
              <w:rPr>
                <w:rFonts w:eastAsia="Verdana" w:cs="Verdana"/>
                <w:b/>
                <w:bCs/>
                <w:sz w:val="16"/>
                <w:szCs w:val="20"/>
                <w:lang w:val="lv"/>
              </w:rPr>
              <w:t>508.5</w:t>
            </w:r>
          </w:p>
        </w:tc>
        <w:tc>
          <w:tcPr>
            <w:tcW w:w="1197" w:type="dxa"/>
            <w:tcBorders>
              <w:top w:val="single" w:sz="18" w:space="0" w:color="9D2234"/>
              <w:left w:val="nil"/>
              <w:bottom w:val="single" w:sz="18" w:space="0" w:color="9D2234"/>
              <w:right w:val="nil"/>
            </w:tcBorders>
            <w:vAlign w:val="bottom"/>
          </w:tcPr>
          <w:p w14:paraId="19A1D268" w14:textId="77777777" w:rsidR="00E50B37" w:rsidRDefault="00645276">
            <w:pPr>
              <w:widowControl w:val="0"/>
              <w:spacing w:line="240" w:lineRule="auto"/>
              <w:rPr>
                <w:sz w:val="16"/>
              </w:rPr>
            </w:pPr>
            <w:r>
              <w:rPr>
                <w:rFonts w:eastAsia="Verdana" w:cs="Verdana"/>
                <w:b/>
                <w:bCs/>
                <w:sz w:val="16"/>
                <w:szCs w:val="20"/>
                <w:lang w:val="lv"/>
              </w:rPr>
              <w:t>0.0</w:t>
            </w:r>
          </w:p>
        </w:tc>
        <w:tc>
          <w:tcPr>
            <w:tcW w:w="236" w:type="dxa"/>
            <w:tcBorders>
              <w:top w:val="single" w:sz="18" w:space="0" w:color="9D2234"/>
              <w:left w:val="nil"/>
              <w:bottom w:val="single" w:sz="18" w:space="0" w:color="9D2234"/>
              <w:right w:val="nil"/>
            </w:tcBorders>
          </w:tcPr>
          <w:p w14:paraId="70119C78" w14:textId="77777777" w:rsidR="00E50B37" w:rsidRDefault="00645276">
            <w:pPr>
              <w:widowControl w:val="0"/>
            </w:pPr>
            <w:r>
              <w:rPr>
                <w:rFonts w:eastAsia="Verdana" w:cs="Verdana"/>
                <w:b/>
                <w:bCs/>
                <w:sz w:val="18"/>
                <w:szCs w:val="18"/>
                <w:lang w:val="lv"/>
              </w:rPr>
              <w:t xml:space="preserve"> </w:t>
            </w:r>
          </w:p>
        </w:tc>
      </w:tr>
      <w:tr w:rsidR="00E50B37" w14:paraId="6C08547E" w14:textId="77777777">
        <w:trPr>
          <w:trHeight w:val="20"/>
        </w:trPr>
        <w:tc>
          <w:tcPr>
            <w:tcW w:w="4718" w:type="dxa"/>
            <w:gridSpan w:val="2"/>
            <w:tcBorders>
              <w:top w:val="single" w:sz="18" w:space="0" w:color="9D2234"/>
              <w:left w:val="nil"/>
              <w:bottom w:val="single" w:sz="8" w:space="0" w:color="9D2234"/>
              <w:right w:val="nil"/>
            </w:tcBorders>
            <w:vAlign w:val="bottom"/>
          </w:tcPr>
          <w:p w14:paraId="716BC651" w14:textId="77777777" w:rsidR="00E50B37" w:rsidRDefault="00645276">
            <w:pPr>
              <w:widowControl w:val="0"/>
              <w:spacing w:line="240" w:lineRule="auto"/>
              <w:rPr>
                <w:sz w:val="16"/>
              </w:rPr>
            </w:pPr>
            <w:r>
              <w:rPr>
                <w:rFonts w:eastAsia="Verdana" w:cs="Verdana"/>
                <w:sz w:val="16"/>
                <w:szCs w:val="20"/>
                <w:lang w:val="lv"/>
              </w:rPr>
              <w:t>Dīkstāves (arī palīdzības) pabalsts</w:t>
            </w:r>
          </w:p>
        </w:tc>
        <w:tc>
          <w:tcPr>
            <w:tcW w:w="1120" w:type="dxa"/>
            <w:gridSpan w:val="2"/>
            <w:tcBorders>
              <w:top w:val="single" w:sz="18" w:space="0" w:color="9D2234"/>
              <w:left w:val="nil"/>
              <w:bottom w:val="single" w:sz="8" w:space="0" w:color="9D2234"/>
              <w:right w:val="nil"/>
            </w:tcBorders>
            <w:vAlign w:val="bottom"/>
          </w:tcPr>
          <w:p w14:paraId="4EA414C6" w14:textId="77777777" w:rsidR="00E50B37" w:rsidRDefault="00645276">
            <w:pPr>
              <w:widowControl w:val="0"/>
              <w:spacing w:line="240" w:lineRule="auto"/>
              <w:rPr>
                <w:sz w:val="16"/>
              </w:rPr>
            </w:pPr>
            <w:r>
              <w:rPr>
                <w:rFonts w:eastAsia="Verdana" w:cs="Verdana"/>
                <w:sz w:val="16"/>
                <w:szCs w:val="20"/>
                <w:lang w:val="lv"/>
              </w:rPr>
              <w:t>64.0</w:t>
            </w:r>
          </w:p>
        </w:tc>
        <w:tc>
          <w:tcPr>
            <w:tcW w:w="931" w:type="dxa"/>
            <w:tcBorders>
              <w:top w:val="single" w:sz="18" w:space="0" w:color="9D2234"/>
              <w:left w:val="nil"/>
              <w:bottom w:val="single" w:sz="8" w:space="0" w:color="000000"/>
              <w:right w:val="nil"/>
            </w:tcBorders>
            <w:vAlign w:val="bottom"/>
          </w:tcPr>
          <w:p w14:paraId="07BDD9CF" w14:textId="77777777" w:rsidR="00E50B37" w:rsidRDefault="00645276">
            <w:pPr>
              <w:widowControl w:val="0"/>
              <w:spacing w:line="240" w:lineRule="auto"/>
              <w:rPr>
                <w:sz w:val="16"/>
              </w:rPr>
            </w:pPr>
            <w:r>
              <w:rPr>
                <w:rFonts w:eastAsia="Verdana" w:cs="Verdana"/>
                <w:sz w:val="16"/>
                <w:szCs w:val="20"/>
                <w:lang w:val="lv"/>
              </w:rPr>
              <w:t>139.8</w:t>
            </w:r>
          </w:p>
        </w:tc>
        <w:tc>
          <w:tcPr>
            <w:tcW w:w="1169" w:type="dxa"/>
            <w:tcBorders>
              <w:top w:val="single" w:sz="18" w:space="0" w:color="9D2234"/>
              <w:left w:val="nil"/>
              <w:bottom w:val="single" w:sz="8" w:space="0" w:color="000000"/>
              <w:right w:val="nil"/>
            </w:tcBorders>
            <w:vAlign w:val="bottom"/>
          </w:tcPr>
          <w:p w14:paraId="19598091" w14:textId="77777777" w:rsidR="00E50B37" w:rsidRDefault="00645276">
            <w:pPr>
              <w:widowControl w:val="0"/>
              <w:spacing w:line="240" w:lineRule="auto"/>
              <w:rPr>
                <w:sz w:val="16"/>
              </w:rPr>
            </w:pPr>
            <w:r>
              <w:rPr>
                <w:rFonts w:eastAsia="Verdana" w:cs="Verdana"/>
                <w:sz w:val="16"/>
                <w:szCs w:val="20"/>
                <w:lang w:val="lv"/>
              </w:rPr>
              <w:t>139.8</w:t>
            </w:r>
          </w:p>
        </w:tc>
        <w:tc>
          <w:tcPr>
            <w:tcW w:w="1197" w:type="dxa"/>
            <w:tcBorders>
              <w:top w:val="single" w:sz="18" w:space="0" w:color="9D2234"/>
              <w:left w:val="nil"/>
              <w:bottom w:val="single" w:sz="8" w:space="0" w:color="000000"/>
              <w:right w:val="nil"/>
            </w:tcBorders>
            <w:vAlign w:val="bottom"/>
          </w:tcPr>
          <w:p w14:paraId="19A5EE27" w14:textId="77777777" w:rsidR="00E50B37" w:rsidRDefault="00645276">
            <w:pPr>
              <w:widowControl w:val="0"/>
              <w:spacing w:line="240" w:lineRule="auto"/>
              <w:rPr>
                <w:sz w:val="16"/>
              </w:rPr>
            </w:pPr>
            <w:r>
              <w:rPr>
                <w:rFonts w:eastAsia="Verdana" w:cs="Verdana"/>
                <w:sz w:val="16"/>
                <w:szCs w:val="20"/>
                <w:lang w:val="lv"/>
              </w:rPr>
              <w:t xml:space="preserve"> </w:t>
            </w:r>
          </w:p>
        </w:tc>
        <w:tc>
          <w:tcPr>
            <w:tcW w:w="236" w:type="dxa"/>
            <w:tcBorders>
              <w:top w:val="single" w:sz="18" w:space="0" w:color="9D2234"/>
              <w:left w:val="nil"/>
              <w:bottom w:val="single" w:sz="8" w:space="0" w:color="000000"/>
              <w:right w:val="nil"/>
            </w:tcBorders>
          </w:tcPr>
          <w:p w14:paraId="0DAE1FD8" w14:textId="77777777" w:rsidR="00E50B37" w:rsidRDefault="00645276">
            <w:pPr>
              <w:widowControl w:val="0"/>
            </w:pPr>
            <w:r>
              <w:rPr>
                <w:rFonts w:eastAsia="Verdana" w:cs="Verdana"/>
                <w:sz w:val="18"/>
                <w:szCs w:val="18"/>
                <w:lang w:val="lv"/>
              </w:rPr>
              <w:t xml:space="preserve"> </w:t>
            </w:r>
          </w:p>
        </w:tc>
      </w:tr>
      <w:tr w:rsidR="00E50B37" w14:paraId="4177C5CB" w14:textId="77777777">
        <w:trPr>
          <w:trHeight w:val="20"/>
        </w:trPr>
        <w:tc>
          <w:tcPr>
            <w:tcW w:w="4718" w:type="dxa"/>
            <w:gridSpan w:val="2"/>
            <w:tcBorders>
              <w:top w:val="single" w:sz="8" w:space="0" w:color="9D2234"/>
              <w:left w:val="nil"/>
              <w:bottom w:val="single" w:sz="8" w:space="0" w:color="000000"/>
              <w:right w:val="nil"/>
            </w:tcBorders>
            <w:vAlign w:val="bottom"/>
          </w:tcPr>
          <w:p w14:paraId="169E5A5D" w14:textId="77777777" w:rsidR="00E50B37" w:rsidRDefault="00645276">
            <w:pPr>
              <w:widowControl w:val="0"/>
              <w:spacing w:line="240" w:lineRule="auto"/>
              <w:rPr>
                <w:sz w:val="16"/>
              </w:rPr>
            </w:pPr>
            <w:r>
              <w:rPr>
                <w:rFonts w:eastAsia="Verdana" w:cs="Verdana"/>
                <w:sz w:val="16"/>
                <w:szCs w:val="20"/>
                <w:lang w:val="lv"/>
              </w:rPr>
              <w:t>Dažāda veida pabalsti - bezdarbnieka, ģimenēm, bērniem u. tml.</w:t>
            </w:r>
          </w:p>
        </w:tc>
        <w:tc>
          <w:tcPr>
            <w:tcW w:w="1120" w:type="dxa"/>
            <w:gridSpan w:val="2"/>
            <w:tcBorders>
              <w:top w:val="single" w:sz="8" w:space="0" w:color="9D2234"/>
              <w:left w:val="nil"/>
              <w:bottom w:val="single" w:sz="8" w:space="0" w:color="000000"/>
              <w:right w:val="nil"/>
            </w:tcBorders>
            <w:vAlign w:val="bottom"/>
          </w:tcPr>
          <w:p w14:paraId="53FD6D89" w14:textId="77777777" w:rsidR="00E50B37" w:rsidRDefault="00645276">
            <w:pPr>
              <w:widowControl w:val="0"/>
              <w:spacing w:line="240" w:lineRule="auto"/>
              <w:rPr>
                <w:sz w:val="16"/>
              </w:rPr>
            </w:pPr>
            <w:r>
              <w:rPr>
                <w:rFonts w:eastAsia="Verdana" w:cs="Verdana"/>
                <w:sz w:val="16"/>
                <w:szCs w:val="20"/>
                <w:lang w:val="lv"/>
              </w:rPr>
              <w:t>18.1</w:t>
            </w:r>
          </w:p>
        </w:tc>
        <w:tc>
          <w:tcPr>
            <w:tcW w:w="931" w:type="dxa"/>
            <w:tcBorders>
              <w:top w:val="single" w:sz="8" w:space="0" w:color="000000"/>
              <w:left w:val="nil"/>
              <w:bottom w:val="single" w:sz="8" w:space="0" w:color="000000"/>
              <w:right w:val="nil"/>
            </w:tcBorders>
            <w:vAlign w:val="bottom"/>
          </w:tcPr>
          <w:p w14:paraId="3C60131C" w14:textId="77777777" w:rsidR="00E50B37" w:rsidRDefault="00645276">
            <w:pPr>
              <w:widowControl w:val="0"/>
              <w:spacing w:line="240" w:lineRule="auto"/>
              <w:rPr>
                <w:sz w:val="16"/>
              </w:rPr>
            </w:pPr>
            <w:r>
              <w:rPr>
                <w:rFonts w:eastAsia="Verdana" w:cs="Verdana"/>
                <w:sz w:val="16"/>
                <w:szCs w:val="20"/>
                <w:lang w:val="lv"/>
              </w:rPr>
              <w:t>345.5</w:t>
            </w:r>
          </w:p>
        </w:tc>
        <w:tc>
          <w:tcPr>
            <w:tcW w:w="1169" w:type="dxa"/>
            <w:tcBorders>
              <w:top w:val="single" w:sz="8" w:space="0" w:color="000000"/>
              <w:left w:val="nil"/>
              <w:bottom w:val="single" w:sz="8" w:space="0" w:color="000000"/>
              <w:right w:val="nil"/>
            </w:tcBorders>
            <w:vAlign w:val="bottom"/>
          </w:tcPr>
          <w:p w14:paraId="4CC9FA0E" w14:textId="77777777" w:rsidR="00E50B37" w:rsidRDefault="00645276">
            <w:pPr>
              <w:widowControl w:val="0"/>
              <w:spacing w:line="240" w:lineRule="auto"/>
              <w:rPr>
                <w:sz w:val="16"/>
              </w:rPr>
            </w:pPr>
            <w:r>
              <w:rPr>
                <w:rFonts w:eastAsia="Verdana" w:cs="Verdana"/>
                <w:sz w:val="16"/>
                <w:szCs w:val="20"/>
                <w:lang w:val="lv"/>
              </w:rPr>
              <w:t>345.5</w:t>
            </w:r>
          </w:p>
        </w:tc>
        <w:tc>
          <w:tcPr>
            <w:tcW w:w="1197" w:type="dxa"/>
            <w:tcBorders>
              <w:top w:val="single" w:sz="8" w:space="0" w:color="000000"/>
              <w:left w:val="nil"/>
              <w:bottom w:val="single" w:sz="8" w:space="0" w:color="000000"/>
              <w:right w:val="nil"/>
            </w:tcBorders>
            <w:vAlign w:val="bottom"/>
          </w:tcPr>
          <w:p w14:paraId="7B8ABF9A" w14:textId="77777777" w:rsidR="00E50B37" w:rsidRDefault="00645276">
            <w:pPr>
              <w:widowControl w:val="0"/>
              <w:spacing w:line="240" w:lineRule="auto"/>
              <w:rPr>
                <w:sz w:val="16"/>
              </w:rPr>
            </w:pPr>
            <w:r>
              <w:rPr>
                <w:rFonts w:eastAsia="Verdana" w:cs="Verdana"/>
                <w:sz w:val="16"/>
                <w:szCs w:val="20"/>
                <w:lang w:val="lv"/>
              </w:rPr>
              <w:t xml:space="preserve"> </w:t>
            </w:r>
          </w:p>
        </w:tc>
        <w:tc>
          <w:tcPr>
            <w:tcW w:w="236" w:type="dxa"/>
            <w:tcBorders>
              <w:top w:val="single" w:sz="8" w:space="0" w:color="000000"/>
              <w:left w:val="nil"/>
              <w:bottom w:val="single" w:sz="8" w:space="0" w:color="000000"/>
              <w:right w:val="nil"/>
            </w:tcBorders>
          </w:tcPr>
          <w:p w14:paraId="14E572F4" w14:textId="77777777" w:rsidR="00E50B37" w:rsidRDefault="00645276">
            <w:pPr>
              <w:widowControl w:val="0"/>
            </w:pPr>
            <w:r>
              <w:rPr>
                <w:rFonts w:eastAsia="Verdana" w:cs="Verdana"/>
                <w:sz w:val="18"/>
                <w:szCs w:val="18"/>
                <w:lang w:val="lv"/>
              </w:rPr>
              <w:t xml:space="preserve"> </w:t>
            </w:r>
          </w:p>
        </w:tc>
      </w:tr>
      <w:tr w:rsidR="00E50B37" w14:paraId="2BD62B92" w14:textId="77777777">
        <w:trPr>
          <w:trHeight w:val="20"/>
        </w:trPr>
        <w:tc>
          <w:tcPr>
            <w:tcW w:w="4718" w:type="dxa"/>
            <w:gridSpan w:val="2"/>
            <w:tcBorders>
              <w:top w:val="single" w:sz="8" w:space="0" w:color="000000"/>
              <w:left w:val="nil"/>
              <w:bottom w:val="single" w:sz="8" w:space="0" w:color="000000"/>
              <w:right w:val="nil"/>
            </w:tcBorders>
            <w:vAlign w:val="bottom"/>
          </w:tcPr>
          <w:p w14:paraId="2AEBDDB4" w14:textId="77777777" w:rsidR="00E50B37" w:rsidRDefault="00645276">
            <w:pPr>
              <w:widowControl w:val="0"/>
              <w:spacing w:line="240" w:lineRule="auto"/>
              <w:rPr>
                <w:sz w:val="16"/>
              </w:rPr>
            </w:pPr>
            <w:r>
              <w:rPr>
                <w:rFonts w:eastAsia="Verdana" w:cs="Verdana"/>
                <w:sz w:val="16"/>
                <w:szCs w:val="20"/>
                <w:lang w:val="lv"/>
              </w:rPr>
              <w:t>Cilvēkkapitāls un demogrāfija, darbinieku pārkvalifikācija</w:t>
            </w:r>
          </w:p>
        </w:tc>
        <w:tc>
          <w:tcPr>
            <w:tcW w:w="1120" w:type="dxa"/>
            <w:gridSpan w:val="2"/>
            <w:tcBorders>
              <w:top w:val="single" w:sz="8" w:space="0" w:color="000000"/>
              <w:left w:val="nil"/>
              <w:bottom w:val="single" w:sz="8" w:space="0" w:color="000000"/>
              <w:right w:val="nil"/>
            </w:tcBorders>
            <w:vAlign w:val="bottom"/>
          </w:tcPr>
          <w:p w14:paraId="35A51DE1" w14:textId="77777777" w:rsidR="00E50B37" w:rsidRDefault="00645276">
            <w:pPr>
              <w:widowControl w:val="0"/>
              <w:spacing w:line="240" w:lineRule="auto"/>
              <w:rPr>
                <w:sz w:val="16"/>
              </w:rPr>
            </w:pPr>
            <w:r>
              <w:rPr>
                <w:rFonts w:eastAsia="Verdana" w:cs="Verdana"/>
                <w:sz w:val="16"/>
                <w:szCs w:val="20"/>
                <w:lang w:val="lv"/>
              </w:rPr>
              <w:t>0.0</w:t>
            </w:r>
          </w:p>
        </w:tc>
        <w:tc>
          <w:tcPr>
            <w:tcW w:w="931" w:type="dxa"/>
            <w:tcBorders>
              <w:top w:val="single" w:sz="8" w:space="0" w:color="000000"/>
              <w:left w:val="nil"/>
              <w:bottom w:val="single" w:sz="8" w:space="0" w:color="000000"/>
              <w:right w:val="nil"/>
            </w:tcBorders>
            <w:vAlign w:val="bottom"/>
          </w:tcPr>
          <w:p w14:paraId="1A781243" w14:textId="77777777" w:rsidR="00E50B37" w:rsidRDefault="00645276">
            <w:pPr>
              <w:widowControl w:val="0"/>
              <w:spacing w:line="240" w:lineRule="auto"/>
              <w:rPr>
                <w:sz w:val="16"/>
              </w:rPr>
            </w:pPr>
            <w:r>
              <w:rPr>
                <w:rFonts w:eastAsia="Verdana" w:cs="Verdana"/>
                <w:sz w:val="16"/>
                <w:szCs w:val="20"/>
                <w:lang w:val="lv"/>
              </w:rPr>
              <w:t>15.2</w:t>
            </w:r>
          </w:p>
        </w:tc>
        <w:tc>
          <w:tcPr>
            <w:tcW w:w="1169" w:type="dxa"/>
            <w:tcBorders>
              <w:top w:val="single" w:sz="8" w:space="0" w:color="000000"/>
              <w:left w:val="nil"/>
              <w:bottom w:val="single" w:sz="8" w:space="0" w:color="000000"/>
              <w:right w:val="nil"/>
            </w:tcBorders>
            <w:vAlign w:val="bottom"/>
          </w:tcPr>
          <w:p w14:paraId="0B615FCC" w14:textId="77777777" w:rsidR="00E50B37" w:rsidRDefault="00645276">
            <w:pPr>
              <w:widowControl w:val="0"/>
              <w:spacing w:line="240" w:lineRule="auto"/>
              <w:rPr>
                <w:sz w:val="16"/>
              </w:rPr>
            </w:pPr>
            <w:r>
              <w:rPr>
                <w:rFonts w:eastAsia="Verdana" w:cs="Verdana"/>
                <w:sz w:val="16"/>
                <w:szCs w:val="20"/>
                <w:lang w:val="lv"/>
              </w:rPr>
              <w:t>0.0</w:t>
            </w:r>
          </w:p>
        </w:tc>
        <w:tc>
          <w:tcPr>
            <w:tcW w:w="1197" w:type="dxa"/>
            <w:tcBorders>
              <w:top w:val="single" w:sz="8" w:space="0" w:color="000000"/>
              <w:left w:val="nil"/>
              <w:bottom w:val="single" w:sz="8" w:space="0" w:color="000000"/>
              <w:right w:val="nil"/>
            </w:tcBorders>
            <w:vAlign w:val="bottom"/>
          </w:tcPr>
          <w:p w14:paraId="31A4C537" w14:textId="77777777" w:rsidR="00E50B37" w:rsidRDefault="00645276">
            <w:pPr>
              <w:widowControl w:val="0"/>
              <w:spacing w:line="240" w:lineRule="auto"/>
              <w:rPr>
                <w:sz w:val="16"/>
              </w:rPr>
            </w:pPr>
            <w:r>
              <w:rPr>
                <w:rFonts w:eastAsia="Verdana" w:cs="Verdana"/>
                <w:sz w:val="16"/>
                <w:szCs w:val="20"/>
                <w:lang w:val="lv"/>
              </w:rPr>
              <w:t xml:space="preserve"> </w:t>
            </w:r>
          </w:p>
        </w:tc>
        <w:tc>
          <w:tcPr>
            <w:tcW w:w="236" w:type="dxa"/>
            <w:tcBorders>
              <w:top w:val="single" w:sz="8" w:space="0" w:color="000000"/>
              <w:left w:val="nil"/>
              <w:bottom w:val="single" w:sz="8" w:space="0" w:color="000000"/>
              <w:right w:val="nil"/>
            </w:tcBorders>
          </w:tcPr>
          <w:p w14:paraId="192E99FD" w14:textId="77777777" w:rsidR="00E50B37" w:rsidRDefault="00645276">
            <w:pPr>
              <w:widowControl w:val="0"/>
            </w:pPr>
            <w:r>
              <w:rPr>
                <w:rFonts w:eastAsia="Verdana" w:cs="Verdana"/>
                <w:sz w:val="18"/>
                <w:szCs w:val="18"/>
                <w:lang w:val="lv"/>
              </w:rPr>
              <w:t xml:space="preserve"> </w:t>
            </w:r>
          </w:p>
        </w:tc>
      </w:tr>
      <w:tr w:rsidR="00E50B37" w14:paraId="69FC7B86" w14:textId="77777777">
        <w:trPr>
          <w:trHeight w:val="20"/>
        </w:trPr>
        <w:tc>
          <w:tcPr>
            <w:tcW w:w="4718" w:type="dxa"/>
            <w:gridSpan w:val="2"/>
            <w:tcBorders>
              <w:top w:val="single" w:sz="8" w:space="0" w:color="000000"/>
              <w:left w:val="nil"/>
              <w:bottom w:val="single" w:sz="8" w:space="0" w:color="000000"/>
              <w:right w:val="nil"/>
            </w:tcBorders>
            <w:vAlign w:val="bottom"/>
          </w:tcPr>
          <w:p w14:paraId="52523D68" w14:textId="23586E02" w:rsidR="00E50B37" w:rsidRDefault="00645276">
            <w:pPr>
              <w:widowControl w:val="0"/>
              <w:spacing w:line="240" w:lineRule="auto"/>
              <w:rPr>
                <w:sz w:val="16"/>
              </w:rPr>
            </w:pPr>
            <w:r>
              <w:rPr>
                <w:rFonts w:eastAsia="Verdana" w:cs="Verdana"/>
                <w:sz w:val="16"/>
                <w:szCs w:val="20"/>
                <w:lang w:val="lv"/>
              </w:rPr>
              <w:t xml:space="preserve">Subsidētās darba vietas tūrisma nozarei un eksportētājiem, subsidētā </w:t>
            </w:r>
            <w:r w:rsidR="00C24D78">
              <w:rPr>
                <w:rFonts w:eastAsia="Verdana" w:cs="Verdana"/>
                <w:sz w:val="16"/>
                <w:szCs w:val="20"/>
                <w:lang w:val="lv"/>
              </w:rPr>
              <w:t>nodarbinātība</w:t>
            </w:r>
          </w:p>
        </w:tc>
        <w:tc>
          <w:tcPr>
            <w:tcW w:w="1120" w:type="dxa"/>
            <w:gridSpan w:val="2"/>
            <w:tcBorders>
              <w:top w:val="single" w:sz="8" w:space="0" w:color="000000"/>
              <w:left w:val="nil"/>
              <w:bottom w:val="single" w:sz="8" w:space="0" w:color="000000"/>
              <w:right w:val="nil"/>
            </w:tcBorders>
            <w:vAlign w:val="bottom"/>
          </w:tcPr>
          <w:p w14:paraId="380A8F8E" w14:textId="77777777" w:rsidR="00E50B37" w:rsidRDefault="00645276">
            <w:pPr>
              <w:widowControl w:val="0"/>
              <w:spacing w:line="240" w:lineRule="auto"/>
              <w:rPr>
                <w:sz w:val="16"/>
              </w:rPr>
            </w:pPr>
            <w:r>
              <w:rPr>
                <w:rFonts w:eastAsia="Verdana" w:cs="Verdana"/>
                <w:sz w:val="16"/>
                <w:szCs w:val="20"/>
                <w:lang w:val="lv"/>
              </w:rPr>
              <w:t>49.6</w:t>
            </w:r>
          </w:p>
        </w:tc>
        <w:tc>
          <w:tcPr>
            <w:tcW w:w="931" w:type="dxa"/>
            <w:tcBorders>
              <w:top w:val="single" w:sz="8" w:space="0" w:color="000000"/>
              <w:left w:val="nil"/>
              <w:bottom w:val="single" w:sz="8" w:space="0" w:color="000000"/>
              <w:right w:val="nil"/>
            </w:tcBorders>
            <w:vAlign w:val="bottom"/>
          </w:tcPr>
          <w:p w14:paraId="08320D16" w14:textId="77777777" w:rsidR="00E50B37" w:rsidRDefault="00645276">
            <w:pPr>
              <w:widowControl w:val="0"/>
              <w:spacing w:line="240" w:lineRule="auto"/>
              <w:rPr>
                <w:sz w:val="16"/>
              </w:rPr>
            </w:pPr>
            <w:r>
              <w:rPr>
                <w:rFonts w:eastAsia="Verdana" w:cs="Verdana"/>
                <w:sz w:val="16"/>
                <w:szCs w:val="20"/>
                <w:lang w:val="lv"/>
              </w:rPr>
              <w:t>25.9</w:t>
            </w:r>
          </w:p>
        </w:tc>
        <w:tc>
          <w:tcPr>
            <w:tcW w:w="1169" w:type="dxa"/>
            <w:tcBorders>
              <w:top w:val="single" w:sz="8" w:space="0" w:color="000000"/>
              <w:left w:val="nil"/>
              <w:bottom w:val="single" w:sz="8" w:space="0" w:color="000000"/>
              <w:right w:val="nil"/>
            </w:tcBorders>
            <w:vAlign w:val="bottom"/>
          </w:tcPr>
          <w:p w14:paraId="032CB7F3" w14:textId="77777777" w:rsidR="00E50B37" w:rsidRDefault="00645276">
            <w:pPr>
              <w:widowControl w:val="0"/>
              <w:spacing w:line="240" w:lineRule="auto"/>
              <w:rPr>
                <w:sz w:val="16"/>
              </w:rPr>
            </w:pPr>
            <w:r>
              <w:rPr>
                <w:rFonts w:eastAsia="Verdana" w:cs="Verdana"/>
                <w:sz w:val="16"/>
                <w:szCs w:val="20"/>
                <w:lang w:val="lv"/>
              </w:rPr>
              <w:t>23.2</w:t>
            </w:r>
          </w:p>
        </w:tc>
        <w:tc>
          <w:tcPr>
            <w:tcW w:w="1197" w:type="dxa"/>
            <w:tcBorders>
              <w:top w:val="single" w:sz="8" w:space="0" w:color="000000"/>
              <w:left w:val="nil"/>
              <w:bottom w:val="single" w:sz="8" w:space="0" w:color="000000"/>
              <w:right w:val="nil"/>
            </w:tcBorders>
            <w:vAlign w:val="bottom"/>
          </w:tcPr>
          <w:p w14:paraId="6599862B" w14:textId="77777777" w:rsidR="00E50B37" w:rsidRDefault="00645276">
            <w:pPr>
              <w:widowControl w:val="0"/>
              <w:spacing w:line="240" w:lineRule="auto"/>
              <w:rPr>
                <w:sz w:val="16"/>
              </w:rPr>
            </w:pPr>
            <w:r>
              <w:rPr>
                <w:rFonts w:eastAsia="Verdana" w:cs="Verdana"/>
                <w:sz w:val="16"/>
                <w:szCs w:val="20"/>
                <w:lang w:val="lv"/>
              </w:rPr>
              <w:t xml:space="preserve"> </w:t>
            </w:r>
          </w:p>
        </w:tc>
        <w:tc>
          <w:tcPr>
            <w:tcW w:w="236" w:type="dxa"/>
            <w:tcBorders>
              <w:top w:val="single" w:sz="8" w:space="0" w:color="000000"/>
              <w:left w:val="nil"/>
              <w:bottom w:val="single" w:sz="8" w:space="0" w:color="000000"/>
              <w:right w:val="nil"/>
            </w:tcBorders>
          </w:tcPr>
          <w:p w14:paraId="4DBD15DC" w14:textId="77777777" w:rsidR="00E50B37" w:rsidRDefault="00645276">
            <w:pPr>
              <w:widowControl w:val="0"/>
            </w:pPr>
            <w:r>
              <w:rPr>
                <w:rFonts w:eastAsia="Verdana" w:cs="Verdana"/>
                <w:sz w:val="18"/>
                <w:szCs w:val="18"/>
                <w:lang w:val="lv"/>
              </w:rPr>
              <w:t xml:space="preserve"> </w:t>
            </w:r>
          </w:p>
        </w:tc>
      </w:tr>
      <w:tr w:rsidR="00E50B37" w14:paraId="5DB9CC8E" w14:textId="77777777">
        <w:trPr>
          <w:trHeight w:val="20"/>
        </w:trPr>
        <w:tc>
          <w:tcPr>
            <w:tcW w:w="4718" w:type="dxa"/>
            <w:gridSpan w:val="2"/>
            <w:tcBorders>
              <w:top w:val="single" w:sz="8" w:space="0" w:color="000000"/>
              <w:left w:val="nil"/>
              <w:bottom w:val="single" w:sz="18" w:space="0" w:color="9D2234"/>
              <w:right w:val="nil"/>
            </w:tcBorders>
            <w:vAlign w:val="bottom"/>
          </w:tcPr>
          <w:p w14:paraId="161BC562" w14:textId="77777777" w:rsidR="00E50B37" w:rsidRDefault="00645276">
            <w:pPr>
              <w:widowControl w:val="0"/>
              <w:spacing w:line="240" w:lineRule="auto"/>
              <w:rPr>
                <w:sz w:val="16"/>
              </w:rPr>
            </w:pPr>
            <w:r>
              <w:rPr>
                <w:rFonts w:eastAsia="Verdana" w:cs="Verdana"/>
                <w:b/>
                <w:bCs/>
                <w:sz w:val="16"/>
                <w:szCs w:val="20"/>
                <w:lang w:val="lv"/>
              </w:rPr>
              <w:t>Atbalsts uzņēmējiem</w:t>
            </w:r>
          </w:p>
        </w:tc>
        <w:tc>
          <w:tcPr>
            <w:tcW w:w="1120" w:type="dxa"/>
            <w:gridSpan w:val="2"/>
            <w:tcBorders>
              <w:top w:val="single" w:sz="8" w:space="0" w:color="000000"/>
              <w:left w:val="nil"/>
              <w:bottom w:val="single" w:sz="18" w:space="0" w:color="9D2234"/>
              <w:right w:val="nil"/>
            </w:tcBorders>
            <w:vAlign w:val="bottom"/>
          </w:tcPr>
          <w:p w14:paraId="42700430" w14:textId="77777777" w:rsidR="00E50B37" w:rsidRDefault="00645276">
            <w:pPr>
              <w:widowControl w:val="0"/>
              <w:spacing w:line="240" w:lineRule="auto"/>
              <w:rPr>
                <w:sz w:val="16"/>
              </w:rPr>
            </w:pPr>
            <w:r>
              <w:rPr>
                <w:rFonts w:eastAsia="Verdana" w:cs="Verdana"/>
                <w:b/>
                <w:bCs/>
                <w:sz w:val="16"/>
                <w:szCs w:val="20"/>
                <w:lang w:val="lv"/>
              </w:rPr>
              <w:t>266.9</w:t>
            </w:r>
          </w:p>
        </w:tc>
        <w:tc>
          <w:tcPr>
            <w:tcW w:w="931" w:type="dxa"/>
            <w:tcBorders>
              <w:top w:val="single" w:sz="8" w:space="0" w:color="000000"/>
              <w:left w:val="nil"/>
              <w:bottom w:val="single" w:sz="18" w:space="0" w:color="9D2234"/>
              <w:right w:val="nil"/>
            </w:tcBorders>
            <w:vAlign w:val="bottom"/>
          </w:tcPr>
          <w:p w14:paraId="5E5D7922" w14:textId="77777777" w:rsidR="00E50B37" w:rsidRDefault="00645276">
            <w:pPr>
              <w:widowControl w:val="0"/>
              <w:spacing w:line="240" w:lineRule="auto"/>
              <w:rPr>
                <w:sz w:val="16"/>
              </w:rPr>
            </w:pPr>
            <w:r>
              <w:rPr>
                <w:rFonts w:eastAsia="Verdana" w:cs="Verdana"/>
                <w:b/>
                <w:bCs/>
                <w:sz w:val="16"/>
                <w:szCs w:val="20"/>
                <w:lang w:val="lv"/>
              </w:rPr>
              <w:t>742.9</w:t>
            </w:r>
          </w:p>
        </w:tc>
        <w:tc>
          <w:tcPr>
            <w:tcW w:w="1169" w:type="dxa"/>
            <w:tcBorders>
              <w:top w:val="single" w:sz="8" w:space="0" w:color="000000"/>
              <w:left w:val="nil"/>
              <w:bottom w:val="single" w:sz="18" w:space="0" w:color="9D2234"/>
              <w:right w:val="nil"/>
            </w:tcBorders>
            <w:vAlign w:val="bottom"/>
          </w:tcPr>
          <w:p w14:paraId="42FCE312" w14:textId="77777777" w:rsidR="00E50B37" w:rsidRDefault="00645276">
            <w:pPr>
              <w:widowControl w:val="0"/>
              <w:spacing w:line="240" w:lineRule="auto"/>
              <w:rPr>
                <w:sz w:val="16"/>
              </w:rPr>
            </w:pPr>
            <w:r>
              <w:rPr>
                <w:rFonts w:eastAsia="Verdana" w:cs="Verdana"/>
                <w:b/>
                <w:bCs/>
                <w:sz w:val="16"/>
                <w:szCs w:val="20"/>
                <w:lang w:val="lv"/>
              </w:rPr>
              <w:t>679.7</w:t>
            </w:r>
          </w:p>
        </w:tc>
        <w:tc>
          <w:tcPr>
            <w:tcW w:w="1197" w:type="dxa"/>
            <w:tcBorders>
              <w:top w:val="single" w:sz="8" w:space="0" w:color="000000"/>
              <w:left w:val="nil"/>
              <w:bottom w:val="single" w:sz="18" w:space="0" w:color="9D2234"/>
              <w:right w:val="nil"/>
            </w:tcBorders>
            <w:vAlign w:val="bottom"/>
          </w:tcPr>
          <w:p w14:paraId="7A9FFB95" w14:textId="77777777" w:rsidR="00E50B37" w:rsidRDefault="00645276">
            <w:pPr>
              <w:widowControl w:val="0"/>
              <w:spacing w:line="240" w:lineRule="auto"/>
              <w:rPr>
                <w:sz w:val="16"/>
              </w:rPr>
            </w:pPr>
            <w:r>
              <w:rPr>
                <w:rFonts w:eastAsia="Verdana" w:cs="Verdana"/>
                <w:b/>
                <w:bCs/>
                <w:sz w:val="16"/>
                <w:szCs w:val="20"/>
                <w:lang w:val="lv"/>
              </w:rPr>
              <w:t>-35.6</w:t>
            </w:r>
          </w:p>
        </w:tc>
        <w:tc>
          <w:tcPr>
            <w:tcW w:w="236" w:type="dxa"/>
            <w:tcBorders>
              <w:top w:val="single" w:sz="8" w:space="0" w:color="000000"/>
              <w:left w:val="nil"/>
              <w:bottom w:val="single" w:sz="18" w:space="0" w:color="9D2234"/>
              <w:right w:val="nil"/>
            </w:tcBorders>
          </w:tcPr>
          <w:p w14:paraId="66837F5C" w14:textId="77777777" w:rsidR="00E50B37" w:rsidRDefault="00645276">
            <w:pPr>
              <w:widowControl w:val="0"/>
            </w:pPr>
            <w:r>
              <w:rPr>
                <w:rFonts w:eastAsia="Verdana" w:cs="Verdana"/>
                <w:b/>
                <w:bCs/>
                <w:sz w:val="18"/>
                <w:szCs w:val="18"/>
                <w:lang w:val="lv"/>
              </w:rPr>
              <w:t xml:space="preserve"> </w:t>
            </w:r>
          </w:p>
        </w:tc>
      </w:tr>
      <w:tr w:rsidR="00E50B37" w14:paraId="4A474555" w14:textId="77777777">
        <w:trPr>
          <w:trHeight w:val="20"/>
        </w:trPr>
        <w:tc>
          <w:tcPr>
            <w:tcW w:w="4718" w:type="dxa"/>
            <w:gridSpan w:val="2"/>
            <w:tcBorders>
              <w:top w:val="single" w:sz="18" w:space="0" w:color="9D2234"/>
              <w:left w:val="nil"/>
              <w:bottom w:val="single" w:sz="8" w:space="0" w:color="9D2234"/>
              <w:right w:val="nil"/>
            </w:tcBorders>
            <w:vAlign w:val="bottom"/>
          </w:tcPr>
          <w:p w14:paraId="3BE93F26" w14:textId="77777777" w:rsidR="00E50B37" w:rsidRDefault="00645276">
            <w:pPr>
              <w:widowControl w:val="0"/>
              <w:spacing w:line="240" w:lineRule="auto"/>
              <w:rPr>
                <w:sz w:val="16"/>
              </w:rPr>
            </w:pPr>
            <w:r>
              <w:rPr>
                <w:rFonts w:eastAsia="Verdana" w:cs="Verdana"/>
                <w:sz w:val="16"/>
                <w:szCs w:val="20"/>
                <w:lang w:val="lv"/>
              </w:rPr>
              <w:t>Atbalsts saistībā ar nodokļu maksājumu termiņiem</w:t>
            </w:r>
          </w:p>
        </w:tc>
        <w:tc>
          <w:tcPr>
            <w:tcW w:w="1120" w:type="dxa"/>
            <w:gridSpan w:val="2"/>
            <w:tcBorders>
              <w:top w:val="single" w:sz="18" w:space="0" w:color="9D2234"/>
              <w:left w:val="nil"/>
              <w:bottom w:val="single" w:sz="8" w:space="0" w:color="9D2234"/>
              <w:right w:val="nil"/>
            </w:tcBorders>
            <w:vAlign w:val="bottom"/>
          </w:tcPr>
          <w:p w14:paraId="7E286D4B" w14:textId="77777777" w:rsidR="00E50B37" w:rsidRDefault="00645276">
            <w:pPr>
              <w:widowControl w:val="0"/>
              <w:spacing w:line="240" w:lineRule="auto"/>
              <w:rPr>
                <w:sz w:val="16"/>
              </w:rPr>
            </w:pPr>
            <w:r>
              <w:rPr>
                <w:rFonts w:eastAsia="Verdana" w:cs="Verdana"/>
                <w:sz w:val="16"/>
                <w:szCs w:val="20"/>
                <w:lang w:val="lv"/>
              </w:rPr>
              <w:t>125.1</w:t>
            </w:r>
          </w:p>
        </w:tc>
        <w:tc>
          <w:tcPr>
            <w:tcW w:w="931" w:type="dxa"/>
            <w:tcBorders>
              <w:top w:val="single" w:sz="18" w:space="0" w:color="9D2234"/>
              <w:left w:val="nil"/>
              <w:bottom w:val="single" w:sz="8" w:space="0" w:color="000000"/>
              <w:right w:val="nil"/>
            </w:tcBorders>
            <w:vAlign w:val="bottom"/>
          </w:tcPr>
          <w:p w14:paraId="6FF5C3F0" w14:textId="77777777" w:rsidR="00E50B37" w:rsidRDefault="00645276">
            <w:pPr>
              <w:widowControl w:val="0"/>
              <w:spacing w:line="240" w:lineRule="auto"/>
              <w:rPr>
                <w:sz w:val="16"/>
              </w:rPr>
            </w:pPr>
            <w:r>
              <w:rPr>
                <w:rFonts w:eastAsia="Verdana" w:cs="Verdana"/>
                <w:sz w:val="16"/>
                <w:szCs w:val="20"/>
                <w:lang w:val="lv"/>
              </w:rPr>
              <w:t>28.7</w:t>
            </w:r>
          </w:p>
        </w:tc>
        <w:tc>
          <w:tcPr>
            <w:tcW w:w="1169" w:type="dxa"/>
            <w:tcBorders>
              <w:top w:val="single" w:sz="18" w:space="0" w:color="9D2234"/>
              <w:left w:val="nil"/>
              <w:bottom w:val="single" w:sz="8" w:space="0" w:color="000000"/>
              <w:right w:val="nil"/>
            </w:tcBorders>
            <w:vAlign w:val="bottom"/>
          </w:tcPr>
          <w:p w14:paraId="426ACB65" w14:textId="77777777" w:rsidR="00E50B37" w:rsidRDefault="00645276">
            <w:pPr>
              <w:widowControl w:val="0"/>
              <w:spacing w:line="240" w:lineRule="auto"/>
              <w:rPr>
                <w:sz w:val="16"/>
              </w:rPr>
            </w:pPr>
            <w:r>
              <w:rPr>
                <w:rFonts w:eastAsia="Verdana" w:cs="Verdana"/>
                <w:sz w:val="16"/>
                <w:szCs w:val="20"/>
                <w:lang w:val="lv"/>
              </w:rPr>
              <w:t>62.4</w:t>
            </w:r>
          </w:p>
        </w:tc>
        <w:tc>
          <w:tcPr>
            <w:tcW w:w="1197" w:type="dxa"/>
            <w:tcBorders>
              <w:top w:val="single" w:sz="18" w:space="0" w:color="9D2234"/>
              <w:left w:val="nil"/>
              <w:bottom w:val="single" w:sz="8" w:space="0" w:color="000000"/>
              <w:right w:val="nil"/>
            </w:tcBorders>
            <w:vAlign w:val="bottom"/>
          </w:tcPr>
          <w:p w14:paraId="1609A940" w14:textId="77777777" w:rsidR="00E50B37" w:rsidRDefault="00645276">
            <w:pPr>
              <w:widowControl w:val="0"/>
              <w:spacing w:line="240" w:lineRule="auto"/>
              <w:rPr>
                <w:sz w:val="16"/>
              </w:rPr>
            </w:pPr>
            <w:r>
              <w:rPr>
                <w:rFonts w:eastAsia="Verdana" w:cs="Verdana"/>
                <w:sz w:val="16"/>
                <w:szCs w:val="20"/>
                <w:lang w:val="lv"/>
              </w:rPr>
              <w:t>-35.6</w:t>
            </w:r>
          </w:p>
        </w:tc>
        <w:tc>
          <w:tcPr>
            <w:tcW w:w="236" w:type="dxa"/>
            <w:tcBorders>
              <w:top w:val="single" w:sz="18" w:space="0" w:color="9D2234"/>
              <w:left w:val="nil"/>
              <w:bottom w:val="single" w:sz="8" w:space="0" w:color="000000"/>
              <w:right w:val="nil"/>
            </w:tcBorders>
          </w:tcPr>
          <w:p w14:paraId="0BAEC1A3" w14:textId="77777777" w:rsidR="00E50B37" w:rsidRDefault="00645276">
            <w:pPr>
              <w:widowControl w:val="0"/>
            </w:pPr>
            <w:r>
              <w:rPr>
                <w:rFonts w:eastAsia="Verdana" w:cs="Verdana"/>
                <w:sz w:val="18"/>
                <w:szCs w:val="18"/>
                <w:lang w:val="lv"/>
              </w:rPr>
              <w:t xml:space="preserve"> </w:t>
            </w:r>
          </w:p>
        </w:tc>
      </w:tr>
      <w:tr w:rsidR="00E50B37" w14:paraId="0790C216" w14:textId="77777777">
        <w:trPr>
          <w:trHeight w:val="20"/>
        </w:trPr>
        <w:tc>
          <w:tcPr>
            <w:tcW w:w="4718" w:type="dxa"/>
            <w:gridSpan w:val="2"/>
            <w:tcBorders>
              <w:top w:val="single" w:sz="8" w:space="0" w:color="9D2234"/>
              <w:left w:val="nil"/>
              <w:bottom w:val="single" w:sz="8" w:space="0" w:color="000000"/>
              <w:right w:val="nil"/>
            </w:tcBorders>
            <w:vAlign w:val="bottom"/>
          </w:tcPr>
          <w:p w14:paraId="2B3BB3C8" w14:textId="77777777" w:rsidR="00E50B37" w:rsidRDefault="00645276">
            <w:pPr>
              <w:widowControl w:val="0"/>
              <w:spacing w:line="240" w:lineRule="auto"/>
              <w:rPr>
                <w:sz w:val="16"/>
              </w:rPr>
            </w:pPr>
            <w:r>
              <w:rPr>
                <w:rFonts w:eastAsia="Verdana" w:cs="Verdana"/>
                <w:sz w:val="16"/>
                <w:szCs w:val="20"/>
                <w:lang w:val="lv"/>
              </w:rPr>
              <w:t>ALTUM aizdevumi apgrozāmiem līdzekļiem</w:t>
            </w:r>
          </w:p>
        </w:tc>
        <w:tc>
          <w:tcPr>
            <w:tcW w:w="1120" w:type="dxa"/>
            <w:gridSpan w:val="2"/>
            <w:tcBorders>
              <w:top w:val="single" w:sz="8" w:space="0" w:color="9D2234"/>
              <w:left w:val="nil"/>
              <w:bottom w:val="single" w:sz="8" w:space="0" w:color="000000"/>
              <w:right w:val="nil"/>
            </w:tcBorders>
            <w:vAlign w:val="bottom"/>
          </w:tcPr>
          <w:p w14:paraId="2C6CDAB2" w14:textId="77777777" w:rsidR="00E50B37" w:rsidRDefault="00645276">
            <w:pPr>
              <w:widowControl w:val="0"/>
              <w:spacing w:line="240" w:lineRule="auto"/>
              <w:rPr>
                <w:sz w:val="16"/>
              </w:rPr>
            </w:pPr>
            <w:r>
              <w:rPr>
                <w:rFonts w:eastAsia="Verdana" w:cs="Verdana"/>
                <w:sz w:val="16"/>
                <w:szCs w:val="20"/>
                <w:lang w:val="lv"/>
              </w:rPr>
              <w:t>13.1</w:t>
            </w:r>
          </w:p>
        </w:tc>
        <w:tc>
          <w:tcPr>
            <w:tcW w:w="931" w:type="dxa"/>
            <w:tcBorders>
              <w:top w:val="single" w:sz="8" w:space="0" w:color="000000"/>
              <w:left w:val="nil"/>
              <w:bottom w:val="single" w:sz="8" w:space="0" w:color="000000"/>
              <w:right w:val="nil"/>
            </w:tcBorders>
            <w:vAlign w:val="bottom"/>
          </w:tcPr>
          <w:p w14:paraId="670EACBD" w14:textId="77777777" w:rsidR="00E50B37" w:rsidRDefault="00645276">
            <w:pPr>
              <w:widowControl w:val="0"/>
              <w:spacing w:line="240" w:lineRule="auto"/>
              <w:rPr>
                <w:sz w:val="16"/>
              </w:rPr>
            </w:pPr>
            <w:r>
              <w:rPr>
                <w:rFonts w:eastAsia="Verdana" w:cs="Verdana"/>
                <w:sz w:val="16"/>
                <w:szCs w:val="20"/>
                <w:lang w:val="lv"/>
              </w:rPr>
              <w:t>5.0</w:t>
            </w:r>
          </w:p>
        </w:tc>
        <w:tc>
          <w:tcPr>
            <w:tcW w:w="1169" w:type="dxa"/>
            <w:tcBorders>
              <w:top w:val="single" w:sz="8" w:space="0" w:color="000000"/>
              <w:left w:val="nil"/>
              <w:bottom w:val="single" w:sz="8" w:space="0" w:color="000000"/>
              <w:right w:val="nil"/>
            </w:tcBorders>
            <w:vAlign w:val="bottom"/>
          </w:tcPr>
          <w:p w14:paraId="3905B2D7" w14:textId="77777777" w:rsidR="00E50B37" w:rsidRDefault="00645276">
            <w:pPr>
              <w:widowControl w:val="0"/>
              <w:spacing w:line="240" w:lineRule="auto"/>
              <w:rPr>
                <w:sz w:val="16"/>
              </w:rPr>
            </w:pPr>
            <w:r>
              <w:rPr>
                <w:rFonts w:eastAsia="Verdana" w:cs="Verdana"/>
                <w:sz w:val="16"/>
                <w:szCs w:val="20"/>
                <w:lang w:val="lv"/>
              </w:rPr>
              <w:t>10.5</w:t>
            </w:r>
          </w:p>
        </w:tc>
        <w:tc>
          <w:tcPr>
            <w:tcW w:w="1197" w:type="dxa"/>
            <w:tcBorders>
              <w:top w:val="single" w:sz="8" w:space="0" w:color="000000"/>
              <w:left w:val="nil"/>
              <w:bottom w:val="single" w:sz="8" w:space="0" w:color="000000"/>
              <w:right w:val="nil"/>
            </w:tcBorders>
            <w:vAlign w:val="bottom"/>
          </w:tcPr>
          <w:p w14:paraId="2AAAB654" w14:textId="77777777" w:rsidR="00E50B37" w:rsidRDefault="00645276">
            <w:pPr>
              <w:widowControl w:val="0"/>
              <w:spacing w:line="240" w:lineRule="auto"/>
              <w:rPr>
                <w:sz w:val="16"/>
              </w:rPr>
            </w:pPr>
            <w:r>
              <w:rPr>
                <w:rFonts w:eastAsia="Verdana" w:cs="Verdana"/>
                <w:sz w:val="16"/>
                <w:szCs w:val="20"/>
                <w:lang w:val="lv"/>
              </w:rPr>
              <w:t xml:space="preserve"> </w:t>
            </w:r>
          </w:p>
        </w:tc>
        <w:tc>
          <w:tcPr>
            <w:tcW w:w="236" w:type="dxa"/>
            <w:tcBorders>
              <w:top w:val="single" w:sz="8" w:space="0" w:color="000000"/>
              <w:left w:val="nil"/>
              <w:bottom w:val="single" w:sz="8" w:space="0" w:color="000000"/>
              <w:right w:val="nil"/>
            </w:tcBorders>
          </w:tcPr>
          <w:p w14:paraId="72216E48" w14:textId="77777777" w:rsidR="00E50B37" w:rsidRDefault="00645276">
            <w:pPr>
              <w:widowControl w:val="0"/>
            </w:pPr>
            <w:r>
              <w:rPr>
                <w:rFonts w:eastAsia="Verdana" w:cs="Verdana"/>
                <w:sz w:val="18"/>
                <w:szCs w:val="18"/>
                <w:lang w:val="lv"/>
              </w:rPr>
              <w:t xml:space="preserve"> </w:t>
            </w:r>
          </w:p>
        </w:tc>
      </w:tr>
      <w:tr w:rsidR="00E50B37" w14:paraId="42BE627E" w14:textId="77777777">
        <w:trPr>
          <w:trHeight w:val="20"/>
        </w:trPr>
        <w:tc>
          <w:tcPr>
            <w:tcW w:w="4718" w:type="dxa"/>
            <w:gridSpan w:val="2"/>
            <w:tcBorders>
              <w:top w:val="single" w:sz="8" w:space="0" w:color="000000"/>
              <w:left w:val="nil"/>
              <w:bottom w:val="single" w:sz="8" w:space="0" w:color="000000"/>
              <w:right w:val="nil"/>
            </w:tcBorders>
            <w:vAlign w:val="bottom"/>
          </w:tcPr>
          <w:p w14:paraId="57727845" w14:textId="77777777" w:rsidR="00E50B37" w:rsidRDefault="00645276">
            <w:pPr>
              <w:widowControl w:val="0"/>
              <w:spacing w:line="240" w:lineRule="auto"/>
              <w:rPr>
                <w:sz w:val="16"/>
              </w:rPr>
            </w:pPr>
            <w:r>
              <w:rPr>
                <w:rFonts w:eastAsia="Verdana" w:cs="Verdana"/>
                <w:sz w:val="16"/>
                <w:szCs w:val="20"/>
                <w:lang w:val="lv"/>
              </w:rPr>
              <w:t>ALTUM garantijas un ieguldījumi</w:t>
            </w:r>
          </w:p>
        </w:tc>
        <w:tc>
          <w:tcPr>
            <w:tcW w:w="1120" w:type="dxa"/>
            <w:gridSpan w:val="2"/>
            <w:tcBorders>
              <w:top w:val="single" w:sz="8" w:space="0" w:color="000000"/>
              <w:left w:val="nil"/>
              <w:bottom w:val="single" w:sz="8" w:space="0" w:color="000000"/>
              <w:right w:val="nil"/>
            </w:tcBorders>
            <w:vAlign w:val="bottom"/>
          </w:tcPr>
          <w:p w14:paraId="5D7CC455" w14:textId="77777777" w:rsidR="00E50B37" w:rsidRDefault="00645276">
            <w:pPr>
              <w:widowControl w:val="0"/>
              <w:spacing w:line="240" w:lineRule="auto"/>
              <w:rPr>
                <w:sz w:val="16"/>
              </w:rPr>
            </w:pPr>
            <w:r>
              <w:rPr>
                <w:rFonts w:eastAsia="Verdana" w:cs="Verdana"/>
                <w:sz w:val="16"/>
                <w:szCs w:val="20"/>
                <w:lang w:val="lv"/>
              </w:rPr>
              <w:t>18.5</w:t>
            </w:r>
          </w:p>
        </w:tc>
        <w:tc>
          <w:tcPr>
            <w:tcW w:w="931" w:type="dxa"/>
            <w:tcBorders>
              <w:top w:val="single" w:sz="8" w:space="0" w:color="000000"/>
              <w:left w:val="nil"/>
              <w:bottom w:val="single" w:sz="8" w:space="0" w:color="000000"/>
              <w:right w:val="nil"/>
            </w:tcBorders>
            <w:vAlign w:val="bottom"/>
          </w:tcPr>
          <w:p w14:paraId="1684E5D8" w14:textId="77777777" w:rsidR="00E50B37" w:rsidRDefault="00645276">
            <w:pPr>
              <w:widowControl w:val="0"/>
              <w:spacing w:line="240" w:lineRule="auto"/>
              <w:rPr>
                <w:sz w:val="16"/>
              </w:rPr>
            </w:pPr>
            <w:r>
              <w:rPr>
                <w:rFonts w:eastAsia="Verdana" w:cs="Verdana"/>
                <w:sz w:val="16"/>
                <w:szCs w:val="20"/>
                <w:lang w:val="lv"/>
              </w:rPr>
              <w:t>7.4</w:t>
            </w:r>
          </w:p>
        </w:tc>
        <w:tc>
          <w:tcPr>
            <w:tcW w:w="1169" w:type="dxa"/>
            <w:tcBorders>
              <w:top w:val="single" w:sz="8" w:space="0" w:color="000000"/>
              <w:left w:val="nil"/>
              <w:bottom w:val="single" w:sz="8" w:space="0" w:color="000000"/>
              <w:right w:val="nil"/>
            </w:tcBorders>
            <w:vAlign w:val="bottom"/>
          </w:tcPr>
          <w:p w14:paraId="037257B4" w14:textId="77777777" w:rsidR="00E50B37" w:rsidRDefault="00645276">
            <w:pPr>
              <w:widowControl w:val="0"/>
              <w:spacing w:line="240" w:lineRule="auto"/>
              <w:rPr>
                <w:sz w:val="16"/>
              </w:rPr>
            </w:pPr>
            <w:r>
              <w:rPr>
                <w:rFonts w:eastAsia="Verdana" w:cs="Verdana"/>
                <w:sz w:val="16"/>
                <w:szCs w:val="20"/>
                <w:lang w:val="lv"/>
              </w:rPr>
              <w:t>17.6</w:t>
            </w:r>
          </w:p>
        </w:tc>
        <w:tc>
          <w:tcPr>
            <w:tcW w:w="1197" w:type="dxa"/>
            <w:tcBorders>
              <w:top w:val="single" w:sz="8" w:space="0" w:color="000000"/>
              <w:left w:val="nil"/>
              <w:bottom w:val="single" w:sz="8" w:space="0" w:color="000000"/>
              <w:right w:val="nil"/>
            </w:tcBorders>
            <w:vAlign w:val="bottom"/>
          </w:tcPr>
          <w:p w14:paraId="549B4BC3" w14:textId="77777777" w:rsidR="00E50B37" w:rsidRDefault="00645276">
            <w:pPr>
              <w:widowControl w:val="0"/>
              <w:spacing w:line="240" w:lineRule="auto"/>
              <w:rPr>
                <w:sz w:val="16"/>
              </w:rPr>
            </w:pPr>
            <w:r>
              <w:rPr>
                <w:rFonts w:eastAsia="Verdana" w:cs="Verdana"/>
                <w:sz w:val="16"/>
                <w:szCs w:val="20"/>
                <w:lang w:val="lv"/>
              </w:rPr>
              <w:t xml:space="preserve"> </w:t>
            </w:r>
          </w:p>
        </w:tc>
        <w:tc>
          <w:tcPr>
            <w:tcW w:w="236" w:type="dxa"/>
            <w:tcBorders>
              <w:top w:val="single" w:sz="8" w:space="0" w:color="000000"/>
              <w:left w:val="nil"/>
              <w:bottom w:val="single" w:sz="8" w:space="0" w:color="000000"/>
              <w:right w:val="nil"/>
            </w:tcBorders>
          </w:tcPr>
          <w:p w14:paraId="64B65A98" w14:textId="77777777" w:rsidR="00E50B37" w:rsidRDefault="00645276">
            <w:pPr>
              <w:widowControl w:val="0"/>
            </w:pPr>
            <w:r>
              <w:rPr>
                <w:rFonts w:eastAsia="Verdana" w:cs="Verdana"/>
                <w:sz w:val="18"/>
                <w:szCs w:val="18"/>
                <w:lang w:val="lv"/>
              </w:rPr>
              <w:t xml:space="preserve"> </w:t>
            </w:r>
          </w:p>
        </w:tc>
      </w:tr>
      <w:tr w:rsidR="00E50B37" w14:paraId="644BC4DE" w14:textId="77777777">
        <w:trPr>
          <w:trHeight w:val="20"/>
        </w:trPr>
        <w:tc>
          <w:tcPr>
            <w:tcW w:w="4718" w:type="dxa"/>
            <w:gridSpan w:val="2"/>
            <w:tcBorders>
              <w:top w:val="single" w:sz="8" w:space="0" w:color="000000"/>
              <w:left w:val="nil"/>
              <w:bottom w:val="single" w:sz="8" w:space="0" w:color="000000"/>
              <w:right w:val="nil"/>
            </w:tcBorders>
            <w:vAlign w:val="bottom"/>
          </w:tcPr>
          <w:p w14:paraId="1CD55D7B" w14:textId="77777777" w:rsidR="00E50B37" w:rsidRDefault="00645276">
            <w:pPr>
              <w:widowControl w:val="0"/>
              <w:spacing w:line="240" w:lineRule="auto"/>
              <w:rPr>
                <w:sz w:val="16"/>
              </w:rPr>
            </w:pPr>
            <w:r>
              <w:rPr>
                <w:rFonts w:eastAsia="Verdana" w:cs="Verdana"/>
                <w:sz w:val="16"/>
                <w:szCs w:val="20"/>
                <w:lang w:val="lv"/>
              </w:rPr>
              <w:t>Granti apgrozāmiem līdzekļiem</w:t>
            </w:r>
          </w:p>
        </w:tc>
        <w:tc>
          <w:tcPr>
            <w:tcW w:w="1120" w:type="dxa"/>
            <w:gridSpan w:val="2"/>
            <w:tcBorders>
              <w:top w:val="single" w:sz="8" w:space="0" w:color="000000"/>
              <w:left w:val="nil"/>
              <w:bottom w:val="single" w:sz="8" w:space="0" w:color="000000"/>
              <w:right w:val="nil"/>
            </w:tcBorders>
            <w:vAlign w:val="bottom"/>
          </w:tcPr>
          <w:p w14:paraId="40700C21" w14:textId="77777777" w:rsidR="00E50B37" w:rsidRDefault="00645276">
            <w:pPr>
              <w:widowControl w:val="0"/>
              <w:spacing w:line="240" w:lineRule="auto"/>
              <w:rPr>
                <w:sz w:val="16"/>
              </w:rPr>
            </w:pPr>
            <w:r>
              <w:rPr>
                <w:rFonts w:eastAsia="Verdana" w:cs="Verdana"/>
                <w:sz w:val="16"/>
                <w:szCs w:val="20"/>
                <w:lang w:val="lv"/>
              </w:rPr>
              <w:t>0.0</w:t>
            </w:r>
          </w:p>
        </w:tc>
        <w:tc>
          <w:tcPr>
            <w:tcW w:w="931" w:type="dxa"/>
            <w:tcBorders>
              <w:top w:val="single" w:sz="8" w:space="0" w:color="000000"/>
              <w:left w:val="nil"/>
              <w:bottom w:val="single" w:sz="8" w:space="0" w:color="000000"/>
              <w:right w:val="nil"/>
            </w:tcBorders>
            <w:vAlign w:val="bottom"/>
          </w:tcPr>
          <w:p w14:paraId="258E1CAA" w14:textId="77777777" w:rsidR="00E50B37" w:rsidRDefault="00645276">
            <w:pPr>
              <w:widowControl w:val="0"/>
              <w:spacing w:line="240" w:lineRule="auto"/>
              <w:rPr>
                <w:sz w:val="16"/>
              </w:rPr>
            </w:pPr>
            <w:r>
              <w:rPr>
                <w:rFonts w:eastAsia="Verdana" w:cs="Verdana"/>
                <w:sz w:val="16"/>
                <w:szCs w:val="20"/>
                <w:lang w:val="lv"/>
              </w:rPr>
              <w:t>501.3</w:t>
            </w:r>
          </w:p>
        </w:tc>
        <w:tc>
          <w:tcPr>
            <w:tcW w:w="1169" w:type="dxa"/>
            <w:tcBorders>
              <w:top w:val="single" w:sz="8" w:space="0" w:color="000000"/>
              <w:left w:val="nil"/>
              <w:bottom w:val="single" w:sz="8" w:space="0" w:color="000000"/>
              <w:right w:val="nil"/>
            </w:tcBorders>
            <w:vAlign w:val="bottom"/>
          </w:tcPr>
          <w:p w14:paraId="57EE74F5" w14:textId="77777777" w:rsidR="00E50B37" w:rsidRDefault="00645276">
            <w:pPr>
              <w:widowControl w:val="0"/>
              <w:spacing w:line="240" w:lineRule="auto"/>
              <w:rPr>
                <w:sz w:val="16"/>
              </w:rPr>
            </w:pPr>
            <w:r>
              <w:rPr>
                <w:rFonts w:eastAsia="Verdana" w:cs="Verdana"/>
                <w:sz w:val="16"/>
                <w:szCs w:val="20"/>
                <w:lang w:val="lv"/>
              </w:rPr>
              <w:t>501.4</w:t>
            </w:r>
          </w:p>
        </w:tc>
        <w:tc>
          <w:tcPr>
            <w:tcW w:w="1197" w:type="dxa"/>
            <w:tcBorders>
              <w:top w:val="single" w:sz="8" w:space="0" w:color="000000"/>
              <w:left w:val="nil"/>
              <w:bottom w:val="single" w:sz="8" w:space="0" w:color="000000"/>
              <w:right w:val="nil"/>
            </w:tcBorders>
            <w:vAlign w:val="bottom"/>
          </w:tcPr>
          <w:p w14:paraId="7209B49E" w14:textId="77777777" w:rsidR="00E50B37" w:rsidRDefault="00645276">
            <w:pPr>
              <w:widowControl w:val="0"/>
              <w:spacing w:line="240" w:lineRule="auto"/>
              <w:rPr>
                <w:sz w:val="16"/>
              </w:rPr>
            </w:pPr>
            <w:r>
              <w:rPr>
                <w:rFonts w:eastAsia="Verdana" w:cs="Verdana"/>
                <w:sz w:val="16"/>
                <w:szCs w:val="20"/>
                <w:lang w:val="lv"/>
              </w:rPr>
              <w:t xml:space="preserve"> </w:t>
            </w:r>
          </w:p>
        </w:tc>
        <w:tc>
          <w:tcPr>
            <w:tcW w:w="236" w:type="dxa"/>
            <w:tcBorders>
              <w:top w:val="single" w:sz="8" w:space="0" w:color="000000"/>
              <w:left w:val="nil"/>
              <w:bottom w:val="single" w:sz="8" w:space="0" w:color="000000"/>
              <w:right w:val="nil"/>
            </w:tcBorders>
          </w:tcPr>
          <w:p w14:paraId="7962F487" w14:textId="77777777" w:rsidR="00E50B37" w:rsidRDefault="00645276">
            <w:pPr>
              <w:widowControl w:val="0"/>
            </w:pPr>
            <w:r>
              <w:rPr>
                <w:rFonts w:eastAsia="Verdana" w:cs="Verdana"/>
                <w:sz w:val="18"/>
                <w:szCs w:val="18"/>
                <w:lang w:val="lv"/>
              </w:rPr>
              <w:t xml:space="preserve"> </w:t>
            </w:r>
          </w:p>
        </w:tc>
      </w:tr>
      <w:tr w:rsidR="00E50B37" w14:paraId="7A14E9CB" w14:textId="77777777">
        <w:trPr>
          <w:trHeight w:val="20"/>
        </w:trPr>
        <w:tc>
          <w:tcPr>
            <w:tcW w:w="4718" w:type="dxa"/>
            <w:gridSpan w:val="2"/>
            <w:tcBorders>
              <w:top w:val="single" w:sz="8" w:space="0" w:color="000000"/>
              <w:left w:val="nil"/>
              <w:bottom w:val="single" w:sz="8" w:space="0" w:color="000000"/>
              <w:right w:val="nil"/>
            </w:tcBorders>
            <w:vAlign w:val="bottom"/>
          </w:tcPr>
          <w:p w14:paraId="49CC7328" w14:textId="77777777" w:rsidR="00E50B37" w:rsidRDefault="00645276">
            <w:pPr>
              <w:widowControl w:val="0"/>
              <w:spacing w:line="240" w:lineRule="auto"/>
              <w:rPr>
                <w:sz w:val="16"/>
              </w:rPr>
            </w:pPr>
            <w:r>
              <w:rPr>
                <w:rFonts w:eastAsia="Verdana" w:cs="Verdana"/>
                <w:sz w:val="16"/>
                <w:szCs w:val="20"/>
                <w:lang w:val="lv"/>
              </w:rPr>
              <w:t>Atbalsts autoceļu nozarei</w:t>
            </w:r>
          </w:p>
        </w:tc>
        <w:tc>
          <w:tcPr>
            <w:tcW w:w="1120" w:type="dxa"/>
            <w:gridSpan w:val="2"/>
            <w:tcBorders>
              <w:top w:val="single" w:sz="8" w:space="0" w:color="000000"/>
              <w:left w:val="nil"/>
              <w:bottom w:val="single" w:sz="8" w:space="0" w:color="000000"/>
              <w:right w:val="nil"/>
            </w:tcBorders>
            <w:vAlign w:val="bottom"/>
          </w:tcPr>
          <w:p w14:paraId="436A9EB2" w14:textId="77777777" w:rsidR="00E50B37" w:rsidRDefault="00645276">
            <w:pPr>
              <w:widowControl w:val="0"/>
              <w:spacing w:line="240" w:lineRule="auto"/>
              <w:rPr>
                <w:sz w:val="16"/>
              </w:rPr>
            </w:pPr>
            <w:r>
              <w:rPr>
                <w:rFonts w:eastAsia="Verdana" w:cs="Verdana"/>
                <w:sz w:val="16"/>
                <w:szCs w:val="20"/>
                <w:lang w:val="lv"/>
              </w:rPr>
              <w:t>72.5</w:t>
            </w:r>
          </w:p>
        </w:tc>
        <w:tc>
          <w:tcPr>
            <w:tcW w:w="931" w:type="dxa"/>
            <w:tcBorders>
              <w:top w:val="single" w:sz="8" w:space="0" w:color="000000"/>
              <w:left w:val="nil"/>
              <w:bottom w:val="single" w:sz="8" w:space="0" w:color="000000"/>
              <w:right w:val="nil"/>
            </w:tcBorders>
            <w:vAlign w:val="bottom"/>
          </w:tcPr>
          <w:p w14:paraId="6C56F258" w14:textId="77777777" w:rsidR="00E50B37" w:rsidRDefault="00645276">
            <w:pPr>
              <w:widowControl w:val="0"/>
              <w:spacing w:line="240" w:lineRule="auto"/>
              <w:rPr>
                <w:sz w:val="16"/>
              </w:rPr>
            </w:pPr>
            <w:r>
              <w:rPr>
                <w:rFonts w:eastAsia="Verdana" w:cs="Verdana"/>
                <w:sz w:val="16"/>
                <w:szCs w:val="20"/>
                <w:lang w:val="lv"/>
              </w:rPr>
              <w:t>155.0</w:t>
            </w:r>
          </w:p>
        </w:tc>
        <w:tc>
          <w:tcPr>
            <w:tcW w:w="1169" w:type="dxa"/>
            <w:tcBorders>
              <w:top w:val="single" w:sz="8" w:space="0" w:color="000000"/>
              <w:left w:val="nil"/>
              <w:bottom w:val="single" w:sz="8" w:space="0" w:color="000000"/>
              <w:right w:val="nil"/>
            </w:tcBorders>
            <w:vAlign w:val="bottom"/>
          </w:tcPr>
          <w:p w14:paraId="5E9C1872" w14:textId="77777777" w:rsidR="00E50B37" w:rsidRDefault="00645276">
            <w:pPr>
              <w:widowControl w:val="0"/>
              <w:spacing w:line="240" w:lineRule="auto"/>
              <w:rPr>
                <w:sz w:val="16"/>
              </w:rPr>
            </w:pPr>
            <w:r>
              <w:rPr>
                <w:rFonts w:eastAsia="Verdana" w:cs="Verdana"/>
                <w:sz w:val="16"/>
                <w:szCs w:val="20"/>
                <w:lang w:val="lv"/>
              </w:rPr>
              <w:t>80.3</w:t>
            </w:r>
          </w:p>
        </w:tc>
        <w:tc>
          <w:tcPr>
            <w:tcW w:w="1197" w:type="dxa"/>
            <w:tcBorders>
              <w:top w:val="single" w:sz="8" w:space="0" w:color="000000"/>
              <w:left w:val="nil"/>
              <w:bottom w:val="single" w:sz="8" w:space="0" w:color="000000"/>
              <w:right w:val="nil"/>
            </w:tcBorders>
            <w:vAlign w:val="bottom"/>
          </w:tcPr>
          <w:p w14:paraId="2562BEA2" w14:textId="77777777" w:rsidR="00E50B37" w:rsidRDefault="00645276">
            <w:pPr>
              <w:widowControl w:val="0"/>
              <w:spacing w:line="240" w:lineRule="auto"/>
              <w:rPr>
                <w:sz w:val="16"/>
              </w:rPr>
            </w:pPr>
            <w:r>
              <w:rPr>
                <w:rFonts w:eastAsia="Verdana" w:cs="Verdana"/>
                <w:sz w:val="16"/>
                <w:szCs w:val="20"/>
                <w:lang w:val="lv"/>
              </w:rPr>
              <w:t xml:space="preserve"> </w:t>
            </w:r>
          </w:p>
        </w:tc>
        <w:tc>
          <w:tcPr>
            <w:tcW w:w="236" w:type="dxa"/>
            <w:tcBorders>
              <w:top w:val="single" w:sz="8" w:space="0" w:color="000000"/>
              <w:left w:val="nil"/>
              <w:bottom w:val="single" w:sz="8" w:space="0" w:color="000000"/>
              <w:right w:val="nil"/>
            </w:tcBorders>
          </w:tcPr>
          <w:p w14:paraId="583811EF" w14:textId="77777777" w:rsidR="00E50B37" w:rsidRDefault="00645276">
            <w:pPr>
              <w:widowControl w:val="0"/>
            </w:pPr>
            <w:r>
              <w:rPr>
                <w:rFonts w:eastAsia="Verdana" w:cs="Verdana"/>
                <w:sz w:val="18"/>
                <w:szCs w:val="18"/>
                <w:lang w:val="lv"/>
              </w:rPr>
              <w:t xml:space="preserve"> </w:t>
            </w:r>
          </w:p>
        </w:tc>
      </w:tr>
      <w:tr w:rsidR="00E50B37" w14:paraId="5004CBBE" w14:textId="77777777">
        <w:trPr>
          <w:trHeight w:val="20"/>
        </w:trPr>
        <w:tc>
          <w:tcPr>
            <w:tcW w:w="4718" w:type="dxa"/>
            <w:gridSpan w:val="2"/>
            <w:tcBorders>
              <w:top w:val="single" w:sz="8" w:space="0" w:color="000000"/>
              <w:left w:val="nil"/>
              <w:bottom w:val="single" w:sz="8" w:space="0" w:color="000000"/>
              <w:right w:val="nil"/>
            </w:tcBorders>
            <w:vAlign w:val="bottom"/>
          </w:tcPr>
          <w:p w14:paraId="0F5A0723" w14:textId="77777777" w:rsidR="00E50B37" w:rsidRDefault="00645276">
            <w:pPr>
              <w:widowControl w:val="0"/>
              <w:spacing w:line="240" w:lineRule="auto"/>
              <w:rPr>
                <w:sz w:val="16"/>
              </w:rPr>
            </w:pPr>
            <w:r>
              <w:rPr>
                <w:rFonts w:eastAsia="Verdana" w:cs="Verdana"/>
                <w:sz w:val="16"/>
                <w:szCs w:val="20"/>
                <w:lang w:val="lv"/>
              </w:rPr>
              <w:t xml:space="preserve">Atbalsts lauksaimniecības un pārtikas ražošanas nozares </w:t>
            </w:r>
            <w:r>
              <w:rPr>
                <w:rFonts w:eastAsia="Verdana" w:cs="Verdana"/>
                <w:sz w:val="16"/>
                <w:szCs w:val="20"/>
                <w:lang w:val="lv"/>
              </w:rPr>
              <w:lastRenderedPageBreak/>
              <w:t>uzņēmumiem</w:t>
            </w:r>
          </w:p>
        </w:tc>
        <w:tc>
          <w:tcPr>
            <w:tcW w:w="1120" w:type="dxa"/>
            <w:gridSpan w:val="2"/>
            <w:tcBorders>
              <w:top w:val="single" w:sz="8" w:space="0" w:color="000000"/>
              <w:left w:val="nil"/>
              <w:bottom w:val="single" w:sz="8" w:space="0" w:color="000000"/>
              <w:right w:val="nil"/>
            </w:tcBorders>
            <w:vAlign w:val="bottom"/>
          </w:tcPr>
          <w:p w14:paraId="0BD07CE5" w14:textId="77777777" w:rsidR="00E50B37" w:rsidRDefault="00645276">
            <w:pPr>
              <w:widowControl w:val="0"/>
              <w:spacing w:line="240" w:lineRule="auto"/>
              <w:rPr>
                <w:sz w:val="16"/>
              </w:rPr>
            </w:pPr>
            <w:r>
              <w:rPr>
                <w:rFonts w:eastAsia="Verdana" w:cs="Verdana"/>
                <w:sz w:val="16"/>
                <w:szCs w:val="20"/>
                <w:lang w:val="lv"/>
              </w:rPr>
              <w:lastRenderedPageBreak/>
              <w:t>37.5</w:t>
            </w:r>
          </w:p>
        </w:tc>
        <w:tc>
          <w:tcPr>
            <w:tcW w:w="931" w:type="dxa"/>
            <w:tcBorders>
              <w:top w:val="single" w:sz="8" w:space="0" w:color="000000"/>
              <w:left w:val="nil"/>
              <w:bottom w:val="single" w:sz="8" w:space="0" w:color="000000"/>
              <w:right w:val="nil"/>
            </w:tcBorders>
            <w:vAlign w:val="bottom"/>
          </w:tcPr>
          <w:p w14:paraId="585412FD" w14:textId="77777777" w:rsidR="00E50B37" w:rsidRDefault="00645276">
            <w:pPr>
              <w:widowControl w:val="0"/>
              <w:spacing w:line="240" w:lineRule="auto"/>
              <w:rPr>
                <w:sz w:val="16"/>
              </w:rPr>
            </w:pPr>
            <w:r>
              <w:rPr>
                <w:rFonts w:eastAsia="Verdana" w:cs="Verdana"/>
                <w:sz w:val="16"/>
                <w:szCs w:val="20"/>
                <w:lang w:val="lv"/>
              </w:rPr>
              <w:t>45.5</w:t>
            </w:r>
          </w:p>
        </w:tc>
        <w:tc>
          <w:tcPr>
            <w:tcW w:w="1169" w:type="dxa"/>
            <w:tcBorders>
              <w:top w:val="single" w:sz="8" w:space="0" w:color="000000"/>
              <w:left w:val="nil"/>
              <w:bottom w:val="single" w:sz="8" w:space="0" w:color="000000"/>
              <w:right w:val="nil"/>
            </w:tcBorders>
            <w:vAlign w:val="bottom"/>
          </w:tcPr>
          <w:p w14:paraId="2C695DC9" w14:textId="77777777" w:rsidR="00E50B37" w:rsidRDefault="00645276">
            <w:pPr>
              <w:widowControl w:val="0"/>
              <w:spacing w:line="240" w:lineRule="auto"/>
              <w:rPr>
                <w:sz w:val="16"/>
              </w:rPr>
            </w:pPr>
            <w:r>
              <w:rPr>
                <w:rFonts w:eastAsia="Verdana" w:cs="Verdana"/>
                <w:sz w:val="16"/>
                <w:szCs w:val="20"/>
                <w:lang w:val="lv"/>
              </w:rPr>
              <w:t>7.6</w:t>
            </w:r>
          </w:p>
        </w:tc>
        <w:tc>
          <w:tcPr>
            <w:tcW w:w="1197" w:type="dxa"/>
            <w:tcBorders>
              <w:top w:val="single" w:sz="8" w:space="0" w:color="000000"/>
              <w:left w:val="nil"/>
              <w:bottom w:val="single" w:sz="8" w:space="0" w:color="000000"/>
              <w:right w:val="nil"/>
            </w:tcBorders>
            <w:vAlign w:val="bottom"/>
          </w:tcPr>
          <w:p w14:paraId="613FB4BF" w14:textId="77777777" w:rsidR="00E50B37" w:rsidRDefault="00645276">
            <w:pPr>
              <w:widowControl w:val="0"/>
              <w:spacing w:line="240" w:lineRule="auto"/>
              <w:rPr>
                <w:sz w:val="16"/>
              </w:rPr>
            </w:pPr>
            <w:r>
              <w:rPr>
                <w:rFonts w:eastAsia="Verdana" w:cs="Verdana"/>
                <w:sz w:val="16"/>
                <w:szCs w:val="20"/>
                <w:lang w:val="lv"/>
              </w:rPr>
              <w:t xml:space="preserve"> </w:t>
            </w:r>
          </w:p>
        </w:tc>
        <w:tc>
          <w:tcPr>
            <w:tcW w:w="236" w:type="dxa"/>
            <w:tcBorders>
              <w:top w:val="single" w:sz="8" w:space="0" w:color="000000"/>
              <w:left w:val="nil"/>
              <w:bottom w:val="single" w:sz="8" w:space="0" w:color="000000"/>
              <w:right w:val="nil"/>
            </w:tcBorders>
          </w:tcPr>
          <w:p w14:paraId="6405DD39" w14:textId="77777777" w:rsidR="00E50B37" w:rsidRDefault="00645276">
            <w:pPr>
              <w:widowControl w:val="0"/>
            </w:pPr>
            <w:r>
              <w:rPr>
                <w:rFonts w:eastAsia="Verdana" w:cs="Verdana"/>
                <w:sz w:val="18"/>
                <w:szCs w:val="18"/>
                <w:lang w:val="lv"/>
              </w:rPr>
              <w:t xml:space="preserve"> </w:t>
            </w:r>
          </w:p>
        </w:tc>
      </w:tr>
      <w:tr w:rsidR="00E50B37" w14:paraId="3ADA261B" w14:textId="77777777">
        <w:trPr>
          <w:trHeight w:val="20"/>
        </w:trPr>
        <w:tc>
          <w:tcPr>
            <w:tcW w:w="4718" w:type="dxa"/>
            <w:gridSpan w:val="2"/>
            <w:tcBorders>
              <w:top w:val="single" w:sz="8" w:space="0" w:color="000000"/>
              <w:left w:val="nil"/>
              <w:bottom w:val="single" w:sz="18" w:space="0" w:color="9D2234"/>
              <w:right w:val="nil"/>
            </w:tcBorders>
            <w:vAlign w:val="bottom"/>
          </w:tcPr>
          <w:p w14:paraId="63091169" w14:textId="77777777" w:rsidR="00E50B37" w:rsidRDefault="00645276">
            <w:pPr>
              <w:widowControl w:val="0"/>
              <w:spacing w:line="240" w:lineRule="auto"/>
              <w:rPr>
                <w:sz w:val="16"/>
              </w:rPr>
            </w:pPr>
            <w:r>
              <w:rPr>
                <w:rFonts w:eastAsia="Verdana" w:cs="Verdana"/>
                <w:b/>
                <w:bCs/>
                <w:sz w:val="16"/>
                <w:szCs w:val="20"/>
                <w:lang w:val="lv"/>
              </w:rPr>
              <w:t>Atbalsts valsts un AS sektoram</w:t>
            </w:r>
          </w:p>
        </w:tc>
        <w:tc>
          <w:tcPr>
            <w:tcW w:w="1120" w:type="dxa"/>
            <w:gridSpan w:val="2"/>
            <w:tcBorders>
              <w:top w:val="single" w:sz="8" w:space="0" w:color="000000"/>
              <w:left w:val="nil"/>
              <w:bottom w:val="single" w:sz="18" w:space="0" w:color="9D2234"/>
              <w:right w:val="nil"/>
            </w:tcBorders>
            <w:vAlign w:val="bottom"/>
          </w:tcPr>
          <w:p w14:paraId="6DEDDDBB" w14:textId="77777777" w:rsidR="00E50B37" w:rsidRDefault="00645276">
            <w:pPr>
              <w:widowControl w:val="0"/>
              <w:spacing w:line="240" w:lineRule="auto"/>
              <w:rPr>
                <w:sz w:val="16"/>
              </w:rPr>
            </w:pPr>
            <w:r>
              <w:rPr>
                <w:rFonts w:eastAsia="Verdana" w:cs="Verdana"/>
                <w:b/>
                <w:bCs/>
                <w:sz w:val="16"/>
                <w:szCs w:val="20"/>
                <w:lang w:val="lv"/>
              </w:rPr>
              <w:t>560.2</w:t>
            </w:r>
          </w:p>
        </w:tc>
        <w:tc>
          <w:tcPr>
            <w:tcW w:w="931" w:type="dxa"/>
            <w:tcBorders>
              <w:top w:val="single" w:sz="8" w:space="0" w:color="000000"/>
              <w:left w:val="nil"/>
              <w:bottom w:val="single" w:sz="18" w:space="0" w:color="9D2234"/>
              <w:right w:val="nil"/>
            </w:tcBorders>
            <w:vAlign w:val="bottom"/>
          </w:tcPr>
          <w:p w14:paraId="5960410C" w14:textId="77777777" w:rsidR="00E50B37" w:rsidRDefault="00645276">
            <w:pPr>
              <w:widowControl w:val="0"/>
              <w:spacing w:line="240" w:lineRule="auto"/>
              <w:rPr>
                <w:sz w:val="16"/>
              </w:rPr>
            </w:pPr>
            <w:r>
              <w:rPr>
                <w:rFonts w:eastAsia="Verdana" w:cs="Verdana"/>
                <w:b/>
                <w:bCs/>
                <w:sz w:val="16"/>
                <w:szCs w:val="20"/>
                <w:lang w:val="lv"/>
              </w:rPr>
              <w:t>897.2</w:t>
            </w:r>
          </w:p>
        </w:tc>
        <w:tc>
          <w:tcPr>
            <w:tcW w:w="1169" w:type="dxa"/>
            <w:tcBorders>
              <w:top w:val="single" w:sz="8" w:space="0" w:color="000000"/>
              <w:left w:val="nil"/>
              <w:bottom w:val="single" w:sz="18" w:space="0" w:color="9D2234"/>
              <w:right w:val="nil"/>
            </w:tcBorders>
            <w:vAlign w:val="bottom"/>
          </w:tcPr>
          <w:p w14:paraId="5CAC5BC6" w14:textId="77777777" w:rsidR="00E50B37" w:rsidRDefault="00645276">
            <w:pPr>
              <w:widowControl w:val="0"/>
              <w:spacing w:line="240" w:lineRule="auto"/>
              <w:rPr>
                <w:sz w:val="16"/>
              </w:rPr>
            </w:pPr>
            <w:r>
              <w:rPr>
                <w:rFonts w:eastAsia="Verdana" w:cs="Verdana"/>
                <w:b/>
                <w:bCs/>
                <w:sz w:val="16"/>
                <w:szCs w:val="20"/>
                <w:lang w:val="lv"/>
              </w:rPr>
              <w:t>527.6</w:t>
            </w:r>
          </w:p>
        </w:tc>
        <w:tc>
          <w:tcPr>
            <w:tcW w:w="1197" w:type="dxa"/>
            <w:tcBorders>
              <w:top w:val="single" w:sz="8" w:space="0" w:color="000000"/>
              <w:left w:val="nil"/>
              <w:bottom w:val="single" w:sz="18" w:space="0" w:color="9D2234"/>
              <w:right w:val="nil"/>
            </w:tcBorders>
            <w:vAlign w:val="bottom"/>
          </w:tcPr>
          <w:p w14:paraId="5B49A2C7" w14:textId="77777777" w:rsidR="00E50B37" w:rsidRDefault="00645276">
            <w:pPr>
              <w:widowControl w:val="0"/>
              <w:spacing w:line="240" w:lineRule="auto"/>
              <w:rPr>
                <w:sz w:val="16"/>
              </w:rPr>
            </w:pPr>
            <w:r>
              <w:rPr>
                <w:rFonts w:eastAsia="Verdana" w:cs="Verdana"/>
                <w:b/>
                <w:bCs/>
                <w:sz w:val="16"/>
                <w:szCs w:val="20"/>
                <w:lang w:val="lv"/>
              </w:rPr>
              <w:t>290.8</w:t>
            </w:r>
          </w:p>
        </w:tc>
        <w:tc>
          <w:tcPr>
            <w:tcW w:w="236" w:type="dxa"/>
            <w:tcBorders>
              <w:top w:val="single" w:sz="8" w:space="0" w:color="000000"/>
              <w:left w:val="nil"/>
              <w:bottom w:val="single" w:sz="18" w:space="0" w:color="9D2234"/>
              <w:right w:val="nil"/>
            </w:tcBorders>
          </w:tcPr>
          <w:p w14:paraId="32F6A30E" w14:textId="77777777" w:rsidR="00E50B37" w:rsidRDefault="00645276">
            <w:pPr>
              <w:widowControl w:val="0"/>
            </w:pPr>
            <w:r>
              <w:rPr>
                <w:rFonts w:eastAsia="Verdana" w:cs="Verdana"/>
                <w:sz w:val="18"/>
                <w:szCs w:val="18"/>
                <w:lang w:val="lv"/>
              </w:rPr>
              <w:t xml:space="preserve"> </w:t>
            </w:r>
          </w:p>
        </w:tc>
      </w:tr>
      <w:tr w:rsidR="00E50B37" w14:paraId="78264DC4" w14:textId="77777777">
        <w:trPr>
          <w:trHeight w:val="20"/>
        </w:trPr>
        <w:tc>
          <w:tcPr>
            <w:tcW w:w="4718" w:type="dxa"/>
            <w:gridSpan w:val="2"/>
            <w:tcBorders>
              <w:top w:val="single" w:sz="18" w:space="0" w:color="9D2234"/>
              <w:left w:val="nil"/>
              <w:bottom w:val="single" w:sz="8" w:space="0" w:color="9D2234"/>
              <w:right w:val="nil"/>
            </w:tcBorders>
            <w:vAlign w:val="bottom"/>
          </w:tcPr>
          <w:p w14:paraId="5DF4A15D" w14:textId="77777777" w:rsidR="00E50B37" w:rsidRDefault="00645276">
            <w:pPr>
              <w:widowControl w:val="0"/>
              <w:spacing w:line="240" w:lineRule="auto"/>
              <w:rPr>
                <w:sz w:val="16"/>
              </w:rPr>
            </w:pPr>
            <w:r>
              <w:rPr>
                <w:rFonts w:eastAsia="Verdana" w:cs="Verdana"/>
                <w:sz w:val="16"/>
                <w:szCs w:val="20"/>
                <w:lang w:val="lv"/>
              </w:rPr>
              <w:t>Atbalsts aviopārvadājumu nozarei</w:t>
            </w:r>
          </w:p>
        </w:tc>
        <w:tc>
          <w:tcPr>
            <w:tcW w:w="1120" w:type="dxa"/>
            <w:gridSpan w:val="2"/>
            <w:tcBorders>
              <w:top w:val="single" w:sz="18" w:space="0" w:color="9D2234"/>
              <w:left w:val="nil"/>
              <w:bottom w:val="single" w:sz="8" w:space="0" w:color="9D2234"/>
              <w:right w:val="nil"/>
            </w:tcBorders>
            <w:vAlign w:val="bottom"/>
          </w:tcPr>
          <w:p w14:paraId="0CDF5889" w14:textId="77777777" w:rsidR="00E50B37" w:rsidRDefault="00645276">
            <w:pPr>
              <w:widowControl w:val="0"/>
              <w:spacing w:line="240" w:lineRule="auto"/>
              <w:rPr>
                <w:sz w:val="16"/>
              </w:rPr>
            </w:pPr>
            <w:r>
              <w:rPr>
                <w:rFonts w:eastAsia="Verdana" w:cs="Verdana"/>
                <w:sz w:val="16"/>
                <w:szCs w:val="20"/>
                <w:lang w:val="lv"/>
              </w:rPr>
              <w:t>260.5</w:t>
            </w:r>
          </w:p>
        </w:tc>
        <w:tc>
          <w:tcPr>
            <w:tcW w:w="931" w:type="dxa"/>
            <w:tcBorders>
              <w:top w:val="single" w:sz="18" w:space="0" w:color="9D2234"/>
              <w:left w:val="nil"/>
              <w:bottom w:val="single" w:sz="8" w:space="0" w:color="000000"/>
              <w:right w:val="nil"/>
            </w:tcBorders>
            <w:vAlign w:val="bottom"/>
          </w:tcPr>
          <w:p w14:paraId="6F543AE3" w14:textId="77777777" w:rsidR="00E50B37" w:rsidRDefault="00645276">
            <w:pPr>
              <w:widowControl w:val="0"/>
              <w:spacing w:line="240" w:lineRule="auto"/>
              <w:rPr>
                <w:sz w:val="16"/>
              </w:rPr>
            </w:pPr>
            <w:r>
              <w:rPr>
                <w:rFonts w:eastAsia="Verdana" w:cs="Verdana"/>
                <w:sz w:val="16"/>
                <w:szCs w:val="20"/>
                <w:lang w:val="lv"/>
              </w:rPr>
              <w:t>127.1</w:t>
            </w:r>
          </w:p>
        </w:tc>
        <w:tc>
          <w:tcPr>
            <w:tcW w:w="1169" w:type="dxa"/>
            <w:tcBorders>
              <w:top w:val="single" w:sz="18" w:space="0" w:color="9D2234"/>
              <w:left w:val="nil"/>
              <w:bottom w:val="single" w:sz="8" w:space="0" w:color="000000"/>
              <w:right w:val="nil"/>
            </w:tcBorders>
            <w:vAlign w:val="bottom"/>
          </w:tcPr>
          <w:p w14:paraId="0D63FC5F" w14:textId="77777777" w:rsidR="00E50B37" w:rsidRDefault="00645276">
            <w:pPr>
              <w:widowControl w:val="0"/>
              <w:spacing w:line="240" w:lineRule="auto"/>
              <w:rPr>
                <w:sz w:val="16"/>
              </w:rPr>
            </w:pPr>
            <w:r>
              <w:rPr>
                <w:rFonts w:eastAsia="Verdana" w:cs="Verdana"/>
                <w:sz w:val="16"/>
                <w:szCs w:val="20"/>
                <w:lang w:val="lv"/>
              </w:rPr>
              <w:t>37.1</w:t>
            </w:r>
          </w:p>
        </w:tc>
        <w:tc>
          <w:tcPr>
            <w:tcW w:w="1197" w:type="dxa"/>
            <w:tcBorders>
              <w:top w:val="single" w:sz="18" w:space="0" w:color="9D2234"/>
              <w:left w:val="nil"/>
              <w:bottom w:val="single" w:sz="8" w:space="0" w:color="000000"/>
              <w:right w:val="nil"/>
            </w:tcBorders>
            <w:vAlign w:val="bottom"/>
          </w:tcPr>
          <w:p w14:paraId="4FD57D30" w14:textId="77777777" w:rsidR="00E50B37" w:rsidRDefault="00645276">
            <w:pPr>
              <w:widowControl w:val="0"/>
              <w:spacing w:line="240" w:lineRule="auto"/>
              <w:rPr>
                <w:sz w:val="16"/>
              </w:rPr>
            </w:pPr>
            <w:r>
              <w:rPr>
                <w:rFonts w:eastAsia="Verdana" w:cs="Verdana"/>
                <w:sz w:val="16"/>
                <w:szCs w:val="20"/>
                <w:lang w:val="lv"/>
              </w:rPr>
              <w:t xml:space="preserve"> </w:t>
            </w:r>
          </w:p>
        </w:tc>
        <w:tc>
          <w:tcPr>
            <w:tcW w:w="236" w:type="dxa"/>
            <w:tcBorders>
              <w:top w:val="single" w:sz="18" w:space="0" w:color="9D2234"/>
              <w:left w:val="nil"/>
              <w:bottom w:val="single" w:sz="8" w:space="0" w:color="000000"/>
              <w:right w:val="nil"/>
            </w:tcBorders>
          </w:tcPr>
          <w:p w14:paraId="4C306883" w14:textId="77777777" w:rsidR="00E50B37" w:rsidRDefault="00645276">
            <w:pPr>
              <w:widowControl w:val="0"/>
            </w:pPr>
            <w:r>
              <w:rPr>
                <w:rFonts w:eastAsia="Verdana" w:cs="Verdana"/>
                <w:b/>
                <w:bCs/>
                <w:sz w:val="18"/>
                <w:szCs w:val="18"/>
                <w:lang w:val="lv"/>
              </w:rPr>
              <w:t xml:space="preserve"> </w:t>
            </w:r>
          </w:p>
        </w:tc>
      </w:tr>
      <w:tr w:rsidR="00E50B37" w14:paraId="55F6B62F" w14:textId="77777777">
        <w:trPr>
          <w:trHeight w:val="20"/>
        </w:trPr>
        <w:tc>
          <w:tcPr>
            <w:tcW w:w="4718" w:type="dxa"/>
            <w:gridSpan w:val="2"/>
            <w:tcBorders>
              <w:top w:val="single" w:sz="8" w:space="0" w:color="9D2234"/>
              <w:left w:val="nil"/>
              <w:bottom w:val="single" w:sz="8" w:space="0" w:color="000000"/>
              <w:right w:val="nil"/>
            </w:tcBorders>
            <w:vAlign w:val="bottom"/>
          </w:tcPr>
          <w:p w14:paraId="708252C8" w14:textId="77777777" w:rsidR="00E50B37" w:rsidRDefault="00645276">
            <w:pPr>
              <w:widowControl w:val="0"/>
              <w:spacing w:line="240" w:lineRule="auto"/>
              <w:rPr>
                <w:sz w:val="16"/>
              </w:rPr>
            </w:pPr>
            <w:r>
              <w:rPr>
                <w:rFonts w:eastAsia="Verdana" w:cs="Verdana"/>
                <w:sz w:val="16"/>
                <w:szCs w:val="20"/>
                <w:lang w:val="lv"/>
              </w:rPr>
              <w:t>Atbalsts sabiedriskā transporta jomai</w:t>
            </w:r>
          </w:p>
        </w:tc>
        <w:tc>
          <w:tcPr>
            <w:tcW w:w="1120" w:type="dxa"/>
            <w:gridSpan w:val="2"/>
            <w:tcBorders>
              <w:top w:val="single" w:sz="8" w:space="0" w:color="9D2234"/>
              <w:left w:val="nil"/>
              <w:bottom w:val="single" w:sz="8" w:space="0" w:color="000000"/>
              <w:right w:val="nil"/>
            </w:tcBorders>
            <w:vAlign w:val="bottom"/>
          </w:tcPr>
          <w:p w14:paraId="52AEC927" w14:textId="77777777" w:rsidR="00E50B37" w:rsidRDefault="00645276">
            <w:pPr>
              <w:widowControl w:val="0"/>
              <w:spacing w:line="240" w:lineRule="auto"/>
              <w:rPr>
                <w:sz w:val="16"/>
              </w:rPr>
            </w:pPr>
            <w:r>
              <w:rPr>
                <w:rFonts w:eastAsia="Verdana" w:cs="Verdana"/>
                <w:sz w:val="16"/>
                <w:szCs w:val="20"/>
                <w:lang w:val="lv"/>
              </w:rPr>
              <w:t>75.4</w:t>
            </w:r>
          </w:p>
        </w:tc>
        <w:tc>
          <w:tcPr>
            <w:tcW w:w="931" w:type="dxa"/>
            <w:tcBorders>
              <w:top w:val="single" w:sz="8" w:space="0" w:color="000000"/>
              <w:left w:val="nil"/>
              <w:bottom w:val="single" w:sz="8" w:space="0" w:color="000000"/>
              <w:right w:val="nil"/>
            </w:tcBorders>
            <w:vAlign w:val="bottom"/>
          </w:tcPr>
          <w:p w14:paraId="1667B8CF" w14:textId="77777777" w:rsidR="00E50B37" w:rsidRDefault="00645276">
            <w:pPr>
              <w:widowControl w:val="0"/>
              <w:spacing w:line="240" w:lineRule="auto"/>
              <w:rPr>
                <w:sz w:val="16"/>
              </w:rPr>
            </w:pPr>
            <w:r>
              <w:rPr>
                <w:rFonts w:eastAsia="Verdana" w:cs="Verdana"/>
                <w:sz w:val="16"/>
                <w:szCs w:val="20"/>
                <w:lang w:val="lv"/>
              </w:rPr>
              <w:t>11.5</w:t>
            </w:r>
          </w:p>
        </w:tc>
        <w:tc>
          <w:tcPr>
            <w:tcW w:w="1169" w:type="dxa"/>
            <w:tcBorders>
              <w:top w:val="single" w:sz="8" w:space="0" w:color="000000"/>
              <w:left w:val="nil"/>
              <w:bottom w:val="single" w:sz="8" w:space="0" w:color="000000"/>
              <w:right w:val="nil"/>
            </w:tcBorders>
            <w:vAlign w:val="bottom"/>
          </w:tcPr>
          <w:p w14:paraId="2429964C" w14:textId="77777777" w:rsidR="00E50B37" w:rsidRDefault="00645276">
            <w:pPr>
              <w:widowControl w:val="0"/>
              <w:spacing w:line="240" w:lineRule="auto"/>
              <w:rPr>
                <w:sz w:val="16"/>
              </w:rPr>
            </w:pPr>
            <w:r>
              <w:rPr>
                <w:rFonts w:eastAsia="Verdana" w:cs="Verdana"/>
                <w:sz w:val="16"/>
                <w:szCs w:val="20"/>
                <w:lang w:val="lv"/>
              </w:rPr>
              <w:t>11.5</w:t>
            </w:r>
          </w:p>
        </w:tc>
        <w:tc>
          <w:tcPr>
            <w:tcW w:w="1197" w:type="dxa"/>
            <w:tcBorders>
              <w:top w:val="single" w:sz="8" w:space="0" w:color="000000"/>
              <w:left w:val="nil"/>
              <w:bottom w:val="single" w:sz="8" w:space="0" w:color="000000"/>
              <w:right w:val="nil"/>
            </w:tcBorders>
            <w:vAlign w:val="bottom"/>
          </w:tcPr>
          <w:p w14:paraId="6A77A4D1" w14:textId="77777777" w:rsidR="00E50B37" w:rsidRDefault="00645276">
            <w:pPr>
              <w:widowControl w:val="0"/>
              <w:spacing w:line="240" w:lineRule="auto"/>
              <w:rPr>
                <w:sz w:val="16"/>
              </w:rPr>
            </w:pPr>
            <w:r>
              <w:rPr>
                <w:rFonts w:eastAsia="Verdana" w:cs="Verdana"/>
                <w:sz w:val="16"/>
                <w:szCs w:val="20"/>
                <w:lang w:val="lv"/>
              </w:rPr>
              <w:t xml:space="preserve"> </w:t>
            </w:r>
          </w:p>
        </w:tc>
        <w:tc>
          <w:tcPr>
            <w:tcW w:w="236" w:type="dxa"/>
            <w:tcBorders>
              <w:top w:val="single" w:sz="8" w:space="0" w:color="000000"/>
              <w:left w:val="nil"/>
              <w:bottom w:val="single" w:sz="8" w:space="0" w:color="000000"/>
              <w:right w:val="nil"/>
            </w:tcBorders>
          </w:tcPr>
          <w:p w14:paraId="0AFAE382" w14:textId="77777777" w:rsidR="00E50B37" w:rsidRDefault="00645276">
            <w:pPr>
              <w:widowControl w:val="0"/>
            </w:pPr>
            <w:r>
              <w:rPr>
                <w:rFonts w:eastAsia="Verdana" w:cs="Verdana"/>
                <w:sz w:val="18"/>
                <w:szCs w:val="18"/>
                <w:lang w:val="lv"/>
              </w:rPr>
              <w:t xml:space="preserve"> </w:t>
            </w:r>
          </w:p>
        </w:tc>
      </w:tr>
      <w:tr w:rsidR="00E50B37" w14:paraId="3A67C3A0" w14:textId="77777777">
        <w:trPr>
          <w:trHeight w:val="20"/>
        </w:trPr>
        <w:tc>
          <w:tcPr>
            <w:tcW w:w="4718" w:type="dxa"/>
            <w:gridSpan w:val="2"/>
            <w:tcBorders>
              <w:top w:val="single" w:sz="8" w:space="0" w:color="000000"/>
              <w:left w:val="nil"/>
              <w:bottom w:val="single" w:sz="8" w:space="0" w:color="000000"/>
              <w:right w:val="nil"/>
            </w:tcBorders>
            <w:vAlign w:val="bottom"/>
          </w:tcPr>
          <w:p w14:paraId="74B81F9C" w14:textId="77777777" w:rsidR="00E50B37" w:rsidRDefault="00645276">
            <w:pPr>
              <w:widowControl w:val="0"/>
              <w:spacing w:line="240" w:lineRule="auto"/>
              <w:rPr>
                <w:sz w:val="16"/>
              </w:rPr>
            </w:pPr>
            <w:r>
              <w:rPr>
                <w:rFonts w:eastAsia="Verdana" w:cs="Verdana"/>
                <w:sz w:val="16"/>
                <w:szCs w:val="20"/>
                <w:lang w:val="lv"/>
              </w:rPr>
              <w:t>Atbalsts veselības aprūpes nozarei</w:t>
            </w:r>
          </w:p>
        </w:tc>
        <w:tc>
          <w:tcPr>
            <w:tcW w:w="1120" w:type="dxa"/>
            <w:gridSpan w:val="2"/>
            <w:tcBorders>
              <w:top w:val="single" w:sz="8" w:space="0" w:color="000000"/>
              <w:left w:val="nil"/>
              <w:bottom w:val="single" w:sz="8" w:space="0" w:color="000000"/>
              <w:right w:val="nil"/>
            </w:tcBorders>
            <w:vAlign w:val="bottom"/>
          </w:tcPr>
          <w:p w14:paraId="56A18B26" w14:textId="77777777" w:rsidR="00E50B37" w:rsidRDefault="00645276">
            <w:pPr>
              <w:widowControl w:val="0"/>
              <w:spacing w:line="240" w:lineRule="auto"/>
              <w:rPr>
                <w:sz w:val="16"/>
              </w:rPr>
            </w:pPr>
            <w:r>
              <w:rPr>
                <w:rFonts w:eastAsia="Verdana" w:cs="Verdana"/>
                <w:sz w:val="16"/>
                <w:szCs w:val="20"/>
                <w:lang w:val="lv"/>
              </w:rPr>
              <w:t>123.6</w:t>
            </w:r>
          </w:p>
        </w:tc>
        <w:tc>
          <w:tcPr>
            <w:tcW w:w="931" w:type="dxa"/>
            <w:tcBorders>
              <w:top w:val="single" w:sz="8" w:space="0" w:color="000000"/>
              <w:left w:val="nil"/>
              <w:bottom w:val="single" w:sz="8" w:space="0" w:color="000000"/>
              <w:right w:val="nil"/>
            </w:tcBorders>
            <w:vAlign w:val="bottom"/>
          </w:tcPr>
          <w:p w14:paraId="0E6404CD" w14:textId="77777777" w:rsidR="00E50B37" w:rsidRDefault="00645276">
            <w:pPr>
              <w:widowControl w:val="0"/>
              <w:spacing w:line="240" w:lineRule="auto"/>
              <w:rPr>
                <w:sz w:val="16"/>
              </w:rPr>
            </w:pPr>
            <w:r>
              <w:rPr>
                <w:rFonts w:eastAsia="Verdana" w:cs="Verdana"/>
                <w:sz w:val="16"/>
                <w:szCs w:val="20"/>
                <w:lang w:val="lv"/>
              </w:rPr>
              <w:t>463.8</w:t>
            </w:r>
          </w:p>
        </w:tc>
        <w:tc>
          <w:tcPr>
            <w:tcW w:w="1169" w:type="dxa"/>
            <w:tcBorders>
              <w:top w:val="single" w:sz="8" w:space="0" w:color="000000"/>
              <w:left w:val="nil"/>
              <w:bottom w:val="single" w:sz="8" w:space="0" w:color="000000"/>
              <w:right w:val="nil"/>
            </w:tcBorders>
            <w:vAlign w:val="bottom"/>
          </w:tcPr>
          <w:p w14:paraId="2E18F7B4" w14:textId="77777777" w:rsidR="00E50B37" w:rsidRDefault="00645276">
            <w:pPr>
              <w:widowControl w:val="0"/>
              <w:spacing w:line="240" w:lineRule="auto"/>
              <w:rPr>
                <w:sz w:val="16"/>
              </w:rPr>
            </w:pPr>
            <w:r>
              <w:rPr>
                <w:rFonts w:eastAsia="Verdana" w:cs="Verdana"/>
                <w:sz w:val="16"/>
                <w:szCs w:val="20"/>
                <w:lang w:val="lv"/>
              </w:rPr>
              <w:t>308.7</w:t>
            </w:r>
          </w:p>
        </w:tc>
        <w:tc>
          <w:tcPr>
            <w:tcW w:w="1197" w:type="dxa"/>
            <w:tcBorders>
              <w:top w:val="single" w:sz="8" w:space="0" w:color="000000"/>
              <w:left w:val="nil"/>
              <w:bottom w:val="single" w:sz="8" w:space="0" w:color="000000"/>
              <w:right w:val="nil"/>
            </w:tcBorders>
            <w:vAlign w:val="bottom"/>
          </w:tcPr>
          <w:p w14:paraId="0EE375F5" w14:textId="77777777" w:rsidR="00E50B37" w:rsidRDefault="00645276">
            <w:pPr>
              <w:widowControl w:val="0"/>
              <w:spacing w:line="240" w:lineRule="auto"/>
              <w:rPr>
                <w:sz w:val="16"/>
              </w:rPr>
            </w:pPr>
            <w:r>
              <w:rPr>
                <w:rFonts w:eastAsia="Verdana" w:cs="Verdana"/>
                <w:sz w:val="16"/>
                <w:szCs w:val="20"/>
                <w:lang w:val="lv"/>
              </w:rPr>
              <w:t>170.3</w:t>
            </w:r>
          </w:p>
        </w:tc>
        <w:tc>
          <w:tcPr>
            <w:tcW w:w="236" w:type="dxa"/>
            <w:tcBorders>
              <w:top w:val="single" w:sz="8" w:space="0" w:color="000000"/>
              <w:left w:val="nil"/>
              <w:bottom w:val="single" w:sz="8" w:space="0" w:color="000000"/>
              <w:right w:val="nil"/>
            </w:tcBorders>
          </w:tcPr>
          <w:p w14:paraId="4730E902" w14:textId="77777777" w:rsidR="00E50B37" w:rsidRDefault="00645276">
            <w:pPr>
              <w:widowControl w:val="0"/>
            </w:pPr>
            <w:r>
              <w:rPr>
                <w:rFonts w:eastAsia="Verdana" w:cs="Verdana"/>
                <w:sz w:val="18"/>
                <w:szCs w:val="18"/>
                <w:lang w:val="lv"/>
              </w:rPr>
              <w:t xml:space="preserve"> </w:t>
            </w:r>
          </w:p>
        </w:tc>
      </w:tr>
      <w:tr w:rsidR="00E50B37" w14:paraId="19480574" w14:textId="77777777">
        <w:trPr>
          <w:trHeight w:val="20"/>
        </w:trPr>
        <w:tc>
          <w:tcPr>
            <w:tcW w:w="4718" w:type="dxa"/>
            <w:gridSpan w:val="2"/>
            <w:tcBorders>
              <w:top w:val="single" w:sz="8" w:space="0" w:color="000000"/>
              <w:left w:val="nil"/>
              <w:bottom w:val="single" w:sz="8" w:space="0" w:color="000000"/>
              <w:right w:val="nil"/>
            </w:tcBorders>
            <w:vAlign w:val="bottom"/>
          </w:tcPr>
          <w:p w14:paraId="39C8990F" w14:textId="77777777" w:rsidR="00E50B37" w:rsidRDefault="00645276">
            <w:pPr>
              <w:widowControl w:val="0"/>
              <w:spacing w:line="240" w:lineRule="auto"/>
              <w:rPr>
                <w:sz w:val="16"/>
              </w:rPr>
            </w:pPr>
            <w:r>
              <w:rPr>
                <w:rFonts w:eastAsia="Verdana" w:cs="Verdana"/>
                <w:sz w:val="16"/>
                <w:szCs w:val="20"/>
                <w:lang w:val="lv"/>
              </w:rPr>
              <w:t>Atbalsts kultūras nozarei un sportam</w:t>
            </w:r>
          </w:p>
        </w:tc>
        <w:tc>
          <w:tcPr>
            <w:tcW w:w="1120" w:type="dxa"/>
            <w:gridSpan w:val="2"/>
            <w:tcBorders>
              <w:top w:val="single" w:sz="8" w:space="0" w:color="000000"/>
              <w:left w:val="nil"/>
              <w:bottom w:val="single" w:sz="8" w:space="0" w:color="000000"/>
              <w:right w:val="nil"/>
            </w:tcBorders>
            <w:vAlign w:val="bottom"/>
          </w:tcPr>
          <w:p w14:paraId="5FA4964F" w14:textId="77777777" w:rsidR="00E50B37" w:rsidRDefault="00645276">
            <w:pPr>
              <w:widowControl w:val="0"/>
              <w:spacing w:line="240" w:lineRule="auto"/>
              <w:rPr>
                <w:sz w:val="16"/>
              </w:rPr>
            </w:pPr>
            <w:r>
              <w:rPr>
                <w:rFonts w:eastAsia="Verdana" w:cs="Verdana"/>
                <w:sz w:val="16"/>
                <w:szCs w:val="20"/>
                <w:lang w:val="lv"/>
              </w:rPr>
              <w:t>26.1</w:t>
            </w:r>
          </w:p>
        </w:tc>
        <w:tc>
          <w:tcPr>
            <w:tcW w:w="931" w:type="dxa"/>
            <w:tcBorders>
              <w:top w:val="single" w:sz="8" w:space="0" w:color="000000"/>
              <w:left w:val="nil"/>
              <w:bottom w:val="single" w:sz="8" w:space="0" w:color="000000"/>
              <w:right w:val="nil"/>
            </w:tcBorders>
            <w:vAlign w:val="bottom"/>
          </w:tcPr>
          <w:p w14:paraId="482747F0" w14:textId="77777777" w:rsidR="00E50B37" w:rsidRDefault="00645276">
            <w:pPr>
              <w:widowControl w:val="0"/>
              <w:spacing w:line="240" w:lineRule="auto"/>
              <w:rPr>
                <w:sz w:val="16"/>
              </w:rPr>
            </w:pPr>
            <w:r>
              <w:rPr>
                <w:rFonts w:eastAsia="Verdana" w:cs="Verdana"/>
                <w:sz w:val="16"/>
                <w:szCs w:val="20"/>
                <w:lang w:val="lv"/>
              </w:rPr>
              <w:t>43.2</w:t>
            </w:r>
          </w:p>
        </w:tc>
        <w:tc>
          <w:tcPr>
            <w:tcW w:w="1169" w:type="dxa"/>
            <w:tcBorders>
              <w:top w:val="single" w:sz="8" w:space="0" w:color="000000"/>
              <w:left w:val="nil"/>
              <w:bottom w:val="single" w:sz="8" w:space="0" w:color="000000"/>
              <w:right w:val="nil"/>
            </w:tcBorders>
            <w:vAlign w:val="bottom"/>
          </w:tcPr>
          <w:p w14:paraId="25FFA9F7" w14:textId="77777777" w:rsidR="00E50B37" w:rsidRDefault="00645276">
            <w:pPr>
              <w:widowControl w:val="0"/>
              <w:spacing w:line="240" w:lineRule="auto"/>
              <w:rPr>
                <w:sz w:val="16"/>
              </w:rPr>
            </w:pPr>
            <w:r>
              <w:rPr>
                <w:rFonts w:eastAsia="Verdana" w:cs="Verdana"/>
                <w:sz w:val="16"/>
                <w:szCs w:val="20"/>
                <w:lang w:val="lv"/>
              </w:rPr>
              <w:t>30.1</w:t>
            </w:r>
          </w:p>
        </w:tc>
        <w:tc>
          <w:tcPr>
            <w:tcW w:w="1197" w:type="dxa"/>
            <w:tcBorders>
              <w:top w:val="single" w:sz="8" w:space="0" w:color="000000"/>
              <w:left w:val="nil"/>
              <w:bottom w:val="single" w:sz="8" w:space="0" w:color="000000"/>
              <w:right w:val="nil"/>
            </w:tcBorders>
            <w:vAlign w:val="bottom"/>
          </w:tcPr>
          <w:p w14:paraId="5C283229" w14:textId="77777777" w:rsidR="00E50B37" w:rsidRDefault="00645276">
            <w:pPr>
              <w:widowControl w:val="0"/>
              <w:spacing w:line="240" w:lineRule="auto"/>
              <w:rPr>
                <w:sz w:val="16"/>
              </w:rPr>
            </w:pPr>
            <w:r>
              <w:rPr>
                <w:rFonts w:eastAsia="Verdana" w:cs="Verdana"/>
                <w:sz w:val="16"/>
                <w:szCs w:val="20"/>
                <w:lang w:val="lv"/>
              </w:rPr>
              <w:t xml:space="preserve"> </w:t>
            </w:r>
          </w:p>
        </w:tc>
        <w:tc>
          <w:tcPr>
            <w:tcW w:w="236" w:type="dxa"/>
            <w:tcBorders>
              <w:top w:val="single" w:sz="8" w:space="0" w:color="000000"/>
              <w:left w:val="nil"/>
              <w:bottom w:val="single" w:sz="8" w:space="0" w:color="000000"/>
              <w:right w:val="nil"/>
            </w:tcBorders>
          </w:tcPr>
          <w:p w14:paraId="0D192909" w14:textId="77777777" w:rsidR="00E50B37" w:rsidRDefault="00645276">
            <w:pPr>
              <w:widowControl w:val="0"/>
            </w:pPr>
            <w:r>
              <w:rPr>
                <w:rFonts w:eastAsia="Verdana" w:cs="Verdana"/>
                <w:sz w:val="18"/>
                <w:szCs w:val="18"/>
                <w:lang w:val="lv"/>
              </w:rPr>
              <w:t xml:space="preserve"> </w:t>
            </w:r>
          </w:p>
        </w:tc>
      </w:tr>
      <w:tr w:rsidR="00E50B37" w14:paraId="340B99DA" w14:textId="77777777">
        <w:trPr>
          <w:trHeight w:val="20"/>
        </w:trPr>
        <w:tc>
          <w:tcPr>
            <w:tcW w:w="4718" w:type="dxa"/>
            <w:gridSpan w:val="2"/>
            <w:tcBorders>
              <w:top w:val="single" w:sz="8" w:space="0" w:color="000000"/>
              <w:left w:val="nil"/>
              <w:bottom w:val="single" w:sz="8" w:space="0" w:color="000000"/>
              <w:right w:val="nil"/>
            </w:tcBorders>
            <w:vAlign w:val="bottom"/>
          </w:tcPr>
          <w:p w14:paraId="7B05FC0B" w14:textId="7CFE262F" w:rsidR="00E50B37" w:rsidRDefault="00645276">
            <w:pPr>
              <w:widowControl w:val="0"/>
              <w:spacing w:line="240" w:lineRule="auto"/>
              <w:rPr>
                <w:sz w:val="16"/>
              </w:rPr>
            </w:pPr>
            <w:r>
              <w:rPr>
                <w:rFonts w:eastAsia="Verdana" w:cs="Verdana"/>
                <w:sz w:val="16"/>
                <w:szCs w:val="20"/>
                <w:lang w:val="lv"/>
              </w:rPr>
              <w:t xml:space="preserve">Atbalsts </w:t>
            </w:r>
            <w:r w:rsidR="00C24D78">
              <w:rPr>
                <w:rFonts w:eastAsia="Verdana" w:cs="Verdana"/>
                <w:sz w:val="16"/>
                <w:szCs w:val="20"/>
                <w:lang w:val="lv"/>
              </w:rPr>
              <w:t>pašvaldību</w:t>
            </w:r>
            <w:r>
              <w:rPr>
                <w:rFonts w:eastAsia="Verdana" w:cs="Verdana"/>
                <w:sz w:val="16"/>
                <w:szCs w:val="20"/>
                <w:lang w:val="lv"/>
              </w:rPr>
              <w:t xml:space="preserve"> investīcijām</w:t>
            </w:r>
          </w:p>
        </w:tc>
        <w:tc>
          <w:tcPr>
            <w:tcW w:w="1120" w:type="dxa"/>
            <w:gridSpan w:val="2"/>
            <w:tcBorders>
              <w:top w:val="single" w:sz="8" w:space="0" w:color="000000"/>
              <w:left w:val="nil"/>
              <w:bottom w:val="single" w:sz="8" w:space="0" w:color="000000"/>
              <w:right w:val="nil"/>
            </w:tcBorders>
            <w:vAlign w:val="bottom"/>
          </w:tcPr>
          <w:p w14:paraId="2FA32816" w14:textId="77777777" w:rsidR="00E50B37" w:rsidRDefault="00645276">
            <w:pPr>
              <w:widowControl w:val="0"/>
              <w:spacing w:line="240" w:lineRule="auto"/>
              <w:rPr>
                <w:sz w:val="16"/>
              </w:rPr>
            </w:pPr>
            <w:r>
              <w:rPr>
                <w:rFonts w:eastAsia="Verdana" w:cs="Verdana"/>
                <w:sz w:val="16"/>
                <w:szCs w:val="20"/>
                <w:lang w:val="lv"/>
              </w:rPr>
              <w:t>50.1</w:t>
            </w:r>
          </w:p>
        </w:tc>
        <w:tc>
          <w:tcPr>
            <w:tcW w:w="931" w:type="dxa"/>
            <w:tcBorders>
              <w:top w:val="single" w:sz="8" w:space="0" w:color="000000"/>
              <w:left w:val="nil"/>
              <w:bottom w:val="single" w:sz="8" w:space="0" w:color="000000"/>
              <w:right w:val="nil"/>
            </w:tcBorders>
            <w:vAlign w:val="bottom"/>
          </w:tcPr>
          <w:p w14:paraId="214591A9" w14:textId="77777777" w:rsidR="00E50B37" w:rsidRDefault="00645276">
            <w:pPr>
              <w:widowControl w:val="0"/>
              <w:spacing w:line="240" w:lineRule="auto"/>
              <w:rPr>
                <w:sz w:val="16"/>
              </w:rPr>
            </w:pPr>
            <w:r>
              <w:rPr>
                <w:rFonts w:eastAsia="Verdana" w:cs="Verdana"/>
                <w:sz w:val="16"/>
                <w:szCs w:val="20"/>
                <w:lang w:val="lv"/>
              </w:rPr>
              <w:t>104.5</w:t>
            </w:r>
          </w:p>
        </w:tc>
        <w:tc>
          <w:tcPr>
            <w:tcW w:w="1169" w:type="dxa"/>
            <w:tcBorders>
              <w:top w:val="single" w:sz="8" w:space="0" w:color="000000"/>
              <w:left w:val="nil"/>
              <w:bottom w:val="single" w:sz="8" w:space="0" w:color="000000"/>
              <w:right w:val="nil"/>
            </w:tcBorders>
            <w:vAlign w:val="bottom"/>
          </w:tcPr>
          <w:p w14:paraId="04F1C6AE" w14:textId="77777777" w:rsidR="00E50B37" w:rsidRDefault="00645276">
            <w:pPr>
              <w:widowControl w:val="0"/>
              <w:spacing w:line="240" w:lineRule="auto"/>
              <w:rPr>
                <w:sz w:val="16"/>
              </w:rPr>
            </w:pPr>
            <w:r>
              <w:rPr>
                <w:rFonts w:eastAsia="Verdana" w:cs="Verdana"/>
                <w:sz w:val="16"/>
                <w:szCs w:val="20"/>
                <w:lang w:val="lv"/>
              </w:rPr>
              <w:t>51.9</w:t>
            </w:r>
          </w:p>
        </w:tc>
        <w:tc>
          <w:tcPr>
            <w:tcW w:w="1197" w:type="dxa"/>
            <w:tcBorders>
              <w:top w:val="single" w:sz="8" w:space="0" w:color="000000"/>
              <w:left w:val="nil"/>
              <w:bottom w:val="single" w:sz="8" w:space="0" w:color="000000"/>
              <w:right w:val="nil"/>
            </w:tcBorders>
            <w:vAlign w:val="bottom"/>
          </w:tcPr>
          <w:p w14:paraId="4A5FC339" w14:textId="77777777" w:rsidR="00E50B37" w:rsidRDefault="00645276">
            <w:pPr>
              <w:widowControl w:val="0"/>
              <w:spacing w:line="240" w:lineRule="auto"/>
              <w:rPr>
                <w:sz w:val="16"/>
              </w:rPr>
            </w:pPr>
            <w:r>
              <w:rPr>
                <w:rFonts w:eastAsia="Verdana" w:cs="Verdana"/>
                <w:sz w:val="16"/>
                <w:szCs w:val="20"/>
                <w:lang w:val="lv"/>
              </w:rPr>
              <w:t>27.7</w:t>
            </w:r>
          </w:p>
        </w:tc>
        <w:tc>
          <w:tcPr>
            <w:tcW w:w="236" w:type="dxa"/>
            <w:tcBorders>
              <w:top w:val="single" w:sz="8" w:space="0" w:color="000000"/>
              <w:left w:val="nil"/>
              <w:bottom w:val="single" w:sz="8" w:space="0" w:color="000000"/>
              <w:right w:val="nil"/>
            </w:tcBorders>
          </w:tcPr>
          <w:p w14:paraId="56D13C85" w14:textId="77777777" w:rsidR="00E50B37" w:rsidRDefault="00645276">
            <w:pPr>
              <w:widowControl w:val="0"/>
            </w:pPr>
            <w:r>
              <w:rPr>
                <w:rFonts w:eastAsia="Verdana" w:cs="Verdana"/>
                <w:sz w:val="18"/>
                <w:szCs w:val="18"/>
                <w:lang w:val="lv"/>
              </w:rPr>
              <w:t xml:space="preserve"> </w:t>
            </w:r>
          </w:p>
        </w:tc>
      </w:tr>
      <w:tr w:rsidR="00E50B37" w14:paraId="764302D7" w14:textId="77777777">
        <w:trPr>
          <w:trHeight w:val="20"/>
        </w:trPr>
        <w:tc>
          <w:tcPr>
            <w:tcW w:w="4718" w:type="dxa"/>
            <w:gridSpan w:val="2"/>
            <w:tcBorders>
              <w:top w:val="single" w:sz="8" w:space="0" w:color="000000"/>
              <w:left w:val="nil"/>
              <w:bottom w:val="single" w:sz="8" w:space="0" w:color="000000"/>
              <w:right w:val="nil"/>
            </w:tcBorders>
            <w:vAlign w:val="bottom"/>
          </w:tcPr>
          <w:p w14:paraId="3C1A0A60" w14:textId="77777777" w:rsidR="00E50B37" w:rsidRDefault="00645276">
            <w:pPr>
              <w:widowControl w:val="0"/>
              <w:spacing w:line="240" w:lineRule="auto"/>
              <w:rPr>
                <w:sz w:val="16"/>
              </w:rPr>
            </w:pPr>
            <w:r>
              <w:rPr>
                <w:rFonts w:eastAsia="Verdana" w:cs="Verdana"/>
                <w:sz w:val="16"/>
                <w:szCs w:val="20"/>
                <w:lang w:val="lv"/>
              </w:rPr>
              <w:t>Atbalsts izglītības nozarei</w:t>
            </w:r>
          </w:p>
        </w:tc>
        <w:tc>
          <w:tcPr>
            <w:tcW w:w="1120" w:type="dxa"/>
            <w:gridSpan w:val="2"/>
            <w:tcBorders>
              <w:top w:val="single" w:sz="8" w:space="0" w:color="000000"/>
              <w:left w:val="nil"/>
              <w:bottom w:val="single" w:sz="8" w:space="0" w:color="000000"/>
              <w:right w:val="nil"/>
            </w:tcBorders>
            <w:vAlign w:val="bottom"/>
          </w:tcPr>
          <w:p w14:paraId="4E0CD7F8" w14:textId="77777777" w:rsidR="00E50B37" w:rsidRDefault="00645276">
            <w:pPr>
              <w:widowControl w:val="0"/>
              <w:spacing w:line="240" w:lineRule="auto"/>
              <w:rPr>
                <w:sz w:val="16"/>
              </w:rPr>
            </w:pPr>
            <w:r>
              <w:rPr>
                <w:rFonts w:eastAsia="Verdana" w:cs="Verdana"/>
                <w:sz w:val="16"/>
                <w:szCs w:val="20"/>
                <w:lang w:val="lv"/>
              </w:rPr>
              <w:t>17.1</w:t>
            </w:r>
          </w:p>
        </w:tc>
        <w:tc>
          <w:tcPr>
            <w:tcW w:w="931" w:type="dxa"/>
            <w:tcBorders>
              <w:top w:val="single" w:sz="8" w:space="0" w:color="000000"/>
              <w:left w:val="nil"/>
              <w:bottom w:val="single" w:sz="8" w:space="0" w:color="000000"/>
              <w:right w:val="nil"/>
            </w:tcBorders>
            <w:vAlign w:val="bottom"/>
          </w:tcPr>
          <w:p w14:paraId="5DC62FCA" w14:textId="77777777" w:rsidR="00E50B37" w:rsidRDefault="00645276">
            <w:pPr>
              <w:widowControl w:val="0"/>
              <w:spacing w:line="240" w:lineRule="auto"/>
              <w:rPr>
                <w:sz w:val="16"/>
              </w:rPr>
            </w:pPr>
            <w:r>
              <w:rPr>
                <w:rFonts w:eastAsia="Verdana" w:cs="Verdana"/>
                <w:sz w:val="16"/>
                <w:szCs w:val="20"/>
                <w:lang w:val="lv"/>
              </w:rPr>
              <w:t>41.5</w:t>
            </w:r>
          </w:p>
        </w:tc>
        <w:tc>
          <w:tcPr>
            <w:tcW w:w="1169" w:type="dxa"/>
            <w:tcBorders>
              <w:top w:val="single" w:sz="8" w:space="0" w:color="000000"/>
              <w:left w:val="nil"/>
              <w:bottom w:val="single" w:sz="8" w:space="0" w:color="000000"/>
              <w:right w:val="nil"/>
            </w:tcBorders>
            <w:vAlign w:val="bottom"/>
          </w:tcPr>
          <w:p w14:paraId="17244B67" w14:textId="77777777" w:rsidR="00E50B37" w:rsidRDefault="00645276">
            <w:pPr>
              <w:widowControl w:val="0"/>
              <w:spacing w:line="240" w:lineRule="auto"/>
              <w:rPr>
                <w:sz w:val="16"/>
              </w:rPr>
            </w:pPr>
            <w:r>
              <w:rPr>
                <w:rFonts w:eastAsia="Verdana" w:cs="Verdana"/>
                <w:sz w:val="16"/>
                <w:szCs w:val="20"/>
                <w:lang w:val="lv"/>
              </w:rPr>
              <w:t>25.6</w:t>
            </w:r>
          </w:p>
        </w:tc>
        <w:tc>
          <w:tcPr>
            <w:tcW w:w="1197" w:type="dxa"/>
            <w:tcBorders>
              <w:top w:val="single" w:sz="8" w:space="0" w:color="000000"/>
              <w:left w:val="nil"/>
              <w:bottom w:val="single" w:sz="8" w:space="0" w:color="000000"/>
              <w:right w:val="nil"/>
            </w:tcBorders>
            <w:vAlign w:val="bottom"/>
          </w:tcPr>
          <w:p w14:paraId="666D5AEC" w14:textId="77777777" w:rsidR="00E50B37" w:rsidRDefault="00645276">
            <w:pPr>
              <w:widowControl w:val="0"/>
              <w:spacing w:line="240" w:lineRule="auto"/>
              <w:rPr>
                <w:sz w:val="16"/>
              </w:rPr>
            </w:pPr>
            <w:r>
              <w:rPr>
                <w:rFonts w:eastAsia="Verdana" w:cs="Verdana"/>
                <w:sz w:val="16"/>
                <w:szCs w:val="20"/>
                <w:lang w:val="lv"/>
              </w:rPr>
              <w:t xml:space="preserve"> </w:t>
            </w:r>
          </w:p>
        </w:tc>
        <w:tc>
          <w:tcPr>
            <w:tcW w:w="236" w:type="dxa"/>
            <w:tcBorders>
              <w:top w:val="single" w:sz="8" w:space="0" w:color="000000"/>
              <w:left w:val="nil"/>
              <w:bottom w:val="single" w:sz="8" w:space="0" w:color="000000"/>
              <w:right w:val="nil"/>
            </w:tcBorders>
          </w:tcPr>
          <w:p w14:paraId="0C460BE5" w14:textId="77777777" w:rsidR="00E50B37" w:rsidRDefault="00645276">
            <w:pPr>
              <w:widowControl w:val="0"/>
            </w:pPr>
            <w:r>
              <w:rPr>
                <w:rFonts w:eastAsia="Verdana" w:cs="Verdana"/>
                <w:sz w:val="18"/>
                <w:szCs w:val="18"/>
                <w:lang w:val="lv"/>
              </w:rPr>
              <w:t xml:space="preserve"> </w:t>
            </w:r>
          </w:p>
        </w:tc>
      </w:tr>
      <w:tr w:rsidR="00E50B37" w14:paraId="6AE05D74" w14:textId="77777777">
        <w:trPr>
          <w:trHeight w:val="20"/>
        </w:trPr>
        <w:tc>
          <w:tcPr>
            <w:tcW w:w="4718" w:type="dxa"/>
            <w:gridSpan w:val="2"/>
            <w:tcBorders>
              <w:top w:val="single" w:sz="8" w:space="0" w:color="000000"/>
              <w:left w:val="nil"/>
              <w:bottom w:val="single" w:sz="8" w:space="0" w:color="000000"/>
              <w:right w:val="nil"/>
            </w:tcBorders>
            <w:vAlign w:val="bottom"/>
          </w:tcPr>
          <w:p w14:paraId="03D0EA38" w14:textId="77777777" w:rsidR="00E50B37" w:rsidRDefault="00645276">
            <w:pPr>
              <w:widowControl w:val="0"/>
              <w:spacing w:line="240" w:lineRule="auto"/>
              <w:rPr>
                <w:sz w:val="16"/>
              </w:rPr>
            </w:pPr>
            <w:r>
              <w:rPr>
                <w:rFonts w:eastAsia="Verdana" w:cs="Verdana"/>
                <w:sz w:val="16"/>
                <w:szCs w:val="20"/>
                <w:lang w:val="lv"/>
              </w:rPr>
              <w:t>Pārējie, ieskaitot privātos un sabiedriskos medijus</w:t>
            </w:r>
          </w:p>
        </w:tc>
        <w:tc>
          <w:tcPr>
            <w:tcW w:w="1120" w:type="dxa"/>
            <w:gridSpan w:val="2"/>
            <w:tcBorders>
              <w:top w:val="single" w:sz="8" w:space="0" w:color="000000"/>
              <w:left w:val="nil"/>
              <w:bottom w:val="single" w:sz="8" w:space="0" w:color="000000"/>
              <w:right w:val="nil"/>
            </w:tcBorders>
            <w:vAlign w:val="bottom"/>
          </w:tcPr>
          <w:p w14:paraId="00B6206B" w14:textId="77777777" w:rsidR="00E50B37" w:rsidRDefault="00645276">
            <w:pPr>
              <w:widowControl w:val="0"/>
              <w:spacing w:line="240" w:lineRule="auto"/>
              <w:rPr>
                <w:sz w:val="16"/>
              </w:rPr>
            </w:pPr>
            <w:r>
              <w:rPr>
                <w:rFonts w:eastAsia="Verdana" w:cs="Verdana"/>
                <w:sz w:val="16"/>
                <w:szCs w:val="20"/>
                <w:lang w:val="lv"/>
              </w:rPr>
              <w:t>7.4</w:t>
            </w:r>
          </w:p>
        </w:tc>
        <w:tc>
          <w:tcPr>
            <w:tcW w:w="931" w:type="dxa"/>
            <w:tcBorders>
              <w:top w:val="single" w:sz="8" w:space="0" w:color="000000"/>
              <w:left w:val="nil"/>
              <w:bottom w:val="single" w:sz="8" w:space="0" w:color="000000"/>
              <w:right w:val="nil"/>
            </w:tcBorders>
            <w:vAlign w:val="bottom"/>
          </w:tcPr>
          <w:p w14:paraId="66065394" w14:textId="77777777" w:rsidR="00E50B37" w:rsidRDefault="00645276">
            <w:pPr>
              <w:widowControl w:val="0"/>
              <w:spacing w:line="240" w:lineRule="auto"/>
              <w:rPr>
                <w:sz w:val="16"/>
              </w:rPr>
            </w:pPr>
            <w:r>
              <w:rPr>
                <w:rFonts w:eastAsia="Verdana" w:cs="Verdana"/>
                <w:sz w:val="16"/>
                <w:szCs w:val="20"/>
                <w:lang w:val="lv"/>
              </w:rPr>
              <w:t>105.7</w:t>
            </w:r>
          </w:p>
        </w:tc>
        <w:tc>
          <w:tcPr>
            <w:tcW w:w="1169" w:type="dxa"/>
            <w:tcBorders>
              <w:top w:val="single" w:sz="8" w:space="0" w:color="000000"/>
              <w:left w:val="nil"/>
              <w:bottom w:val="single" w:sz="8" w:space="0" w:color="000000"/>
              <w:right w:val="nil"/>
            </w:tcBorders>
            <w:vAlign w:val="bottom"/>
          </w:tcPr>
          <w:p w14:paraId="1BC14324" w14:textId="77777777" w:rsidR="00E50B37" w:rsidRDefault="00645276">
            <w:pPr>
              <w:widowControl w:val="0"/>
              <w:spacing w:line="240" w:lineRule="auto"/>
              <w:rPr>
                <w:sz w:val="16"/>
              </w:rPr>
            </w:pPr>
            <w:r>
              <w:rPr>
                <w:rFonts w:eastAsia="Verdana" w:cs="Verdana"/>
                <w:sz w:val="16"/>
                <w:szCs w:val="20"/>
                <w:lang w:val="lv"/>
              </w:rPr>
              <w:t>62.7</w:t>
            </w:r>
          </w:p>
        </w:tc>
        <w:tc>
          <w:tcPr>
            <w:tcW w:w="1197" w:type="dxa"/>
            <w:tcBorders>
              <w:top w:val="single" w:sz="8" w:space="0" w:color="000000"/>
              <w:left w:val="nil"/>
              <w:bottom w:val="single" w:sz="8" w:space="0" w:color="000000"/>
              <w:right w:val="nil"/>
            </w:tcBorders>
            <w:vAlign w:val="bottom"/>
          </w:tcPr>
          <w:p w14:paraId="60396A02" w14:textId="77777777" w:rsidR="00E50B37" w:rsidRDefault="00645276">
            <w:pPr>
              <w:widowControl w:val="0"/>
              <w:spacing w:line="240" w:lineRule="auto"/>
              <w:rPr>
                <w:sz w:val="16"/>
              </w:rPr>
            </w:pPr>
            <w:r>
              <w:rPr>
                <w:rFonts w:eastAsia="Verdana" w:cs="Verdana"/>
                <w:sz w:val="16"/>
                <w:szCs w:val="20"/>
                <w:lang w:val="lv"/>
              </w:rPr>
              <w:t>92.8</w:t>
            </w:r>
          </w:p>
        </w:tc>
        <w:tc>
          <w:tcPr>
            <w:tcW w:w="236" w:type="dxa"/>
            <w:tcBorders>
              <w:top w:val="single" w:sz="8" w:space="0" w:color="000000"/>
              <w:left w:val="nil"/>
              <w:bottom w:val="single" w:sz="8" w:space="0" w:color="000000"/>
              <w:right w:val="nil"/>
            </w:tcBorders>
          </w:tcPr>
          <w:p w14:paraId="15A4B5D5" w14:textId="77777777" w:rsidR="00E50B37" w:rsidRDefault="00645276">
            <w:pPr>
              <w:widowControl w:val="0"/>
            </w:pPr>
            <w:r>
              <w:rPr>
                <w:rFonts w:eastAsia="Verdana" w:cs="Verdana"/>
                <w:sz w:val="18"/>
                <w:szCs w:val="18"/>
                <w:lang w:val="lv"/>
              </w:rPr>
              <w:t xml:space="preserve"> </w:t>
            </w:r>
          </w:p>
        </w:tc>
      </w:tr>
      <w:tr w:rsidR="00E50B37" w14:paraId="0B4387A6" w14:textId="77777777">
        <w:trPr>
          <w:trHeight w:val="20"/>
        </w:trPr>
        <w:tc>
          <w:tcPr>
            <w:tcW w:w="4718" w:type="dxa"/>
            <w:gridSpan w:val="2"/>
            <w:tcBorders>
              <w:top w:val="single" w:sz="8" w:space="0" w:color="000000"/>
              <w:left w:val="nil"/>
              <w:bottom w:val="single" w:sz="18" w:space="0" w:color="9D2234"/>
              <w:right w:val="nil"/>
            </w:tcBorders>
            <w:vAlign w:val="bottom"/>
          </w:tcPr>
          <w:p w14:paraId="3C6E2A5F" w14:textId="77777777" w:rsidR="00E50B37" w:rsidRDefault="00645276">
            <w:pPr>
              <w:widowControl w:val="0"/>
              <w:spacing w:line="240" w:lineRule="auto"/>
              <w:rPr>
                <w:sz w:val="16"/>
              </w:rPr>
            </w:pPr>
            <w:r>
              <w:rPr>
                <w:rFonts w:eastAsia="Verdana" w:cs="Verdana"/>
                <w:b/>
                <w:bCs/>
                <w:sz w:val="16"/>
                <w:szCs w:val="20"/>
                <w:lang w:val="lv"/>
              </w:rPr>
              <w:t>Kopā</w:t>
            </w:r>
          </w:p>
        </w:tc>
        <w:tc>
          <w:tcPr>
            <w:tcW w:w="1120" w:type="dxa"/>
            <w:gridSpan w:val="2"/>
            <w:tcBorders>
              <w:top w:val="single" w:sz="8" w:space="0" w:color="000000"/>
              <w:left w:val="nil"/>
              <w:bottom w:val="single" w:sz="18" w:space="0" w:color="9D2234"/>
              <w:right w:val="nil"/>
            </w:tcBorders>
            <w:vAlign w:val="bottom"/>
          </w:tcPr>
          <w:p w14:paraId="695C4278" w14:textId="77777777" w:rsidR="00E50B37" w:rsidRDefault="00645276">
            <w:pPr>
              <w:widowControl w:val="0"/>
              <w:spacing w:line="240" w:lineRule="auto"/>
              <w:rPr>
                <w:sz w:val="16"/>
              </w:rPr>
            </w:pPr>
            <w:r>
              <w:rPr>
                <w:rFonts w:eastAsia="Verdana" w:cs="Verdana"/>
                <w:b/>
                <w:bCs/>
                <w:sz w:val="16"/>
                <w:szCs w:val="20"/>
                <w:lang w:val="lv"/>
              </w:rPr>
              <w:t>958.8</w:t>
            </w:r>
          </w:p>
        </w:tc>
        <w:tc>
          <w:tcPr>
            <w:tcW w:w="931" w:type="dxa"/>
            <w:tcBorders>
              <w:top w:val="single" w:sz="8" w:space="0" w:color="000000"/>
              <w:left w:val="nil"/>
              <w:bottom w:val="single" w:sz="18" w:space="0" w:color="9D2234"/>
              <w:right w:val="nil"/>
            </w:tcBorders>
            <w:vAlign w:val="bottom"/>
          </w:tcPr>
          <w:p w14:paraId="136EEC22" w14:textId="77777777" w:rsidR="00E50B37" w:rsidRDefault="00645276">
            <w:pPr>
              <w:widowControl w:val="0"/>
              <w:spacing w:line="240" w:lineRule="auto"/>
              <w:rPr>
                <w:sz w:val="16"/>
              </w:rPr>
            </w:pPr>
            <w:r>
              <w:rPr>
                <w:rFonts w:eastAsia="Verdana" w:cs="Verdana"/>
                <w:b/>
                <w:bCs/>
                <w:sz w:val="16"/>
                <w:szCs w:val="20"/>
                <w:lang w:val="lv"/>
              </w:rPr>
              <w:t>2166.6</w:t>
            </w:r>
          </w:p>
        </w:tc>
        <w:tc>
          <w:tcPr>
            <w:tcW w:w="1169" w:type="dxa"/>
            <w:tcBorders>
              <w:top w:val="single" w:sz="8" w:space="0" w:color="000000"/>
              <w:left w:val="nil"/>
              <w:bottom w:val="single" w:sz="18" w:space="0" w:color="9D2234"/>
              <w:right w:val="nil"/>
            </w:tcBorders>
            <w:vAlign w:val="bottom"/>
          </w:tcPr>
          <w:p w14:paraId="21659577" w14:textId="77777777" w:rsidR="00E50B37" w:rsidRDefault="00645276">
            <w:pPr>
              <w:widowControl w:val="0"/>
              <w:spacing w:line="240" w:lineRule="auto"/>
              <w:rPr>
                <w:sz w:val="16"/>
              </w:rPr>
            </w:pPr>
            <w:r>
              <w:rPr>
                <w:rFonts w:eastAsia="Verdana" w:cs="Verdana"/>
                <w:b/>
                <w:bCs/>
                <w:sz w:val="16"/>
                <w:szCs w:val="20"/>
                <w:lang w:val="lv"/>
              </w:rPr>
              <w:t>1715.9</w:t>
            </w:r>
          </w:p>
        </w:tc>
        <w:tc>
          <w:tcPr>
            <w:tcW w:w="1197" w:type="dxa"/>
            <w:tcBorders>
              <w:top w:val="single" w:sz="8" w:space="0" w:color="000000"/>
              <w:left w:val="nil"/>
              <w:bottom w:val="single" w:sz="18" w:space="0" w:color="9D2234"/>
              <w:right w:val="nil"/>
            </w:tcBorders>
            <w:vAlign w:val="bottom"/>
          </w:tcPr>
          <w:p w14:paraId="5123CA26" w14:textId="77777777" w:rsidR="00E50B37" w:rsidRDefault="00645276">
            <w:pPr>
              <w:widowControl w:val="0"/>
              <w:spacing w:line="240" w:lineRule="auto"/>
              <w:rPr>
                <w:sz w:val="16"/>
              </w:rPr>
            </w:pPr>
            <w:r>
              <w:rPr>
                <w:rFonts w:eastAsia="Verdana" w:cs="Verdana"/>
                <w:b/>
                <w:bCs/>
                <w:sz w:val="16"/>
                <w:szCs w:val="20"/>
                <w:lang w:val="lv"/>
              </w:rPr>
              <w:t>255.2</w:t>
            </w:r>
          </w:p>
        </w:tc>
        <w:tc>
          <w:tcPr>
            <w:tcW w:w="236" w:type="dxa"/>
            <w:tcBorders>
              <w:top w:val="single" w:sz="8" w:space="0" w:color="000000"/>
              <w:left w:val="nil"/>
              <w:bottom w:val="single" w:sz="18" w:space="0" w:color="9D2234"/>
              <w:right w:val="nil"/>
            </w:tcBorders>
          </w:tcPr>
          <w:p w14:paraId="650EFE6D" w14:textId="77777777" w:rsidR="00E50B37" w:rsidRDefault="00645276">
            <w:pPr>
              <w:widowControl w:val="0"/>
            </w:pPr>
            <w:r>
              <w:rPr>
                <w:rFonts w:eastAsia="Verdana" w:cs="Verdana"/>
                <w:sz w:val="18"/>
                <w:szCs w:val="18"/>
                <w:lang w:val="lv"/>
              </w:rPr>
              <w:t xml:space="preserve"> </w:t>
            </w:r>
          </w:p>
        </w:tc>
      </w:tr>
      <w:tr w:rsidR="00E50B37" w14:paraId="712A3E00" w14:textId="77777777">
        <w:trPr>
          <w:trHeight w:val="20"/>
        </w:trPr>
        <w:tc>
          <w:tcPr>
            <w:tcW w:w="4718" w:type="dxa"/>
            <w:gridSpan w:val="2"/>
            <w:tcBorders>
              <w:top w:val="single" w:sz="18" w:space="0" w:color="9D2234"/>
              <w:left w:val="nil"/>
              <w:bottom w:val="single" w:sz="8" w:space="0" w:color="9D2234"/>
              <w:right w:val="nil"/>
            </w:tcBorders>
            <w:vAlign w:val="bottom"/>
          </w:tcPr>
          <w:p w14:paraId="38B79BEF" w14:textId="77777777" w:rsidR="00E50B37" w:rsidRDefault="00645276">
            <w:pPr>
              <w:widowControl w:val="0"/>
              <w:spacing w:line="240" w:lineRule="auto"/>
              <w:rPr>
                <w:sz w:val="16"/>
              </w:rPr>
            </w:pPr>
            <w:r>
              <w:rPr>
                <w:rFonts w:eastAsia="Verdana" w:cs="Verdana"/>
                <w:b/>
                <w:bCs/>
                <w:sz w:val="16"/>
                <w:szCs w:val="20"/>
                <w:lang w:val="lv"/>
              </w:rPr>
              <w:t>No IKP</w:t>
            </w:r>
          </w:p>
        </w:tc>
        <w:tc>
          <w:tcPr>
            <w:tcW w:w="1120" w:type="dxa"/>
            <w:gridSpan w:val="2"/>
            <w:tcBorders>
              <w:top w:val="single" w:sz="18" w:space="0" w:color="9D2234"/>
              <w:left w:val="nil"/>
              <w:bottom w:val="single" w:sz="8" w:space="0" w:color="9D2234"/>
              <w:right w:val="nil"/>
            </w:tcBorders>
            <w:vAlign w:val="bottom"/>
          </w:tcPr>
          <w:p w14:paraId="76E5F53D" w14:textId="77777777" w:rsidR="00E50B37" w:rsidRDefault="00645276">
            <w:pPr>
              <w:widowControl w:val="0"/>
              <w:spacing w:line="240" w:lineRule="auto"/>
              <w:rPr>
                <w:sz w:val="16"/>
              </w:rPr>
            </w:pPr>
            <w:r>
              <w:rPr>
                <w:rFonts w:eastAsia="Verdana" w:cs="Verdana"/>
                <w:b/>
                <w:bCs/>
                <w:sz w:val="16"/>
                <w:szCs w:val="20"/>
                <w:lang w:val="lv"/>
              </w:rPr>
              <w:t>3.27%</w:t>
            </w:r>
          </w:p>
        </w:tc>
        <w:tc>
          <w:tcPr>
            <w:tcW w:w="931" w:type="dxa"/>
            <w:tcBorders>
              <w:top w:val="single" w:sz="18" w:space="0" w:color="9D2234"/>
              <w:left w:val="nil"/>
              <w:bottom w:val="single" w:sz="8" w:space="0" w:color="9D2234"/>
              <w:right w:val="nil"/>
            </w:tcBorders>
            <w:vAlign w:val="bottom"/>
          </w:tcPr>
          <w:p w14:paraId="6EFE280F" w14:textId="77777777" w:rsidR="00E50B37" w:rsidRDefault="00645276">
            <w:pPr>
              <w:widowControl w:val="0"/>
              <w:spacing w:line="240" w:lineRule="auto"/>
              <w:rPr>
                <w:sz w:val="16"/>
              </w:rPr>
            </w:pPr>
            <w:r>
              <w:rPr>
                <w:rFonts w:eastAsia="Verdana" w:cs="Verdana"/>
                <w:b/>
                <w:bCs/>
                <w:sz w:val="16"/>
                <w:szCs w:val="20"/>
                <w:lang w:val="lv"/>
              </w:rPr>
              <w:t>6.91%</w:t>
            </w:r>
          </w:p>
        </w:tc>
        <w:tc>
          <w:tcPr>
            <w:tcW w:w="1169" w:type="dxa"/>
            <w:tcBorders>
              <w:top w:val="single" w:sz="18" w:space="0" w:color="9D2234"/>
              <w:left w:val="nil"/>
              <w:bottom w:val="single" w:sz="8" w:space="0" w:color="9D2234"/>
              <w:right w:val="nil"/>
            </w:tcBorders>
            <w:vAlign w:val="bottom"/>
          </w:tcPr>
          <w:p w14:paraId="2753ADE1" w14:textId="77777777" w:rsidR="00E50B37" w:rsidRDefault="00645276">
            <w:pPr>
              <w:widowControl w:val="0"/>
              <w:spacing w:line="240" w:lineRule="auto"/>
              <w:rPr>
                <w:sz w:val="16"/>
              </w:rPr>
            </w:pPr>
            <w:r>
              <w:rPr>
                <w:rFonts w:eastAsia="Verdana" w:cs="Verdana"/>
                <w:b/>
                <w:bCs/>
                <w:sz w:val="16"/>
                <w:szCs w:val="20"/>
                <w:lang w:val="lv"/>
              </w:rPr>
              <w:t>5.47%</w:t>
            </w:r>
          </w:p>
        </w:tc>
        <w:tc>
          <w:tcPr>
            <w:tcW w:w="1197" w:type="dxa"/>
            <w:tcBorders>
              <w:top w:val="single" w:sz="18" w:space="0" w:color="9D2234"/>
              <w:left w:val="nil"/>
              <w:bottom w:val="single" w:sz="8" w:space="0" w:color="9D2234"/>
              <w:right w:val="nil"/>
            </w:tcBorders>
            <w:vAlign w:val="bottom"/>
          </w:tcPr>
          <w:p w14:paraId="50424FE7" w14:textId="77777777" w:rsidR="00E50B37" w:rsidRDefault="00645276">
            <w:pPr>
              <w:widowControl w:val="0"/>
              <w:spacing w:line="240" w:lineRule="auto"/>
              <w:rPr>
                <w:sz w:val="16"/>
              </w:rPr>
            </w:pPr>
            <w:r>
              <w:rPr>
                <w:rFonts w:eastAsia="Verdana" w:cs="Verdana"/>
                <w:b/>
                <w:bCs/>
                <w:sz w:val="16"/>
                <w:szCs w:val="20"/>
                <w:lang w:val="lv"/>
              </w:rPr>
              <w:t xml:space="preserve"> 0,75%</w:t>
            </w:r>
          </w:p>
        </w:tc>
        <w:tc>
          <w:tcPr>
            <w:tcW w:w="236" w:type="dxa"/>
            <w:tcBorders>
              <w:top w:val="single" w:sz="18" w:space="0" w:color="9D2234"/>
              <w:left w:val="nil"/>
              <w:bottom w:val="single" w:sz="8" w:space="0" w:color="9D2234"/>
              <w:right w:val="nil"/>
            </w:tcBorders>
          </w:tcPr>
          <w:p w14:paraId="1B002F7B" w14:textId="77777777" w:rsidR="00E50B37" w:rsidRDefault="00E50B37">
            <w:pPr>
              <w:widowControl w:val="0"/>
              <w:rPr>
                <w:rFonts w:eastAsia="Verdana" w:cs="Verdana"/>
                <w:b/>
                <w:bCs/>
                <w:sz w:val="18"/>
                <w:szCs w:val="18"/>
                <w:lang w:val="lv"/>
              </w:rPr>
            </w:pPr>
          </w:p>
        </w:tc>
      </w:tr>
    </w:tbl>
    <w:p w14:paraId="7C99684D" w14:textId="77777777" w:rsidR="00E50B37" w:rsidRDefault="00645276">
      <w:r>
        <w:rPr>
          <w:rFonts w:eastAsia="Verdana" w:cs="Verdana"/>
          <w:b/>
          <w:bCs/>
          <w:color w:val="993333"/>
          <w:sz w:val="16"/>
          <w:szCs w:val="16"/>
          <w:lang w:val="lv"/>
        </w:rPr>
        <w:t>Avots: Finanšu ministrijas dati un FDP aprēķini</w:t>
      </w:r>
    </w:p>
    <w:p w14:paraId="24435E2A" w14:textId="77777777" w:rsidR="00E50B37" w:rsidRDefault="00645276">
      <w:pPr>
        <w:pStyle w:val="FDPList1"/>
        <w:rPr>
          <w:rFonts w:asciiTheme="minorHAnsi" w:eastAsiaTheme="minorEastAsia" w:hAnsiTheme="minorHAnsi"/>
          <w:szCs w:val="20"/>
        </w:rPr>
      </w:pPr>
      <w:r>
        <w:rPr>
          <w:b/>
          <w:bCs/>
        </w:rPr>
        <w:t xml:space="preserve">Viens no atbalsta instrumentu veidiem Covid-19 krīzes laikā bija dažādi pabalsti iedzīvotājiem, tajā skaitā dīkstāves pabalsts, kas sākotnēji tika plānots kā visaptverošākais atbalsta pasākums. Pirmajos posmos ietekmes potenciāls nesasniedza gaidīto ietekmi pabalsta saņēmēju kritēriju dēļ. Ar laiku valdība paplašināja saņemšanas kritērijus, piedāvāja citus pabalstus, piemēram, bezdarbniekiem, ģimenēm ar bērniem un cilvēkiem ar invaliditāti, kā arī mēģināja uzlabot pabalstu mērķējumu. </w:t>
      </w:r>
      <w:r>
        <w:t>Rezultātā, 2020. gadā no plānotiem 170 miljoniem eiro dīkstāves pabalstu tika izsniegti tikai 64 miljoni eiro, bet 2021. gadā izsniegtais apjoms bija jau divreiz lielāks. Arī gandrīz viss citu pabalstu apjoms attiecās tieši uz 2021. gadu, kad Covid-19 saslimstība bija maksimālajā punktā - to apjoms sasniedza 345,5 miljonus eiro 2021. gadā. Pēc FDP viedokļa, lai arī atbalsts tika sniegts pietiekamos apjomos, mehānisms tika iedarbināts nedaudz pa vēlu. Turklāt, dažiem lēmumiem par pabalstiem bija arī politiskais raksturs, kā rezultātā tie nebija pietiekami mērķēti. Kopš 15. jūnija pabalstu programma pārtrauca savu darbību.</w:t>
      </w:r>
    </w:p>
    <w:p w14:paraId="47804567" w14:textId="77777777" w:rsidR="00E50B37" w:rsidRDefault="00645276">
      <w:pPr>
        <w:pStyle w:val="FDPList1"/>
        <w:rPr>
          <w:szCs w:val="20"/>
        </w:rPr>
      </w:pPr>
      <w:r>
        <w:rPr>
          <w:b/>
          <w:bCs/>
        </w:rPr>
        <w:t>Valsts finanšu attīstības institūcija ALTUM ir galvenā institūcija, kas sniedz palīdzību uzņēmējiem ar dažādiem Covid-19 instrumentiem</w:t>
      </w:r>
      <w:r>
        <w:t xml:space="preserve"> – aizdevumiem, garantijām, kapitāla ieguldījumiem. Sākotnēji bija plānots, ka lielākā atbalsta daļa tiks izsniegta garantiju formā, tomēr, pēc diskusijas ar uzņēmējiem valdība nolēma piedāvāt arī citus atbalsta mehānismus, tajā skaitā grantus apgrozāmiem līdzekļiem, kuru plānotais apjoms 2021. gadā pārsniedza 500 miljonus eiro. Jau minētās garantijas tika izmantotas mazāk, piemēram, tiek plānots, ka kopējais kredītu garantiju apjoms 2020. un 2021. gadā  būs tikai 340 miljoni. Lai segtu izsniegto garantiju potenciālos zaudējumus, valdība ALTUM ir palielinājusi pamatkapitālu. Daļa no šis grupas atbalsta mehānismiem ir joprojām pieejama līdz 2021. gada beigām.</w:t>
      </w:r>
    </w:p>
    <w:p w14:paraId="1EF35996" w14:textId="77777777" w:rsidR="00E50B37" w:rsidRDefault="00645276">
      <w:pPr>
        <w:pStyle w:val="FDPList1"/>
        <w:rPr>
          <w:szCs w:val="20"/>
        </w:rPr>
      </w:pPr>
      <w:r>
        <w:rPr>
          <w:b/>
          <w:bCs/>
          <w:lang w:val="lv"/>
        </w:rPr>
        <w:t xml:space="preserve">Ievērojamu valsts atbalstu krīzes ietvaros ir saņēmis Airbaltic, kam 2021. gadā visticamāk, pēc EK atļaujas saņemšanas, tiks piešķirti papildus </w:t>
      </w:r>
      <w:r>
        <w:rPr>
          <w:b/>
          <w:bCs/>
        </w:rPr>
        <w:t xml:space="preserve"> 90 miljoni eiro.</w:t>
      </w:r>
      <w:r>
        <w:t xml:space="preserve"> Nacionālā aviokompānija ir izvēlējusies krīzi izmantot kā iespēju palielināt savu tirgus daļu un palielināt konkurētspēju. Padomes rīcībā nav informācijas, lai novērtētu šādas stratēģijas priekšrocības un riskus. Kopumā aviopārvadājumu nozare saņēma </w:t>
      </w:r>
      <w:r>
        <w:lastRenderedPageBreak/>
        <w:t xml:space="preserve">ievērojamu daļu no valsts atbalsta 2020. un 2021. gadā – atbalsta apjoms sasniedza 387,6 miljonus eiro, kas ir vairāk kā 12% no kopējās atbalsta summas. </w:t>
      </w:r>
    </w:p>
    <w:p w14:paraId="78C088CF" w14:textId="77777777" w:rsidR="00E50B37" w:rsidRDefault="00645276">
      <w:pPr>
        <w:pStyle w:val="FDPList1"/>
        <w:spacing w:after="0"/>
        <w:rPr>
          <w:rFonts w:asciiTheme="minorHAnsi" w:eastAsiaTheme="minorEastAsia" w:hAnsiTheme="minorHAnsi"/>
          <w:szCs w:val="20"/>
        </w:rPr>
      </w:pPr>
      <w:r>
        <w:rPr>
          <w:szCs w:val="20"/>
        </w:rPr>
        <w:t>2022. gada budžetā arī ir iestrādāti izdevumi atbalsta pasākumiem. Jau minētās EK rekomendācijas paredz, ka nepieciešamības gadījumā valdība var pieņemt jaunus vienreizējos Covid-19 atbalsta mehānismus. 5. oktobrī tiek novērtēts, ka kopējā  atbalsta ietekme uz VVBB 2022. gadā sasniegs 255,2 miljonus eiro, jeb 0,75% no IKP. Valdība turpinās atbalstīt veselības aprūpes nozari un pašvaldību investīcijas. Tiek arī plānots, ka uzņēmumi, kas iepriekš saņēma nodokļu brīvdienas, atmaksās tos 2022. gadā.</w:t>
      </w:r>
    </w:p>
    <w:p w14:paraId="0D4D6BAE" w14:textId="77777777" w:rsidR="00E50B37" w:rsidRDefault="00645276">
      <w:pPr>
        <w:pStyle w:val="FDPList1"/>
      </w:pPr>
      <w:r>
        <w:rPr>
          <w:b/>
          <w:bCs/>
        </w:rPr>
        <w:t>Vērtējot valdības rīcību atbalsta pasākumu kontekstā, Padome uzskata, ka kopumā atbalsta pasākumu programma 2020.gadā bija samērīga un efektīva.</w:t>
      </w:r>
      <w:r>
        <w:t xml:space="preserve"> Lai arī 2020. gadā atbalsta apjoms bija viens no mazākajiem ES, Covid-19 situācija Latvijā bija labāka nekā citās ES valstīs un pats atbalsts bija sniegts salīdzinoši mērķēti un efektīvi.</w:t>
      </w:r>
      <w:r>
        <w:rPr>
          <w:b/>
          <w:bCs/>
        </w:rPr>
        <w:t xml:space="preserve"> Valdības rīcība Covid-19 otrā viļņa laikā bija nedaudz novēlota un sākotnēji atbalsta apjoms bija salīdzinoši mazs.</w:t>
      </w:r>
      <w:r>
        <w:t xml:space="preserve"> Tomēr konsultējoties ar nozaru uzņēmumiem, atbalsta programmas tika uzlabotas un pieauga to apjoms. </w:t>
      </w:r>
      <w:r>
        <w:rPr>
          <w:b/>
          <w:bCs/>
        </w:rPr>
        <w:t>Tad valdība no pārāk pieticīga atbalsta apjoma iekrita otrā galējībā, pārmērīgi palielinot atbalsta apjomu. Daži lēmumi bija ne īpaši labi mērķēti un tika pieņemti vairāk politisko nekā ekonomisko iemeslu dēļ.</w:t>
      </w:r>
      <w:r>
        <w:t xml:space="preserve"> Tomēr Padome augsti novērtē valdības dialogu ar uzņēmējiem un iedzīvotājiem krīzes laikā, kā arī to faktu, ka lielākā atbalsta mehānismu daļa pārtrauca savu darbību 2021. gada jūnijā. Gadījumā, ja būs nepieciešamība pieņemt jaunus atbalsta pasākumus, Padome aicina valdību rīkoties fiskāli atbildīgi un sniegt atbalstu efektīvi un mērķēti.</w:t>
      </w:r>
    </w:p>
    <w:p w14:paraId="6E28BD10" w14:textId="77777777" w:rsidR="00E50B37" w:rsidRDefault="00645276">
      <w:pPr>
        <w:pStyle w:val="FDPList1"/>
      </w:pPr>
      <w:r>
        <w:rPr>
          <w:b/>
          <w:bCs/>
        </w:rPr>
        <w:t>2021. gada 10. septembrī VID nopublicēja analīzi</w:t>
      </w:r>
      <w:r>
        <w:rPr>
          <w:rStyle w:val="FootnoteAnchor"/>
          <w:b/>
          <w:bCs/>
        </w:rPr>
        <w:footnoteReference w:id="19"/>
      </w:r>
      <w:r>
        <w:rPr>
          <w:b/>
          <w:bCs/>
        </w:rPr>
        <w:t xml:space="preserve"> par atbalsta pasākumiem laika posmā no 1.12.2020 līdz 31.08.2021, kur ir parādīta pasākumu aprakstošā statistika.</w:t>
      </w:r>
      <w:r>
        <w:t xml:space="preserve"> Kopumā, dīkstāves pabalstus saņēma 77 tūkst. fizisko personu, bet subsīdijas, šajā laika posmā, 30 tūkst. fizisko personu. Visvairāk atbalsts tika sniegts tirdzniecības nozares darbiniekiem (24,8%), izmitināšanas un ēdināšanas darbiniekiem (10,0%), kā arī frizieriem un skaistumkopšanas nozares darbiniekiem (8,7%). Runājot par grantiem apgrozāmajiem līdzekļiem, visvairāk grantu tika piešķirts tirdzniecības nozarei (25,3%), uzņēmumiem, kuru darbība ir saistīta ar būvniecību (11%), kā arī apstrādes rūpniecības uzņēmumiem (10,9%).</w:t>
      </w:r>
      <w:r>
        <w:rPr>
          <w:rFonts w:eastAsia="Verdana" w:cs="Verdana"/>
        </w:rPr>
        <w:t xml:space="preserve"> Ņemot vērā, ka būvniecība ir viena no nozarēm ar ievērojamu ēnu ekonomikas īpatsvaru, valdībai ir</w:t>
      </w:r>
      <w:r>
        <w:t xml:space="preserve"> jāpievērš uzmanība, lai nauda ir efektīvi un mērķēti piešķirta tiem uzņēmumiem, kas nav saistīti ar ēnu ekonomiku. Turklāt cenu indekss būvniecībā pieauga pēdējos mēnešos, tāpēc vēl lielāks atbalsts var izraisīt nozares pārkaršanu.</w:t>
      </w:r>
    </w:p>
    <w:p w14:paraId="2BE9FA43" w14:textId="77777777" w:rsidR="00E50B37" w:rsidRDefault="00645276">
      <w:pPr>
        <w:pStyle w:val="FDPList1"/>
        <w:rPr>
          <w:rFonts w:asciiTheme="minorHAnsi" w:eastAsiaTheme="minorEastAsia" w:hAnsiTheme="minorHAnsi"/>
          <w:szCs w:val="20"/>
        </w:rPr>
      </w:pPr>
      <w:r>
        <w:t xml:space="preserve">Lai nodrošinātu atbalsta pasākumu finansēšanu, Valsts kase ir veikusi aizņemšanos finanšu tirgos, kā arī nodrošinājusi aizņemšanās iespējas no starptautiskām finanšu institūcijām. Aizņēmumi veikti ar Latvijai izdevīgiem nosacījumiem, kas vēlreiz liecina par finanšu tirgus ticību Latvijas valsts fiskālai politikai un monetārās politikas efektivitātei. Pēdējo reizi vērtspapīru izsole notika 25. augustā, kur vērtspapīru vidējā </w:t>
      </w:r>
      <w:r>
        <w:lastRenderedPageBreak/>
        <w:t>svērtā peļņas likme bija -0,179%</w:t>
      </w:r>
      <w:r>
        <w:rPr>
          <w:rStyle w:val="FootnoteAnchor"/>
        </w:rPr>
        <w:footnoteReference w:id="20"/>
      </w:r>
      <w:r>
        <w:t>. “Fitch” reitinga aģentūra š.g.  3. septembrī atjaunoja Latvijas reitingu</w:t>
      </w:r>
      <w:r>
        <w:rPr>
          <w:rStyle w:val="FootnoteAnchor"/>
        </w:rPr>
        <w:footnoteReference w:id="21"/>
      </w:r>
      <w:r>
        <w:t xml:space="preserve"> “A-“ līmenī ar stabilu kredītreitinga nākotnes novērtējumu. </w:t>
      </w:r>
    </w:p>
    <w:p w14:paraId="4A32A219" w14:textId="77777777" w:rsidR="00E50B37" w:rsidRDefault="00645276">
      <w:pPr>
        <w:spacing w:after="0" w:line="240" w:lineRule="auto"/>
        <w:jc w:val="left"/>
      </w:pPr>
      <w:r>
        <w:br w:type="page"/>
      </w:r>
    </w:p>
    <w:p w14:paraId="1381770C" w14:textId="77777777" w:rsidR="00E50B37" w:rsidRDefault="00645276">
      <w:pPr>
        <w:pStyle w:val="Virsraksts1"/>
      </w:pPr>
      <w:bookmarkStart w:id="19" w:name="_Toc53398601"/>
      <w:bookmarkStart w:id="20" w:name="_Toc84839732"/>
      <w:r>
        <w:lastRenderedPageBreak/>
        <w:t>2. Fiskālie riski</w:t>
      </w:r>
      <w:bookmarkEnd w:id="19"/>
      <w:bookmarkEnd w:id="20"/>
    </w:p>
    <w:p w14:paraId="68C0B24B" w14:textId="77777777" w:rsidR="00E50B37" w:rsidRDefault="00645276">
      <w:pPr>
        <w:pStyle w:val="FDPList1"/>
        <w:spacing w:after="120"/>
      </w:pPr>
      <w:r>
        <w:rPr>
          <w:b/>
          <w:bCs/>
        </w:rPr>
        <w:t>Lai arī Covid-19 krīzes izraisītā makroekonomiskā nestabilitāte šobrīd paliek par galveno fiskālo risku avotu, joprojām eksistē citi riski, kas var potenciāli pasliktināt valsts fiskālo pozīciju.</w:t>
      </w:r>
      <w:r>
        <w:t xml:space="preserve"> 2021. gada rudenī atkal sāka pieaugt jauno Covid-19 gadījumu skaits un formāli no Covid-19 ir miruši vairāk nekā 4,5 miljoni iedzīvotāju visā pasaulē, domājams, ka patiesībā šis cipars varētu būt lielāks. Pēc infektologu domām, vakcīna pret Covid-19 ievērojami samazina mirstības un saslimšanas varbūtību vieglā un smagā formā. Pašlaik fiskāli intensīvākie atbalsta mehānismi nedarbojas. Inficēšanās rādītāji ar Covid-19 strauji pieaug arī Latvijā. </w:t>
      </w:r>
    </w:p>
    <w:p w14:paraId="4384C428" w14:textId="7E3DB6AE" w:rsidR="00E50B37" w:rsidRDefault="00645276">
      <w:pPr>
        <w:pStyle w:val="FDPList1"/>
        <w:spacing w:after="120"/>
      </w:pPr>
      <w:r>
        <w:rPr>
          <w:b/>
          <w:bCs/>
        </w:rPr>
        <w:t>Joprojām vēlama ir Fiskālo risku novērtēšanas padziļināšana un paplašināšana.</w:t>
      </w:r>
      <w:r>
        <w:t xml:space="preserve"> Padome sagaida tālākus uzlabojumus, paplašinot kvantitatīvi novērtēto fiskālo risku loku. Starptautiskā pieredze rāda, ka lielāko daļu fiskālo satricinājumu izraisa vai nu makroekonomiskā nestabilitāte, vai arī problēmas finanšu nozarē. Bieži vien pirmais izsauc otro, tādējādi,</w:t>
      </w:r>
      <w:r w:rsidR="00C766CF">
        <w:t xml:space="preserve"> </w:t>
      </w:r>
      <w:r>
        <w:t>saasinot fiskālos riskus un valsts spējas sasniegt nospraustos fiskālos mērķus. FRD tiek analizēts fiskālo risku iestāšanās rezultātu salīdzinājums ar prognozēto ietekmi, bieži secinot, ka fiskālais risks ir simetrisks. Tomēr FRD varētu uzlabot, analizējot faktorus, kas izraisīja nobīdi.</w:t>
      </w:r>
    </w:p>
    <w:p w14:paraId="5766155C" w14:textId="77777777" w:rsidR="00E50B37" w:rsidRDefault="00645276">
      <w:pPr>
        <w:pStyle w:val="FDPList1"/>
        <w:spacing w:after="240"/>
      </w:pPr>
      <w:r>
        <w:rPr>
          <w:b/>
          <w:bCs/>
          <w:szCs w:val="20"/>
        </w:rPr>
        <w:t>Padome aicina FRD iekļaut pesimistisko makroekonomisko scenāriju, ar attiecīgi aprēķinātu fiskālo rezervi.</w:t>
      </w:r>
      <w:r>
        <w:rPr>
          <w:szCs w:val="20"/>
        </w:rPr>
        <w:t xml:space="preserve"> To būtu vēlams darīt situācijā, kad fiskālais regulējums atkal ir spēkā.</w:t>
      </w:r>
    </w:p>
    <w:p w14:paraId="024E5AAB" w14:textId="77777777" w:rsidR="00E50B37" w:rsidRDefault="00645276">
      <w:pPr>
        <w:pStyle w:val="FDPList1"/>
        <w:spacing w:after="240"/>
      </w:pPr>
      <w:r w:rsidRPr="00C766CF">
        <w:rPr>
          <w:b/>
          <w:bCs/>
          <w:color w:val="auto"/>
        </w:rPr>
        <w:t xml:space="preserve">Padome norāda uz nepieciešamību izveidot fiskālo rezervi valsts kapitālsabiedrību darbības potenciāli negatīvai ietekmei uz </w:t>
      </w:r>
      <w:r w:rsidRPr="00D51377">
        <w:rPr>
          <w:b/>
          <w:bCs/>
          <w:color w:val="auto"/>
        </w:rPr>
        <w:t>VVBB</w:t>
      </w:r>
      <w:r w:rsidRPr="00D51377">
        <w:rPr>
          <w:color w:val="auto"/>
        </w:rPr>
        <w:t xml:space="preserve">. </w:t>
      </w:r>
      <w:r>
        <w:t>Tas attiecas, gan uz AS, kas ir piederīgas vispārējām valdības sektoram, gan tām, kas tam nekvalificējas. Vēsturiskie valsts AS darbības rezultāti norāda, ka tās ir vienas no lielākajām fiskālo risku avotiem.  Arī korporatīvās pārvaldības problēmām valsts un pašvaldību kapitālsabiedrībās, kas pieklasificējamas vispārējam valdības sektoram, ir potenciāls radīt negatīvu ietekmi uz vispārējās vald</w:t>
      </w:r>
      <w:r>
        <w:rPr>
          <w:rFonts w:cs="Verdana"/>
        </w:rPr>
        <w:t>ī</w:t>
      </w:r>
      <w:r>
        <w:t>bas bud</w:t>
      </w:r>
      <w:r>
        <w:rPr>
          <w:rFonts w:cs="Verdana"/>
        </w:rPr>
        <w:t>ž</w:t>
      </w:r>
      <w:r>
        <w:t>eta bilanci, k</w:t>
      </w:r>
      <w:r>
        <w:rPr>
          <w:rFonts w:cs="Verdana"/>
        </w:rPr>
        <w:t>ā</w:t>
      </w:r>
      <w:r>
        <w:t xml:space="preserve"> liecina p</w:t>
      </w:r>
      <w:r>
        <w:rPr>
          <w:rFonts w:cs="Verdana"/>
        </w:rPr>
        <w:t>ē</w:t>
      </w:r>
      <w:r>
        <w:t>dējā laika notikumi uzņēmumos “Rīgas Satiksme” un “Latvijas Dzelzceļš”.</w:t>
      </w:r>
    </w:p>
    <w:p w14:paraId="12F90959" w14:textId="77777777" w:rsidR="00E50B37" w:rsidRDefault="00645276">
      <w:pPr>
        <w:pStyle w:val="FDPList1"/>
        <w:spacing w:after="240"/>
        <w:rPr>
          <w:rFonts w:asciiTheme="minorHAnsi" w:eastAsiaTheme="minorEastAsia" w:hAnsiTheme="minorHAnsi"/>
          <w:szCs w:val="20"/>
        </w:rPr>
      </w:pPr>
      <w:r>
        <w:rPr>
          <w:b/>
          <w:bCs/>
        </w:rPr>
        <w:t>FDP norāda uz salīdzinoši lielo valsts budžeta atbalstu AirBaltic un vienlaicīgu  informācijas trūkumu par uzņēmuma biznesa plāniem un naudas izlietojumu, kas ļautu novērtēt atbalsta apjoma adekvātumu.</w:t>
      </w:r>
      <w:r>
        <w:t xml:space="preserve">  Valdība ir konceptuāli vienojusies par papildus 90 miljonu eiro piešķiršanu kompānijai ar mērķi kompensēt Covid-19 krīzes izraisītos zaudējumus šajā gadā.  2020. gadā jau bija pieņemts līdzīgs lēmums piešķirt kompānijai 250 miljonus eiro. Sakarā ar to, ka pašlaik nav precīzi zināms, kad Covid-19 krīze tiks pārvarēta, Padome aicina valdību ņemt vērā risku, ka avio-nozarei var būt nepieciešams atbalsts arī nākamgad. Ņemot vērā pēdējo divdesmit gadu apjomīgo valsts budžeta atbalstu kompānijai, Padome aicina valdību izvērtēt, vai valstij ir lietderīgi būt akcionāram šajā biznesa nozarē. </w:t>
      </w:r>
    </w:p>
    <w:p w14:paraId="76E849C9" w14:textId="77777777" w:rsidR="00E50B37" w:rsidRDefault="00645276">
      <w:pPr>
        <w:pStyle w:val="FDPList1"/>
        <w:spacing w:after="240"/>
        <w:rPr>
          <w:rFonts w:eastAsia="Calibri"/>
          <w:b/>
          <w:bCs/>
        </w:rPr>
      </w:pPr>
      <w:r>
        <w:rPr>
          <w:b/>
          <w:bCs/>
        </w:rPr>
        <w:t>Valsts finanšu attīstības institūcijai ALTUM ir uzticēti lieli budžeta līdzekļi saistībā ar Covid-19 atbalsta instrumentiem uzņēmumiem.</w:t>
      </w:r>
      <w:r>
        <w:t xml:space="preserve"> Palielināta atbildība prasa padziļinātu uzraudzību. FRD ir norādīts “FM turpina padziļināti uzraudzīt ALTUM darbību”, kā arī tas, ka fiskālais risks saistīts ar ALTUM darbību, ir simetrisks. Fiskālais risks var rasties gan no administratīvās puses, gan no portfeļa pārvaldības puses, ja ALTUM klientu faktiskie zaudējumi pārsniegs prognozētos, tāpēc </w:t>
      </w:r>
      <w:r>
        <w:rPr>
          <w:b/>
          <w:bCs/>
        </w:rPr>
        <w:t>Padome aicina arī turpmāk veikt padziļinātu ALTUM uzraudzību un to atspoguļot FRD pēc iespējas detalizētāk.</w:t>
      </w:r>
    </w:p>
    <w:p w14:paraId="4863AC8A" w14:textId="77777777" w:rsidR="00E50B37" w:rsidRDefault="00E50B37">
      <w:pPr>
        <w:pStyle w:val="FDPList1"/>
        <w:numPr>
          <w:ilvl w:val="0"/>
          <w:numId w:val="0"/>
        </w:numPr>
        <w:spacing w:after="240"/>
        <w:rPr>
          <w:b/>
          <w:bCs/>
          <w:szCs w:val="20"/>
        </w:rPr>
      </w:pPr>
    </w:p>
    <w:p w14:paraId="32DF022D" w14:textId="77777777" w:rsidR="00E50B37" w:rsidRDefault="00645276">
      <w:pPr>
        <w:pStyle w:val="FDPList1"/>
        <w:spacing w:after="240"/>
      </w:pPr>
      <w:r>
        <w:rPr>
          <w:b/>
          <w:bCs/>
          <w:szCs w:val="20"/>
        </w:rPr>
        <w:lastRenderedPageBreak/>
        <w:t xml:space="preserve">Padome ir gandarīta, ka ir uzlabojusies FRD finanšu sektora sadaļa. </w:t>
      </w:r>
      <w:r>
        <w:rPr>
          <w:szCs w:val="20"/>
        </w:rPr>
        <w:t>Tomēr sadaļu joprojām ir iespējams paplašināt un uzlabot, piemēram, iekļaujot plānotās izmaksas no noguldījumu garantiju fonda. Tradicionāli finanšu sektors ir viens no lielākajiem fiskālo risku avotiem, tāpēc tam ir jāpievērš adekvāta uzmanība FRD.</w:t>
      </w:r>
    </w:p>
    <w:p w14:paraId="30633C3C" w14:textId="77777777" w:rsidR="00E50B37" w:rsidRDefault="00645276">
      <w:pPr>
        <w:pStyle w:val="FDPList1"/>
        <w:spacing w:after="240"/>
        <w:rPr>
          <w:rFonts w:asciiTheme="minorHAnsi" w:eastAsiaTheme="minorEastAsia" w:hAnsiTheme="minorHAnsi"/>
          <w:szCs w:val="20"/>
        </w:rPr>
      </w:pPr>
      <w:r>
        <w:rPr>
          <w:b/>
          <w:bCs/>
        </w:rPr>
        <w:t>Uzturlīdzekļu fonda darbība ir kļuvusi par ievērojamu fiskālo risku.</w:t>
      </w:r>
      <w:r>
        <w:t xml:space="preserve"> FDP norāda, ka katru gadu uzturlīdzekļu nemaksātāju parāds palielinās un uz 2021. gada 1. jūliju bija 429 miljoni eiro, kas ir ievērojama summa. Tas norāda, ka fonda darbībā ir sistemātiskas problēmas, kas nekavējoties ir jārisina. FRD ir jāparedz Fonda darbības analīze. </w:t>
      </w:r>
    </w:p>
    <w:p w14:paraId="6A0A9300" w14:textId="5BA6B356" w:rsidR="00E50B37" w:rsidRDefault="00645276">
      <w:pPr>
        <w:pStyle w:val="FDPList1"/>
        <w:spacing w:after="240"/>
        <w:rPr>
          <w:bCs/>
        </w:rPr>
      </w:pPr>
      <w:r>
        <w:rPr>
          <w:b/>
          <w:bCs/>
          <w:szCs w:val="20"/>
        </w:rPr>
        <w:t xml:space="preserve">“Zaļā kursa” un vides aizsardzības mērķu realizācija turpmākajos gados prasīs papildu investīcijas, tai skaitā no valsts budžeta līdzekļiem. </w:t>
      </w:r>
      <w:r>
        <w:rPr>
          <w:bCs/>
          <w:szCs w:val="20"/>
        </w:rPr>
        <w:t xml:space="preserve">Tāpēc Padome aicina turpmāk FRD izveidot īpaša nodaļu, kas novērtētu potenciālās investīciju vajadzības “zaļā </w:t>
      </w:r>
      <w:r w:rsidR="00C24D78">
        <w:rPr>
          <w:bCs/>
          <w:szCs w:val="20"/>
        </w:rPr>
        <w:t>kursa ”mērķu</w:t>
      </w:r>
      <w:r>
        <w:rPr>
          <w:bCs/>
          <w:szCs w:val="20"/>
        </w:rPr>
        <w:t xml:space="preserve"> sasniegšanai, kā arī novērtētu riskus šo mērķu nesasniegšanas gadījumā.  </w:t>
      </w:r>
    </w:p>
    <w:p w14:paraId="32B65299" w14:textId="77777777" w:rsidR="00E50B37" w:rsidRDefault="00645276">
      <w:pPr>
        <w:pStyle w:val="FDPList1"/>
        <w:spacing w:after="240"/>
        <w:rPr>
          <w:rFonts w:eastAsia="Calibri"/>
        </w:rPr>
      </w:pPr>
      <w:r>
        <w:rPr>
          <w:rFonts w:eastAsia="Calibri"/>
          <w:b/>
          <w:bCs/>
        </w:rPr>
        <w:t>Politiskā situācija pasaulē arī rada riskus, kuriem ir potenciāls ietekmēt Latvijas fiskālo pozīciju.</w:t>
      </w:r>
      <w:r>
        <w:rPr>
          <w:rFonts w:eastAsia="Calibri"/>
        </w:rPr>
        <w:t xml:space="preserve"> Baltkrievija, izmantojot Latvijas teritoriju, organizē Irākas un Afganistānas bēgļu un migrantu emigrāciju uz ES. Eiropas Cilvēktiesību tiesā tika izskatīta lieta, saistībā ar bēgļiem no Afganistānas, kurā tika nolemts, ka Latvijai tie ir jāpieņem</w:t>
      </w:r>
      <w:r>
        <w:rPr>
          <w:rStyle w:val="FootnoteAnchor"/>
          <w:rFonts w:eastAsia="Calibri"/>
        </w:rPr>
        <w:footnoteReference w:id="22"/>
      </w:r>
      <w:r>
        <w:rPr>
          <w:rFonts w:eastAsia="Calibri"/>
        </w:rPr>
        <w:t xml:space="preserve">. Nekontrolētā imigrācija var izraisīt lietu krīzi arī ar fiskālām konsekvencēm. Nestabila politiskā situācija paliek arī pašā Baltkrievijā, kuras attiecības ar ES pasliktinājās pēc dažādiem politiskiem notikumiem, kā arī represijām pret Baltkrievijas iedzīvotājiem. Lai gan pašlaik tikai 1,1% no visa Latvijas eksporta aiziet uz Baltkrieviju, situācija potenciāli varētu rādīt fiskālos riskus. </w:t>
      </w:r>
    </w:p>
    <w:p w14:paraId="178B8B21" w14:textId="77777777" w:rsidR="00E50B37" w:rsidRDefault="00645276">
      <w:pPr>
        <w:pStyle w:val="FDPList1"/>
        <w:spacing w:after="240"/>
        <w:rPr>
          <w:rFonts w:eastAsia="Calibri"/>
        </w:rPr>
      </w:pPr>
      <w:r>
        <w:rPr>
          <w:rFonts w:eastAsia="Calibri"/>
        </w:rPr>
        <w:t xml:space="preserve">Fiskālo risku deklarācija spēlē lomu fiskālo risku vadībā un kalpo par pamatu fiskālā nodrošinājuma rezerves aprēķinam. Tomēr, ņemot vērā “Covid-19 infekcijas izplatības seku pārvarēšanas likuma” 33. pantu, kas pēc būtības atceļ valsts budžeta izdevumu griestus 2022.gada valsts budžetam, fiskālā nodrošinājuma rezervei ir formāls raksturs 2021.gada budžeta procesa kontekstā. </w:t>
      </w:r>
      <w:r>
        <w:rPr>
          <w:rFonts w:eastAsia="Calibri"/>
          <w:b/>
          <w:bCs/>
        </w:rPr>
        <w:t xml:space="preserve">Tādēļ, Fiskālās disciplīnas padomes fiskālo risku darba grupa akceptēja fiskālā nodrošinājuma rezervi 0,1% apmērā no IKP 2022.gadam. </w:t>
      </w:r>
      <w:r>
        <w:rPr>
          <w:rFonts w:eastAsia="Calibri"/>
        </w:rPr>
        <w:t>Pašreizējā situācijā ir pārāk daudz juridisko, makroekonomisko, un fiskālo nezināmo, tāpēc fiskālo risku darba grupa šobrīd atliek viedokļa izteikšanu par 2023. un 2024.gadu gadu fiskālā nodrošinājuma rezerves nepieciešamajiem apmēriem.</w:t>
      </w:r>
    </w:p>
    <w:p w14:paraId="5F6538C5" w14:textId="77777777" w:rsidR="00E50B37" w:rsidRDefault="00E50B37">
      <w:pPr>
        <w:spacing w:after="240"/>
        <w:rPr>
          <w:b/>
        </w:rPr>
      </w:pPr>
    </w:p>
    <w:p w14:paraId="493FB7DB" w14:textId="77777777" w:rsidR="00E50B37" w:rsidRDefault="00E50B37">
      <w:pPr>
        <w:spacing w:after="240"/>
        <w:rPr>
          <w:b/>
        </w:rPr>
      </w:pPr>
    </w:p>
    <w:p w14:paraId="2C7D21AE" w14:textId="77777777" w:rsidR="00E50B37" w:rsidRDefault="00E50B37">
      <w:pPr>
        <w:spacing w:after="240"/>
        <w:rPr>
          <w:b/>
        </w:rPr>
      </w:pPr>
    </w:p>
    <w:p w14:paraId="5781D0DF" w14:textId="77777777" w:rsidR="00E50B37" w:rsidRDefault="00E50B37">
      <w:pPr>
        <w:spacing w:after="240"/>
        <w:rPr>
          <w:b/>
        </w:rPr>
      </w:pPr>
    </w:p>
    <w:p w14:paraId="2A36F1DA" w14:textId="77777777" w:rsidR="00E50B37" w:rsidRDefault="00E50B37">
      <w:pPr>
        <w:spacing w:after="240"/>
        <w:rPr>
          <w:b/>
        </w:rPr>
      </w:pPr>
    </w:p>
    <w:p w14:paraId="18E8EED2" w14:textId="77777777" w:rsidR="00E50B37" w:rsidRDefault="00645276">
      <w:pPr>
        <w:pStyle w:val="Virsraksts1"/>
      </w:pPr>
      <w:bookmarkStart w:id="21" w:name="_Toc84839733"/>
      <w:r>
        <w:lastRenderedPageBreak/>
        <w:t>3. Makroekonomiskās vides novērtējums</w:t>
      </w:r>
      <w:bookmarkEnd w:id="21"/>
    </w:p>
    <w:p w14:paraId="3B1EB1BA" w14:textId="77777777" w:rsidR="00E50B37" w:rsidRDefault="00645276">
      <w:pPr>
        <w:pStyle w:val="Virsraksts2"/>
      </w:pPr>
      <w:bookmarkStart w:id="22" w:name="_Toc84839734"/>
      <w:r>
        <w:t>3.1. Latvijas makroekonomikas vides aktuālais pārskats</w:t>
      </w:r>
      <w:bookmarkEnd w:id="22"/>
    </w:p>
    <w:p w14:paraId="2394F255" w14:textId="77777777" w:rsidR="00E50B37" w:rsidRDefault="00E50B37">
      <w:pPr>
        <w:spacing w:after="0"/>
        <w:ind w:firstLine="284"/>
      </w:pPr>
    </w:p>
    <w:p w14:paraId="24215E7A" w14:textId="78E22ED3" w:rsidR="00E50B37" w:rsidRDefault="00645276">
      <w:pPr>
        <w:pStyle w:val="FDPList1"/>
        <w:rPr>
          <w:b/>
          <w:szCs w:val="20"/>
        </w:rPr>
      </w:pPr>
      <w:r>
        <w:rPr>
          <w:b/>
          <w:szCs w:val="20"/>
        </w:rPr>
        <w:t xml:space="preserve"> Latvijas IKP izaugsme, pēc lejupslīdes 2020. gadā, ir atsākusies un 2021. gada pirmajā pusgadā ir sasniegusi 5,</w:t>
      </w:r>
      <w:r w:rsidR="00D51377">
        <w:rPr>
          <w:b/>
          <w:szCs w:val="20"/>
        </w:rPr>
        <w:t>1</w:t>
      </w:r>
      <w:r>
        <w:rPr>
          <w:b/>
          <w:szCs w:val="20"/>
        </w:rPr>
        <w:t>%. Līdztekus IKP izaugsmei ir atsācies inflācijas kāpums, otrajā ceturksnī sasniedzot 2,3%, pie tam inflācijas gaidas turpmākam periodam ir augstas. Ražotāju cenu inflācija tuvojas 20%, būvmateriālu cenu kāpums ir 12,8%. Tekošā konta rādītāji ir pasliktinājušies, no pārpalikuma 2020. gadā līdz gandrīz 4% deficītam 2021. gada pirmajā pusgadā. Ir aktivizējusies kreditēšana, jaunu hipotekāro kredītu apjoms 2021. gadā ir ievērojami pieaudzis, aktivizējot arī nekustamo īpašumu tirgu. Darba tirgū ir vērojams augsts pieprasījums pēc darbaspēka, katru mēnesi,  kopš jūnija, bezdarba rādītāji arvien samazinās un augustā faktiskais bezdarba līmenis sasniedza 7,1%, kas tuvinās 2019. gada vidējam rādītājam 6,3%. Redzams, ka šogad un nākošajos gados faktiskais bezdarba līmenis pārsniegs NAWRU prognozi, līdz ar to jau pašlaik esošais spiediens uz algām arvien turpināsies. Šo un turpmāk analizēto indikatoru kopums ļauj spriest, ka ekonomika atkopjas ātrāk nekā tas tika prognozēts un tās stimulēšanas pasākumiem ir jāpieiet arvien kritiskāk.</w:t>
      </w:r>
    </w:p>
    <w:p w14:paraId="2F323F9E" w14:textId="77777777" w:rsidR="00E50B37" w:rsidRDefault="00E50B37">
      <w:pPr>
        <w:spacing w:after="0"/>
        <w:ind w:left="567" w:hanging="567"/>
        <w:rPr>
          <w:szCs w:val="20"/>
        </w:rPr>
      </w:pPr>
    </w:p>
    <w:p w14:paraId="35BF6D4F" w14:textId="77777777" w:rsidR="00E50B37" w:rsidRDefault="00645276">
      <w:pPr>
        <w:pStyle w:val="Pamatteksts"/>
        <w:numPr>
          <w:ilvl w:val="0"/>
          <w:numId w:val="1"/>
        </w:numPr>
        <w:ind w:left="567" w:hanging="567"/>
        <w:rPr>
          <w:b/>
          <w:szCs w:val="20"/>
        </w:rPr>
      </w:pPr>
      <w:r>
        <w:rPr>
          <w:b/>
          <w:color w:val="000000"/>
          <w:szCs w:val="20"/>
          <w:shd w:val="clear" w:color="auto" w:fill="FFFFFF"/>
        </w:rPr>
        <w:t>Saskaņā ar sezonāli koriģētajiem CSP datiem, IKP salīdzināmajā cenās pirmajā ceturksnī kritās par 0,2% bet jau otrajā ceturksnī pieauga par 10,5%, kopumā pirmajā pusgadā sasniedzot 5,1% pieaugumu. </w:t>
      </w:r>
      <w:r>
        <w:rPr>
          <w:color w:val="000000"/>
          <w:szCs w:val="20"/>
          <w:shd w:val="clear" w:color="auto" w:fill="FFFFFF"/>
        </w:rPr>
        <w:t>Septembrī CSP ir veikusi plašu IKP datu revīziju. Saskaņā ar revidētiem datiem pirmajā pusgadā no izlietojuma aspekta lielākais pienesums IKP izaugsmē eksportam (10%), investīcijām (4%), arī sabiedriskais patēriņš ir audzis par 4%. Privātais patēriņš bija ļoti svārstīgs salīdzinot pirmo un otro ceturksni. Pirmajā ceturksnī dažādu Covid-19 ierobežojošo pasākumu iespaidā tas kritās par 9%. Otrajā ceturksnī tika ieviesti plaši atbalsta pasākumi mājsaimniecībām, bet ierobežojumi tika pakāpeniski atcelti – rezultātā privātais patēriņš pieauga par 16%. Kopumā privātā patēriņa pienesums IKP izaugsmē pirmajā pusgadā bija 3,5%. </w:t>
      </w:r>
    </w:p>
    <w:p w14:paraId="0BD15288" w14:textId="77777777" w:rsidR="00E50B37" w:rsidRDefault="00645276">
      <w:pPr>
        <w:spacing w:after="0"/>
      </w:pPr>
      <w:r>
        <w:rPr>
          <w:b/>
          <w:bCs/>
          <w:color w:val="993333"/>
        </w:rPr>
        <w:t xml:space="preserve">6. tabula. Aktuālie un prognozētie Latvijas makroekonomikas attīstības rādītāji </w:t>
      </w:r>
    </w:p>
    <w:tbl>
      <w:tblPr>
        <w:tblpPr w:leftFromText="180" w:rightFromText="180" w:vertAnchor="text" w:horzAnchor="margin" w:tblpY="50"/>
        <w:tblW w:w="5000" w:type="pct"/>
        <w:tblLayout w:type="fixed"/>
        <w:tblLook w:val="0600" w:firstRow="0" w:lastRow="0" w:firstColumn="0" w:lastColumn="0" w:noHBand="1" w:noVBand="1"/>
      </w:tblPr>
      <w:tblGrid>
        <w:gridCol w:w="1481"/>
        <w:gridCol w:w="633"/>
        <w:gridCol w:w="633"/>
        <w:gridCol w:w="635"/>
        <w:gridCol w:w="636"/>
        <w:gridCol w:w="636"/>
        <w:gridCol w:w="636"/>
        <w:gridCol w:w="676"/>
        <w:gridCol w:w="299"/>
        <w:gridCol w:w="312"/>
        <w:gridCol w:w="490"/>
        <w:gridCol w:w="487"/>
        <w:gridCol w:w="489"/>
        <w:gridCol w:w="489"/>
        <w:gridCol w:w="812"/>
      </w:tblGrid>
      <w:tr w:rsidR="00E50B37" w14:paraId="0ED0168B" w14:textId="77777777">
        <w:trPr>
          <w:trHeight w:val="289"/>
        </w:trPr>
        <w:tc>
          <w:tcPr>
            <w:tcW w:w="1483" w:type="dxa"/>
            <w:vMerge w:val="restart"/>
            <w:tcBorders>
              <w:top w:val="single" w:sz="12" w:space="0" w:color="9D2234"/>
              <w:left w:val="single" w:sz="4" w:space="0" w:color="000000"/>
              <w:right w:val="single" w:sz="4" w:space="0" w:color="000000"/>
            </w:tcBorders>
            <w:shd w:val="clear" w:color="auto" w:fill="auto"/>
            <w:vAlign w:val="center"/>
          </w:tcPr>
          <w:p w14:paraId="7857F548" w14:textId="77777777" w:rsidR="00E50B37" w:rsidRDefault="00645276">
            <w:pPr>
              <w:widowControl w:val="0"/>
              <w:spacing w:after="0" w:line="240" w:lineRule="auto"/>
              <w:jc w:val="center"/>
              <w:rPr>
                <w:b/>
                <w:bCs/>
                <w:color w:val="993333"/>
                <w:sz w:val="10"/>
                <w:szCs w:val="10"/>
              </w:rPr>
            </w:pPr>
            <w:r>
              <w:rPr>
                <w:b/>
                <w:bCs/>
                <w:color w:val="993333"/>
                <w:sz w:val="10"/>
                <w:szCs w:val="10"/>
              </w:rPr>
              <w:t xml:space="preserve">Makroekonomiskie rādītāji </w:t>
            </w:r>
            <w:r>
              <w:rPr>
                <w:b/>
                <w:bCs/>
                <w:color w:val="993333"/>
                <w:sz w:val="10"/>
                <w:szCs w:val="10"/>
              </w:rPr>
              <w:br/>
              <w:t>(sezonāli izlīdzināti)</w:t>
            </w:r>
          </w:p>
        </w:tc>
        <w:tc>
          <w:tcPr>
            <w:tcW w:w="2541" w:type="dxa"/>
            <w:gridSpan w:val="4"/>
            <w:tcBorders>
              <w:top w:val="single" w:sz="12" w:space="0" w:color="9D2234"/>
              <w:bottom w:val="single" w:sz="4" w:space="0" w:color="000000"/>
              <w:right w:val="single" w:sz="4" w:space="0" w:color="000000"/>
            </w:tcBorders>
            <w:shd w:val="clear" w:color="auto" w:fill="auto"/>
            <w:vAlign w:val="bottom"/>
          </w:tcPr>
          <w:p w14:paraId="6169CF1A" w14:textId="77777777" w:rsidR="00E50B37" w:rsidRDefault="00645276">
            <w:pPr>
              <w:widowControl w:val="0"/>
              <w:spacing w:after="0" w:line="240" w:lineRule="auto"/>
              <w:jc w:val="center"/>
              <w:rPr>
                <w:b/>
                <w:bCs/>
                <w:color w:val="993333"/>
                <w:sz w:val="10"/>
                <w:szCs w:val="10"/>
              </w:rPr>
            </w:pPr>
            <w:r>
              <w:rPr>
                <w:b/>
                <w:bCs/>
                <w:color w:val="993333"/>
                <w:sz w:val="10"/>
                <w:szCs w:val="10"/>
              </w:rPr>
              <w:t>2020 faktiskie dati</w:t>
            </w:r>
          </w:p>
        </w:tc>
        <w:tc>
          <w:tcPr>
            <w:tcW w:w="637" w:type="dxa"/>
            <w:vMerge w:val="restart"/>
            <w:tcBorders>
              <w:top w:val="single" w:sz="12" w:space="0" w:color="9D2234"/>
              <w:left w:val="single" w:sz="4" w:space="0" w:color="000000"/>
              <w:right w:val="single" w:sz="4" w:space="0" w:color="000000"/>
            </w:tcBorders>
            <w:shd w:val="clear" w:color="auto" w:fill="auto"/>
            <w:vAlign w:val="center"/>
          </w:tcPr>
          <w:p w14:paraId="333B13B4" w14:textId="77777777" w:rsidR="00E50B37" w:rsidRDefault="00645276">
            <w:pPr>
              <w:widowControl w:val="0"/>
              <w:spacing w:after="0" w:line="240" w:lineRule="auto"/>
              <w:jc w:val="center"/>
              <w:rPr>
                <w:b/>
                <w:bCs/>
                <w:color w:val="993333"/>
                <w:sz w:val="10"/>
                <w:szCs w:val="10"/>
              </w:rPr>
            </w:pPr>
            <w:r>
              <w:rPr>
                <w:b/>
                <w:bCs/>
                <w:color w:val="993333"/>
                <w:sz w:val="10"/>
                <w:szCs w:val="10"/>
              </w:rPr>
              <w:t>2020</w:t>
            </w:r>
          </w:p>
        </w:tc>
        <w:tc>
          <w:tcPr>
            <w:tcW w:w="1925" w:type="dxa"/>
            <w:gridSpan w:val="4"/>
            <w:tcBorders>
              <w:top w:val="single" w:sz="12" w:space="0" w:color="9D2234"/>
              <w:bottom w:val="single" w:sz="4" w:space="0" w:color="000000"/>
              <w:right w:val="single" w:sz="4" w:space="0" w:color="000000"/>
            </w:tcBorders>
            <w:shd w:val="clear" w:color="auto" w:fill="auto"/>
            <w:vAlign w:val="bottom"/>
          </w:tcPr>
          <w:p w14:paraId="7C6FB282" w14:textId="77777777" w:rsidR="00E50B37" w:rsidRDefault="00645276">
            <w:pPr>
              <w:widowControl w:val="0"/>
              <w:spacing w:after="0" w:line="240" w:lineRule="auto"/>
              <w:jc w:val="center"/>
              <w:rPr>
                <w:b/>
                <w:bCs/>
                <w:color w:val="993333"/>
                <w:sz w:val="10"/>
                <w:szCs w:val="10"/>
              </w:rPr>
            </w:pPr>
            <w:r>
              <w:rPr>
                <w:b/>
                <w:bCs/>
                <w:color w:val="993333"/>
                <w:sz w:val="10"/>
                <w:szCs w:val="10"/>
              </w:rPr>
              <w:t>2021 faktiskie dati</w:t>
            </w:r>
          </w:p>
        </w:tc>
        <w:tc>
          <w:tcPr>
            <w:tcW w:w="1955" w:type="dxa"/>
            <w:gridSpan w:val="4"/>
            <w:tcBorders>
              <w:top w:val="single" w:sz="12" w:space="0" w:color="9D2234"/>
              <w:bottom w:val="single" w:sz="4" w:space="0" w:color="000000"/>
            </w:tcBorders>
            <w:shd w:val="clear" w:color="auto" w:fill="auto"/>
            <w:vAlign w:val="bottom"/>
          </w:tcPr>
          <w:p w14:paraId="6420286D" w14:textId="77777777" w:rsidR="00E50B37" w:rsidRDefault="00645276">
            <w:pPr>
              <w:widowControl w:val="0"/>
              <w:spacing w:after="0" w:line="240" w:lineRule="auto"/>
              <w:jc w:val="center"/>
              <w:rPr>
                <w:b/>
                <w:bCs/>
                <w:color w:val="993333"/>
                <w:sz w:val="10"/>
                <w:szCs w:val="10"/>
              </w:rPr>
            </w:pPr>
            <w:r>
              <w:rPr>
                <w:b/>
                <w:bCs/>
                <w:color w:val="993333"/>
                <w:sz w:val="10"/>
                <w:szCs w:val="10"/>
              </w:rPr>
              <w:t>Prognoze (14.06.2021</w:t>
            </w:r>
            <w:r>
              <w:rPr>
                <w:rStyle w:val="FootnoteAnchor"/>
                <w:b/>
                <w:bCs/>
                <w:color w:val="993333"/>
                <w:sz w:val="10"/>
                <w:szCs w:val="10"/>
              </w:rPr>
              <w:footnoteReference w:id="23"/>
            </w:r>
            <w:r>
              <w:rPr>
                <w:b/>
                <w:bCs/>
                <w:color w:val="993333"/>
                <w:sz w:val="10"/>
                <w:szCs w:val="10"/>
              </w:rPr>
              <w:t>)</w:t>
            </w:r>
          </w:p>
        </w:tc>
        <w:tc>
          <w:tcPr>
            <w:tcW w:w="813" w:type="dxa"/>
            <w:vMerge w:val="restart"/>
            <w:tcBorders>
              <w:top w:val="single" w:sz="12" w:space="0" w:color="9D2234"/>
              <w:right w:val="single" w:sz="4" w:space="0" w:color="000000"/>
            </w:tcBorders>
            <w:shd w:val="clear" w:color="auto" w:fill="auto"/>
            <w:vAlign w:val="center"/>
          </w:tcPr>
          <w:p w14:paraId="40BBB989" w14:textId="77777777" w:rsidR="00E50B37" w:rsidRDefault="00645276">
            <w:pPr>
              <w:widowControl w:val="0"/>
              <w:spacing w:after="0" w:line="240" w:lineRule="auto"/>
              <w:jc w:val="center"/>
              <w:rPr>
                <w:b/>
                <w:bCs/>
                <w:color w:val="993333"/>
                <w:sz w:val="10"/>
                <w:szCs w:val="10"/>
              </w:rPr>
            </w:pPr>
            <w:r>
              <w:rPr>
                <w:b/>
                <w:bCs/>
                <w:color w:val="993333"/>
                <w:sz w:val="10"/>
                <w:szCs w:val="10"/>
              </w:rPr>
              <w:t>2021 g.</w:t>
            </w:r>
          </w:p>
          <w:p w14:paraId="7CC991BC" w14:textId="77777777" w:rsidR="00E50B37" w:rsidRDefault="00645276">
            <w:pPr>
              <w:widowControl w:val="0"/>
              <w:spacing w:after="0" w:line="240" w:lineRule="auto"/>
              <w:jc w:val="center"/>
              <w:rPr>
                <w:b/>
                <w:bCs/>
                <w:color w:val="993333"/>
                <w:sz w:val="10"/>
                <w:szCs w:val="10"/>
              </w:rPr>
            </w:pPr>
            <w:r>
              <w:rPr>
                <w:b/>
                <w:bCs/>
                <w:color w:val="993333"/>
                <w:sz w:val="10"/>
                <w:szCs w:val="10"/>
              </w:rPr>
              <w:t>Izpilde /prognoze</w:t>
            </w:r>
          </w:p>
          <w:p w14:paraId="5BE8D8C0" w14:textId="77777777" w:rsidR="00E50B37" w:rsidRDefault="00E50B37">
            <w:pPr>
              <w:widowControl w:val="0"/>
              <w:spacing w:after="0" w:line="240" w:lineRule="auto"/>
              <w:jc w:val="center"/>
              <w:rPr>
                <w:b/>
                <w:bCs/>
                <w:color w:val="993333"/>
                <w:sz w:val="10"/>
                <w:szCs w:val="10"/>
              </w:rPr>
            </w:pPr>
          </w:p>
        </w:tc>
      </w:tr>
      <w:tr w:rsidR="00E50B37" w14:paraId="2C48127F" w14:textId="77777777">
        <w:trPr>
          <w:trHeight w:val="375"/>
        </w:trPr>
        <w:tc>
          <w:tcPr>
            <w:tcW w:w="1483" w:type="dxa"/>
            <w:vMerge/>
            <w:vAlign w:val="center"/>
          </w:tcPr>
          <w:p w14:paraId="5FFD8F56" w14:textId="77777777" w:rsidR="00E50B37" w:rsidRDefault="00E50B37">
            <w:pPr>
              <w:widowControl w:val="0"/>
              <w:spacing w:line="240" w:lineRule="auto"/>
              <w:rPr>
                <w:rFonts w:ascii="Arial" w:eastAsia="Times New Roman" w:hAnsi="Arial"/>
                <w:b/>
                <w:bCs/>
                <w:sz w:val="10"/>
                <w:szCs w:val="10"/>
              </w:rPr>
            </w:pPr>
          </w:p>
        </w:tc>
        <w:tc>
          <w:tcPr>
            <w:tcW w:w="634" w:type="dxa"/>
            <w:tcBorders>
              <w:bottom w:val="single" w:sz="4" w:space="0" w:color="000000"/>
              <w:right w:val="single" w:sz="4" w:space="0" w:color="000000"/>
            </w:tcBorders>
            <w:shd w:val="clear" w:color="auto" w:fill="auto"/>
            <w:vAlign w:val="center"/>
          </w:tcPr>
          <w:p w14:paraId="1D70C2F7" w14:textId="77777777" w:rsidR="00E50B37" w:rsidRDefault="00645276">
            <w:pPr>
              <w:widowControl w:val="0"/>
              <w:spacing w:line="240" w:lineRule="auto"/>
              <w:jc w:val="center"/>
              <w:rPr>
                <w:rFonts w:ascii="Arial" w:eastAsia="Times New Roman" w:hAnsi="Arial"/>
                <w:b/>
                <w:bCs/>
                <w:sz w:val="10"/>
                <w:szCs w:val="10"/>
              </w:rPr>
            </w:pPr>
            <w:r>
              <w:rPr>
                <w:rFonts w:ascii="Arial" w:eastAsia="Times New Roman" w:hAnsi="Arial"/>
                <w:b/>
                <w:bCs/>
                <w:sz w:val="10"/>
                <w:szCs w:val="10"/>
              </w:rPr>
              <w:t>I</w:t>
            </w:r>
          </w:p>
        </w:tc>
        <w:tc>
          <w:tcPr>
            <w:tcW w:w="634" w:type="dxa"/>
            <w:tcBorders>
              <w:bottom w:val="single" w:sz="4" w:space="0" w:color="000000"/>
              <w:right w:val="single" w:sz="4" w:space="0" w:color="000000"/>
            </w:tcBorders>
            <w:shd w:val="clear" w:color="auto" w:fill="auto"/>
            <w:vAlign w:val="center"/>
          </w:tcPr>
          <w:p w14:paraId="09F446B7" w14:textId="77777777" w:rsidR="00E50B37" w:rsidRDefault="00645276">
            <w:pPr>
              <w:widowControl w:val="0"/>
              <w:spacing w:line="240" w:lineRule="auto"/>
              <w:jc w:val="center"/>
              <w:rPr>
                <w:rFonts w:ascii="Arial" w:eastAsia="Times New Roman" w:hAnsi="Arial"/>
                <w:b/>
                <w:bCs/>
                <w:sz w:val="10"/>
                <w:szCs w:val="10"/>
              </w:rPr>
            </w:pPr>
            <w:r>
              <w:rPr>
                <w:rFonts w:ascii="Arial" w:eastAsia="Times New Roman" w:hAnsi="Arial"/>
                <w:b/>
                <w:bCs/>
                <w:sz w:val="10"/>
                <w:szCs w:val="10"/>
              </w:rPr>
              <w:t>II</w:t>
            </w:r>
          </w:p>
        </w:tc>
        <w:tc>
          <w:tcPr>
            <w:tcW w:w="636" w:type="dxa"/>
            <w:tcBorders>
              <w:bottom w:val="single" w:sz="4" w:space="0" w:color="000000"/>
              <w:right w:val="single" w:sz="4" w:space="0" w:color="000000"/>
            </w:tcBorders>
            <w:shd w:val="clear" w:color="auto" w:fill="auto"/>
            <w:vAlign w:val="center"/>
          </w:tcPr>
          <w:p w14:paraId="7B498ACE" w14:textId="77777777" w:rsidR="00E50B37" w:rsidRDefault="00645276">
            <w:pPr>
              <w:widowControl w:val="0"/>
              <w:spacing w:line="240" w:lineRule="auto"/>
              <w:jc w:val="center"/>
              <w:rPr>
                <w:rFonts w:ascii="Arial" w:eastAsia="Times New Roman" w:hAnsi="Arial"/>
                <w:b/>
                <w:bCs/>
                <w:sz w:val="10"/>
                <w:szCs w:val="10"/>
              </w:rPr>
            </w:pPr>
            <w:r>
              <w:rPr>
                <w:rFonts w:ascii="Arial" w:eastAsia="Times New Roman" w:hAnsi="Arial"/>
                <w:b/>
                <w:bCs/>
                <w:sz w:val="10"/>
                <w:szCs w:val="10"/>
              </w:rPr>
              <w:t>III</w:t>
            </w:r>
          </w:p>
        </w:tc>
        <w:tc>
          <w:tcPr>
            <w:tcW w:w="637" w:type="dxa"/>
            <w:tcBorders>
              <w:bottom w:val="single" w:sz="4" w:space="0" w:color="000000"/>
              <w:right w:val="single" w:sz="4" w:space="0" w:color="000000"/>
            </w:tcBorders>
            <w:shd w:val="clear" w:color="auto" w:fill="auto"/>
            <w:vAlign w:val="center"/>
          </w:tcPr>
          <w:p w14:paraId="4F5F071B" w14:textId="77777777" w:rsidR="00E50B37" w:rsidRDefault="00645276">
            <w:pPr>
              <w:widowControl w:val="0"/>
              <w:spacing w:line="240" w:lineRule="auto"/>
              <w:jc w:val="center"/>
              <w:rPr>
                <w:rFonts w:ascii="Arial" w:eastAsia="Times New Roman" w:hAnsi="Arial"/>
                <w:b/>
                <w:bCs/>
                <w:sz w:val="10"/>
                <w:szCs w:val="10"/>
              </w:rPr>
            </w:pPr>
            <w:r>
              <w:rPr>
                <w:rFonts w:ascii="Arial" w:eastAsia="Times New Roman" w:hAnsi="Arial"/>
                <w:b/>
                <w:bCs/>
                <w:sz w:val="10"/>
                <w:szCs w:val="10"/>
              </w:rPr>
              <w:t>IV</w:t>
            </w:r>
          </w:p>
        </w:tc>
        <w:tc>
          <w:tcPr>
            <w:tcW w:w="637" w:type="dxa"/>
            <w:vMerge/>
            <w:vAlign w:val="center"/>
          </w:tcPr>
          <w:p w14:paraId="0BA083D5" w14:textId="77777777" w:rsidR="00E50B37" w:rsidRDefault="00E50B37">
            <w:pPr>
              <w:widowControl w:val="0"/>
              <w:spacing w:line="240" w:lineRule="auto"/>
              <w:rPr>
                <w:rFonts w:ascii="Arial" w:eastAsia="Times New Roman" w:hAnsi="Arial"/>
                <w:b/>
                <w:bCs/>
                <w:sz w:val="10"/>
                <w:szCs w:val="10"/>
              </w:rPr>
            </w:pPr>
          </w:p>
        </w:tc>
        <w:tc>
          <w:tcPr>
            <w:tcW w:w="637" w:type="dxa"/>
            <w:tcBorders>
              <w:bottom w:val="single" w:sz="4" w:space="0" w:color="000000"/>
              <w:right w:val="single" w:sz="4" w:space="0" w:color="000000"/>
            </w:tcBorders>
            <w:shd w:val="clear" w:color="auto" w:fill="auto"/>
            <w:vAlign w:val="center"/>
          </w:tcPr>
          <w:p w14:paraId="27EE40DF" w14:textId="77777777" w:rsidR="00E50B37" w:rsidRDefault="00645276">
            <w:pPr>
              <w:widowControl w:val="0"/>
              <w:spacing w:line="240" w:lineRule="auto"/>
              <w:jc w:val="center"/>
              <w:rPr>
                <w:rFonts w:ascii="Arial" w:eastAsia="Times New Roman" w:hAnsi="Arial"/>
                <w:b/>
                <w:bCs/>
                <w:sz w:val="10"/>
                <w:szCs w:val="10"/>
              </w:rPr>
            </w:pPr>
            <w:r>
              <w:rPr>
                <w:rFonts w:ascii="Arial" w:eastAsia="Times New Roman" w:hAnsi="Arial"/>
                <w:b/>
                <w:bCs/>
                <w:sz w:val="10"/>
                <w:szCs w:val="10"/>
              </w:rPr>
              <w:t>I</w:t>
            </w:r>
          </w:p>
        </w:tc>
        <w:tc>
          <w:tcPr>
            <w:tcW w:w="677" w:type="dxa"/>
            <w:tcBorders>
              <w:bottom w:val="single" w:sz="4" w:space="0" w:color="000000"/>
              <w:right w:val="single" w:sz="4" w:space="0" w:color="000000"/>
            </w:tcBorders>
            <w:shd w:val="clear" w:color="auto" w:fill="auto"/>
            <w:vAlign w:val="center"/>
          </w:tcPr>
          <w:p w14:paraId="7A3B7137" w14:textId="77777777" w:rsidR="00E50B37" w:rsidRDefault="00645276">
            <w:pPr>
              <w:widowControl w:val="0"/>
              <w:spacing w:line="240" w:lineRule="auto"/>
              <w:jc w:val="center"/>
              <w:rPr>
                <w:rFonts w:ascii="Arial" w:eastAsia="Times New Roman" w:hAnsi="Arial"/>
                <w:b/>
                <w:bCs/>
                <w:sz w:val="10"/>
                <w:szCs w:val="10"/>
              </w:rPr>
            </w:pPr>
            <w:r>
              <w:rPr>
                <w:rFonts w:ascii="Arial" w:eastAsia="Times New Roman" w:hAnsi="Arial"/>
                <w:b/>
                <w:bCs/>
                <w:sz w:val="10"/>
                <w:szCs w:val="10"/>
              </w:rPr>
              <w:t>II</w:t>
            </w:r>
          </w:p>
        </w:tc>
        <w:tc>
          <w:tcPr>
            <w:tcW w:w="299" w:type="dxa"/>
            <w:tcBorders>
              <w:bottom w:val="single" w:sz="4" w:space="0" w:color="000000"/>
              <w:right w:val="single" w:sz="4" w:space="0" w:color="000000"/>
            </w:tcBorders>
            <w:shd w:val="clear" w:color="auto" w:fill="auto"/>
            <w:vAlign w:val="center"/>
          </w:tcPr>
          <w:p w14:paraId="557352C0" w14:textId="77777777" w:rsidR="00E50B37" w:rsidRDefault="00645276">
            <w:pPr>
              <w:widowControl w:val="0"/>
              <w:spacing w:line="240" w:lineRule="auto"/>
              <w:jc w:val="center"/>
              <w:rPr>
                <w:rFonts w:ascii="Arial" w:eastAsia="Times New Roman" w:hAnsi="Arial"/>
                <w:b/>
                <w:bCs/>
                <w:sz w:val="10"/>
                <w:szCs w:val="10"/>
              </w:rPr>
            </w:pPr>
            <w:r>
              <w:rPr>
                <w:rFonts w:ascii="Arial" w:eastAsia="Times New Roman" w:hAnsi="Arial"/>
                <w:b/>
                <w:bCs/>
                <w:sz w:val="10"/>
                <w:szCs w:val="10"/>
              </w:rPr>
              <w:t>III</w:t>
            </w:r>
          </w:p>
        </w:tc>
        <w:tc>
          <w:tcPr>
            <w:tcW w:w="312" w:type="dxa"/>
            <w:tcBorders>
              <w:bottom w:val="single" w:sz="4" w:space="0" w:color="000000"/>
              <w:right w:val="single" w:sz="4" w:space="0" w:color="000000"/>
            </w:tcBorders>
            <w:shd w:val="clear" w:color="auto" w:fill="auto"/>
            <w:vAlign w:val="center"/>
          </w:tcPr>
          <w:p w14:paraId="443A6EAF" w14:textId="77777777" w:rsidR="00E50B37" w:rsidRDefault="00645276">
            <w:pPr>
              <w:widowControl w:val="0"/>
              <w:spacing w:line="240" w:lineRule="auto"/>
              <w:jc w:val="center"/>
              <w:rPr>
                <w:rFonts w:ascii="Arial" w:eastAsia="Times New Roman" w:hAnsi="Arial"/>
                <w:b/>
                <w:bCs/>
                <w:sz w:val="10"/>
                <w:szCs w:val="10"/>
              </w:rPr>
            </w:pPr>
            <w:r>
              <w:rPr>
                <w:rFonts w:ascii="Arial" w:eastAsia="Times New Roman" w:hAnsi="Arial"/>
                <w:b/>
                <w:bCs/>
                <w:sz w:val="10"/>
                <w:szCs w:val="10"/>
              </w:rPr>
              <w:t>IV</w:t>
            </w:r>
          </w:p>
        </w:tc>
        <w:tc>
          <w:tcPr>
            <w:tcW w:w="490" w:type="dxa"/>
            <w:tcBorders>
              <w:bottom w:val="single" w:sz="4" w:space="0" w:color="000000"/>
              <w:right w:val="single" w:sz="4" w:space="0" w:color="000000"/>
            </w:tcBorders>
            <w:shd w:val="clear" w:color="auto" w:fill="auto"/>
            <w:vAlign w:val="center"/>
          </w:tcPr>
          <w:p w14:paraId="10B50EBD" w14:textId="77777777" w:rsidR="00E50B37" w:rsidRDefault="00645276">
            <w:pPr>
              <w:widowControl w:val="0"/>
              <w:spacing w:line="240" w:lineRule="auto"/>
              <w:jc w:val="center"/>
              <w:rPr>
                <w:rFonts w:ascii="Arial" w:eastAsia="Times New Roman" w:hAnsi="Arial"/>
                <w:b/>
                <w:bCs/>
                <w:sz w:val="10"/>
                <w:szCs w:val="10"/>
              </w:rPr>
            </w:pPr>
            <w:r>
              <w:rPr>
                <w:rFonts w:ascii="Arial" w:eastAsia="Times New Roman" w:hAnsi="Arial"/>
                <w:b/>
                <w:bCs/>
                <w:sz w:val="10"/>
                <w:szCs w:val="10"/>
              </w:rPr>
              <w:t>2021</w:t>
            </w:r>
          </w:p>
        </w:tc>
        <w:tc>
          <w:tcPr>
            <w:tcW w:w="487" w:type="dxa"/>
            <w:tcBorders>
              <w:bottom w:val="single" w:sz="4" w:space="0" w:color="000000"/>
              <w:right w:val="single" w:sz="4" w:space="0" w:color="000000"/>
            </w:tcBorders>
            <w:shd w:val="clear" w:color="auto" w:fill="auto"/>
            <w:vAlign w:val="center"/>
          </w:tcPr>
          <w:p w14:paraId="0D031000" w14:textId="77777777" w:rsidR="00E50B37" w:rsidRDefault="00645276">
            <w:pPr>
              <w:widowControl w:val="0"/>
              <w:spacing w:line="240" w:lineRule="auto"/>
              <w:jc w:val="center"/>
              <w:rPr>
                <w:rFonts w:ascii="Arial" w:eastAsia="Times New Roman" w:hAnsi="Arial"/>
                <w:b/>
                <w:bCs/>
                <w:sz w:val="10"/>
                <w:szCs w:val="10"/>
              </w:rPr>
            </w:pPr>
            <w:r>
              <w:rPr>
                <w:rFonts w:ascii="Arial" w:eastAsia="Times New Roman" w:hAnsi="Arial"/>
                <w:b/>
                <w:bCs/>
                <w:sz w:val="10"/>
                <w:szCs w:val="10"/>
              </w:rPr>
              <w:t>2022</w:t>
            </w:r>
          </w:p>
        </w:tc>
        <w:tc>
          <w:tcPr>
            <w:tcW w:w="489" w:type="dxa"/>
            <w:tcBorders>
              <w:bottom w:val="single" w:sz="4" w:space="0" w:color="000000"/>
              <w:right w:val="single" w:sz="4" w:space="0" w:color="000000"/>
            </w:tcBorders>
            <w:shd w:val="clear" w:color="auto" w:fill="auto"/>
            <w:vAlign w:val="center"/>
          </w:tcPr>
          <w:p w14:paraId="49899156" w14:textId="77777777" w:rsidR="00E50B37" w:rsidRDefault="00645276">
            <w:pPr>
              <w:widowControl w:val="0"/>
              <w:spacing w:line="240" w:lineRule="auto"/>
              <w:jc w:val="center"/>
              <w:rPr>
                <w:rFonts w:ascii="Arial" w:eastAsia="Times New Roman" w:hAnsi="Arial"/>
                <w:b/>
                <w:bCs/>
                <w:sz w:val="10"/>
                <w:szCs w:val="10"/>
              </w:rPr>
            </w:pPr>
            <w:r>
              <w:rPr>
                <w:rFonts w:ascii="Arial" w:eastAsia="Times New Roman" w:hAnsi="Arial"/>
                <w:b/>
                <w:bCs/>
                <w:sz w:val="10"/>
                <w:szCs w:val="10"/>
              </w:rPr>
              <w:t>2023</w:t>
            </w:r>
          </w:p>
        </w:tc>
        <w:tc>
          <w:tcPr>
            <w:tcW w:w="489" w:type="dxa"/>
            <w:tcBorders>
              <w:bottom w:val="single" w:sz="4" w:space="0" w:color="000000"/>
              <w:right w:val="single" w:sz="4" w:space="0" w:color="000000"/>
            </w:tcBorders>
            <w:shd w:val="clear" w:color="auto" w:fill="auto"/>
            <w:vAlign w:val="center"/>
          </w:tcPr>
          <w:p w14:paraId="3D997911" w14:textId="77777777" w:rsidR="00E50B37" w:rsidRDefault="00645276">
            <w:pPr>
              <w:widowControl w:val="0"/>
              <w:spacing w:line="240" w:lineRule="auto"/>
              <w:jc w:val="center"/>
              <w:rPr>
                <w:rFonts w:ascii="Arial" w:eastAsia="Times New Roman" w:hAnsi="Arial"/>
                <w:b/>
                <w:bCs/>
                <w:sz w:val="10"/>
                <w:szCs w:val="10"/>
              </w:rPr>
            </w:pPr>
            <w:r>
              <w:rPr>
                <w:rFonts w:ascii="Arial" w:eastAsia="Times New Roman" w:hAnsi="Arial"/>
                <w:b/>
                <w:bCs/>
                <w:sz w:val="10"/>
                <w:szCs w:val="10"/>
              </w:rPr>
              <w:t>2024</w:t>
            </w:r>
          </w:p>
        </w:tc>
        <w:tc>
          <w:tcPr>
            <w:tcW w:w="813" w:type="dxa"/>
            <w:vMerge/>
          </w:tcPr>
          <w:p w14:paraId="43C65F70" w14:textId="77777777" w:rsidR="00E50B37" w:rsidRDefault="00E50B37">
            <w:pPr>
              <w:widowControl w:val="0"/>
              <w:spacing w:line="240" w:lineRule="auto"/>
              <w:jc w:val="center"/>
              <w:rPr>
                <w:rFonts w:ascii="Arial" w:eastAsia="Times New Roman" w:hAnsi="Arial"/>
                <w:b/>
                <w:bCs/>
                <w:sz w:val="10"/>
                <w:szCs w:val="10"/>
              </w:rPr>
            </w:pPr>
          </w:p>
        </w:tc>
      </w:tr>
      <w:tr w:rsidR="00E50B37" w14:paraId="1641384A" w14:textId="77777777">
        <w:trPr>
          <w:trHeight w:val="255"/>
        </w:trPr>
        <w:tc>
          <w:tcPr>
            <w:tcW w:w="1483" w:type="dxa"/>
            <w:tcBorders>
              <w:top w:val="single" w:sz="4" w:space="0" w:color="000000"/>
              <w:left w:val="single" w:sz="4" w:space="0" w:color="000000"/>
              <w:bottom w:val="single" w:sz="2" w:space="0" w:color="000000"/>
              <w:right w:val="single" w:sz="4" w:space="0" w:color="000000"/>
            </w:tcBorders>
            <w:shd w:val="clear" w:color="auto" w:fill="FFFFFF" w:themeFill="background1"/>
            <w:vAlign w:val="bottom"/>
          </w:tcPr>
          <w:p w14:paraId="63FA5E90" w14:textId="77777777" w:rsidR="00E50B37" w:rsidRDefault="00645276">
            <w:pPr>
              <w:widowControl w:val="0"/>
              <w:spacing w:line="240" w:lineRule="auto"/>
              <w:jc w:val="center"/>
              <w:rPr>
                <w:sz w:val="10"/>
                <w:szCs w:val="10"/>
              </w:rPr>
            </w:pPr>
            <w:r>
              <w:rPr>
                <w:sz w:val="10"/>
                <w:szCs w:val="10"/>
              </w:rPr>
              <w:t>Reālā IKP izaugsme</w:t>
            </w:r>
          </w:p>
        </w:tc>
        <w:tc>
          <w:tcPr>
            <w:tcW w:w="634" w:type="dxa"/>
            <w:tcBorders>
              <w:top w:val="single" w:sz="4" w:space="0" w:color="000000"/>
              <w:bottom w:val="single" w:sz="2" w:space="0" w:color="000000"/>
              <w:right w:val="single" w:sz="4" w:space="0" w:color="000000"/>
            </w:tcBorders>
            <w:shd w:val="clear" w:color="auto" w:fill="FFFFFF" w:themeFill="background1"/>
            <w:vAlign w:val="bottom"/>
          </w:tcPr>
          <w:p w14:paraId="170A9EA5" w14:textId="77777777" w:rsidR="00E50B37" w:rsidRDefault="00645276">
            <w:pPr>
              <w:widowControl w:val="0"/>
              <w:spacing w:line="240" w:lineRule="auto"/>
              <w:jc w:val="center"/>
              <w:rPr>
                <w:sz w:val="10"/>
                <w:szCs w:val="10"/>
              </w:rPr>
            </w:pPr>
            <w:r>
              <w:rPr>
                <w:sz w:val="10"/>
                <w:szCs w:val="10"/>
              </w:rPr>
              <w:t>-1.3%</w:t>
            </w:r>
          </w:p>
        </w:tc>
        <w:tc>
          <w:tcPr>
            <w:tcW w:w="634" w:type="dxa"/>
            <w:tcBorders>
              <w:top w:val="single" w:sz="4" w:space="0" w:color="000000"/>
              <w:bottom w:val="single" w:sz="2" w:space="0" w:color="000000"/>
              <w:right w:val="single" w:sz="4" w:space="0" w:color="000000"/>
            </w:tcBorders>
            <w:shd w:val="clear" w:color="auto" w:fill="FFFFFF" w:themeFill="background1"/>
            <w:vAlign w:val="bottom"/>
          </w:tcPr>
          <w:p w14:paraId="0D74DBBD" w14:textId="77777777" w:rsidR="00E50B37" w:rsidRDefault="00645276">
            <w:pPr>
              <w:widowControl w:val="0"/>
              <w:spacing w:line="240" w:lineRule="auto"/>
              <w:jc w:val="center"/>
              <w:rPr>
                <w:sz w:val="10"/>
                <w:szCs w:val="10"/>
              </w:rPr>
            </w:pPr>
            <w:r>
              <w:rPr>
                <w:sz w:val="10"/>
                <w:szCs w:val="10"/>
              </w:rPr>
              <w:t>-8.4%</w:t>
            </w:r>
          </w:p>
        </w:tc>
        <w:tc>
          <w:tcPr>
            <w:tcW w:w="636" w:type="dxa"/>
            <w:tcBorders>
              <w:top w:val="single" w:sz="4" w:space="0" w:color="000000"/>
              <w:bottom w:val="single" w:sz="2" w:space="0" w:color="000000"/>
              <w:right w:val="single" w:sz="4" w:space="0" w:color="000000"/>
            </w:tcBorders>
            <w:shd w:val="clear" w:color="auto" w:fill="FFFFFF" w:themeFill="background1"/>
            <w:vAlign w:val="bottom"/>
          </w:tcPr>
          <w:p w14:paraId="571E9330" w14:textId="77777777" w:rsidR="00E50B37" w:rsidRDefault="00645276">
            <w:pPr>
              <w:widowControl w:val="0"/>
              <w:spacing w:line="240" w:lineRule="auto"/>
              <w:jc w:val="center"/>
              <w:rPr>
                <w:sz w:val="10"/>
                <w:szCs w:val="10"/>
              </w:rPr>
            </w:pPr>
            <w:r>
              <w:rPr>
                <w:sz w:val="10"/>
                <w:szCs w:val="10"/>
              </w:rPr>
              <w:t>-2.9%</w:t>
            </w:r>
          </w:p>
        </w:tc>
        <w:tc>
          <w:tcPr>
            <w:tcW w:w="637" w:type="dxa"/>
            <w:tcBorders>
              <w:top w:val="single" w:sz="4" w:space="0" w:color="000000"/>
              <w:bottom w:val="single" w:sz="2" w:space="0" w:color="000000"/>
              <w:right w:val="single" w:sz="4" w:space="0" w:color="000000"/>
            </w:tcBorders>
            <w:shd w:val="clear" w:color="auto" w:fill="FFFFFF" w:themeFill="background1"/>
            <w:vAlign w:val="bottom"/>
          </w:tcPr>
          <w:p w14:paraId="4B0174C0" w14:textId="77777777" w:rsidR="00E50B37" w:rsidRDefault="00645276">
            <w:pPr>
              <w:widowControl w:val="0"/>
              <w:spacing w:line="240" w:lineRule="auto"/>
              <w:jc w:val="center"/>
              <w:rPr>
                <w:sz w:val="10"/>
                <w:szCs w:val="10"/>
              </w:rPr>
            </w:pPr>
            <w:r>
              <w:rPr>
                <w:sz w:val="10"/>
                <w:szCs w:val="10"/>
              </w:rPr>
              <w:t>-1.8%</w:t>
            </w:r>
          </w:p>
        </w:tc>
        <w:tc>
          <w:tcPr>
            <w:tcW w:w="637" w:type="dxa"/>
            <w:tcBorders>
              <w:top w:val="single" w:sz="4" w:space="0" w:color="000000"/>
              <w:bottom w:val="single" w:sz="2" w:space="0" w:color="000000"/>
              <w:right w:val="single" w:sz="4" w:space="0" w:color="000000"/>
            </w:tcBorders>
            <w:shd w:val="clear" w:color="auto" w:fill="FFFFFF" w:themeFill="background1"/>
            <w:vAlign w:val="bottom"/>
          </w:tcPr>
          <w:p w14:paraId="11E8BB33" w14:textId="77777777" w:rsidR="00E50B37" w:rsidRDefault="00645276">
            <w:pPr>
              <w:widowControl w:val="0"/>
              <w:spacing w:line="240" w:lineRule="auto"/>
              <w:jc w:val="center"/>
              <w:rPr>
                <w:sz w:val="10"/>
                <w:szCs w:val="10"/>
              </w:rPr>
            </w:pPr>
            <w:r>
              <w:rPr>
                <w:sz w:val="10"/>
                <w:szCs w:val="10"/>
              </w:rPr>
              <w:t>-3.6%</w:t>
            </w:r>
          </w:p>
        </w:tc>
        <w:tc>
          <w:tcPr>
            <w:tcW w:w="637" w:type="dxa"/>
            <w:tcBorders>
              <w:top w:val="single" w:sz="4" w:space="0" w:color="000000"/>
              <w:bottom w:val="single" w:sz="2" w:space="0" w:color="000000"/>
              <w:right w:val="single" w:sz="4" w:space="0" w:color="000000"/>
            </w:tcBorders>
            <w:shd w:val="clear" w:color="auto" w:fill="auto"/>
            <w:vAlign w:val="bottom"/>
          </w:tcPr>
          <w:p w14:paraId="28625803" w14:textId="77777777" w:rsidR="00E50B37" w:rsidRDefault="00645276">
            <w:pPr>
              <w:widowControl w:val="0"/>
              <w:spacing w:line="240" w:lineRule="auto"/>
              <w:jc w:val="center"/>
              <w:rPr>
                <w:sz w:val="10"/>
                <w:szCs w:val="10"/>
              </w:rPr>
            </w:pPr>
            <w:r>
              <w:rPr>
                <w:sz w:val="10"/>
                <w:szCs w:val="10"/>
              </w:rPr>
              <w:t>-0.2%</w:t>
            </w:r>
          </w:p>
        </w:tc>
        <w:tc>
          <w:tcPr>
            <w:tcW w:w="677" w:type="dxa"/>
            <w:tcBorders>
              <w:top w:val="single" w:sz="4" w:space="0" w:color="000000"/>
              <w:bottom w:val="single" w:sz="2" w:space="0" w:color="000000"/>
              <w:right w:val="single" w:sz="4" w:space="0" w:color="000000"/>
            </w:tcBorders>
            <w:shd w:val="clear" w:color="auto" w:fill="FFFFFF" w:themeFill="background1"/>
            <w:vAlign w:val="bottom"/>
          </w:tcPr>
          <w:p w14:paraId="5FD745AD" w14:textId="77777777" w:rsidR="00E50B37" w:rsidRDefault="00645276">
            <w:pPr>
              <w:widowControl w:val="0"/>
              <w:spacing w:line="240" w:lineRule="auto"/>
              <w:jc w:val="center"/>
              <w:rPr>
                <w:sz w:val="10"/>
                <w:szCs w:val="10"/>
              </w:rPr>
            </w:pPr>
            <w:r>
              <w:rPr>
                <w:sz w:val="10"/>
                <w:szCs w:val="10"/>
              </w:rPr>
              <w:t>10.5%</w:t>
            </w:r>
          </w:p>
        </w:tc>
        <w:tc>
          <w:tcPr>
            <w:tcW w:w="299" w:type="dxa"/>
            <w:tcBorders>
              <w:top w:val="single" w:sz="4" w:space="0" w:color="000000"/>
              <w:bottom w:val="single" w:sz="2" w:space="0" w:color="000000"/>
              <w:right w:val="single" w:sz="4" w:space="0" w:color="000000"/>
            </w:tcBorders>
            <w:shd w:val="clear" w:color="auto" w:fill="FFFFFF" w:themeFill="background1"/>
            <w:vAlign w:val="center"/>
          </w:tcPr>
          <w:p w14:paraId="6098EED6" w14:textId="77777777" w:rsidR="00E50B37" w:rsidRDefault="00645276">
            <w:pPr>
              <w:widowControl w:val="0"/>
              <w:spacing w:line="240" w:lineRule="auto"/>
              <w:jc w:val="center"/>
              <w:rPr>
                <w:sz w:val="10"/>
                <w:szCs w:val="10"/>
              </w:rPr>
            </w:pPr>
            <w:r>
              <w:rPr>
                <w:sz w:val="10"/>
                <w:szCs w:val="10"/>
              </w:rPr>
              <w:t>-</w:t>
            </w:r>
          </w:p>
        </w:tc>
        <w:tc>
          <w:tcPr>
            <w:tcW w:w="312" w:type="dxa"/>
            <w:tcBorders>
              <w:top w:val="single" w:sz="4" w:space="0" w:color="000000"/>
              <w:bottom w:val="single" w:sz="2" w:space="0" w:color="000000"/>
              <w:right w:val="single" w:sz="4" w:space="0" w:color="000000"/>
            </w:tcBorders>
            <w:shd w:val="clear" w:color="auto" w:fill="FFFFFF" w:themeFill="background1"/>
            <w:vAlign w:val="center"/>
          </w:tcPr>
          <w:p w14:paraId="660F84A5" w14:textId="77777777" w:rsidR="00E50B37" w:rsidRDefault="00645276">
            <w:pPr>
              <w:widowControl w:val="0"/>
              <w:spacing w:line="240" w:lineRule="auto"/>
              <w:jc w:val="center"/>
              <w:rPr>
                <w:sz w:val="10"/>
                <w:szCs w:val="10"/>
              </w:rPr>
            </w:pPr>
            <w:r>
              <w:rPr>
                <w:sz w:val="10"/>
                <w:szCs w:val="10"/>
              </w:rPr>
              <w:t>-</w:t>
            </w:r>
          </w:p>
        </w:tc>
        <w:tc>
          <w:tcPr>
            <w:tcW w:w="490" w:type="dxa"/>
            <w:tcBorders>
              <w:top w:val="single" w:sz="4" w:space="0" w:color="000000"/>
              <w:bottom w:val="single" w:sz="2" w:space="0" w:color="000000"/>
              <w:right w:val="single" w:sz="4" w:space="0" w:color="000000"/>
            </w:tcBorders>
            <w:shd w:val="clear" w:color="auto" w:fill="auto"/>
            <w:vAlign w:val="bottom"/>
          </w:tcPr>
          <w:p w14:paraId="7C60A646" w14:textId="77777777" w:rsidR="00E50B37" w:rsidRDefault="00645276">
            <w:pPr>
              <w:widowControl w:val="0"/>
              <w:spacing w:line="240" w:lineRule="auto"/>
              <w:jc w:val="center"/>
              <w:rPr>
                <w:sz w:val="10"/>
                <w:szCs w:val="10"/>
              </w:rPr>
            </w:pPr>
            <w:r>
              <w:rPr>
                <w:sz w:val="10"/>
                <w:szCs w:val="10"/>
              </w:rPr>
              <w:t>3.7%</w:t>
            </w:r>
          </w:p>
        </w:tc>
        <w:tc>
          <w:tcPr>
            <w:tcW w:w="487" w:type="dxa"/>
            <w:tcBorders>
              <w:top w:val="single" w:sz="4" w:space="0" w:color="000000"/>
              <w:bottom w:val="single" w:sz="2" w:space="0" w:color="000000"/>
              <w:right w:val="single" w:sz="4" w:space="0" w:color="000000"/>
            </w:tcBorders>
            <w:shd w:val="clear" w:color="auto" w:fill="auto"/>
            <w:vAlign w:val="bottom"/>
          </w:tcPr>
          <w:p w14:paraId="22D7C0B2" w14:textId="77777777" w:rsidR="00E50B37" w:rsidRDefault="00645276">
            <w:pPr>
              <w:widowControl w:val="0"/>
              <w:spacing w:line="240" w:lineRule="auto"/>
              <w:jc w:val="center"/>
              <w:rPr>
                <w:sz w:val="10"/>
                <w:szCs w:val="10"/>
              </w:rPr>
            </w:pPr>
            <w:r>
              <w:rPr>
                <w:sz w:val="10"/>
                <w:szCs w:val="10"/>
              </w:rPr>
              <w:t>5.0%</w:t>
            </w:r>
          </w:p>
        </w:tc>
        <w:tc>
          <w:tcPr>
            <w:tcW w:w="489" w:type="dxa"/>
            <w:tcBorders>
              <w:top w:val="single" w:sz="4" w:space="0" w:color="000000"/>
              <w:bottom w:val="single" w:sz="2" w:space="0" w:color="000000"/>
              <w:right w:val="single" w:sz="4" w:space="0" w:color="000000"/>
            </w:tcBorders>
            <w:shd w:val="clear" w:color="auto" w:fill="auto"/>
            <w:vAlign w:val="bottom"/>
          </w:tcPr>
          <w:p w14:paraId="4A082A7B" w14:textId="77777777" w:rsidR="00E50B37" w:rsidRDefault="00645276">
            <w:pPr>
              <w:widowControl w:val="0"/>
              <w:spacing w:line="240" w:lineRule="auto"/>
              <w:jc w:val="center"/>
              <w:rPr>
                <w:sz w:val="10"/>
                <w:szCs w:val="10"/>
              </w:rPr>
            </w:pPr>
            <w:r>
              <w:rPr>
                <w:sz w:val="10"/>
                <w:szCs w:val="10"/>
              </w:rPr>
              <w:t>3.5%</w:t>
            </w:r>
          </w:p>
        </w:tc>
        <w:tc>
          <w:tcPr>
            <w:tcW w:w="489" w:type="dxa"/>
            <w:tcBorders>
              <w:top w:val="single" w:sz="4" w:space="0" w:color="000000"/>
              <w:bottom w:val="single" w:sz="2" w:space="0" w:color="000000"/>
              <w:right w:val="single" w:sz="4" w:space="0" w:color="000000"/>
            </w:tcBorders>
            <w:shd w:val="clear" w:color="auto" w:fill="auto"/>
            <w:vAlign w:val="bottom"/>
          </w:tcPr>
          <w:p w14:paraId="365284E7" w14:textId="77777777" w:rsidR="00E50B37" w:rsidRDefault="00645276">
            <w:pPr>
              <w:widowControl w:val="0"/>
              <w:spacing w:line="240" w:lineRule="auto"/>
              <w:jc w:val="center"/>
              <w:rPr>
                <w:sz w:val="10"/>
                <w:szCs w:val="10"/>
              </w:rPr>
            </w:pPr>
            <w:r>
              <w:rPr>
                <w:sz w:val="10"/>
                <w:szCs w:val="10"/>
              </w:rPr>
              <w:t>3.4%</w:t>
            </w:r>
          </w:p>
        </w:tc>
        <w:tc>
          <w:tcPr>
            <w:tcW w:w="813" w:type="dxa"/>
            <w:tcBorders>
              <w:top w:val="single" w:sz="4" w:space="0" w:color="000000"/>
              <w:bottom w:val="single" w:sz="2" w:space="0" w:color="000000"/>
              <w:right w:val="single" w:sz="4" w:space="0" w:color="000000"/>
            </w:tcBorders>
          </w:tcPr>
          <w:p w14:paraId="16C1720E" w14:textId="77777777" w:rsidR="00E50B37" w:rsidRDefault="00645276">
            <w:pPr>
              <w:widowControl w:val="0"/>
              <w:spacing w:line="240" w:lineRule="auto"/>
              <w:jc w:val="center"/>
              <w:rPr>
                <w:sz w:val="10"/>
                <w:szCs w:val="10"/>
              </w:rPr>
            </w:pPr>
            <w:r>
              <w:rPr>
                <w:sz w:val="10"/>
                <w:szCs w:val="10"/>
              </w:rPr>
              <w:t>Augstāk par prognozēto</w:t>
            </w:r>
          </w:p>
        </w:tc>
      </w:tr>
      <w:tr w:rsidR="00E50B37" w14:paraId="62156903" w14:textId="77777777">
        <w:trPr>
          <w:trHeight w:val="255"/>
        </w:trPr>
        <w:tc>
          <w:tcPr>
            <w:tcW w:w="1483" w:type="dxa"/>
            <w:tcBorders>
              <w:top w:val="single" w:sz="2" w:space="0" w:color="000000"/>
              <w:left w:val="single" w:sz="4" w:space="0" w:color="000000"/>
              <w:bottom w:val="single" w:sz="2" w:space="0" w:color="000000"/>
              <w:right w:val="single" w:sz="4" w:space="0" w:color="000000"/>
            </w:tcBorders>
            <w:shd w:val="clear" w:color="auto" w:fill="FFFFFF" w:themeFill="background1"/>
            <w:vAlign w:val="bottom"/>
          </w:tcPr>
          <w:p w14:paraId="5F192102" w14:textId="77777777" w:rsidR="00E50B37" w:rsidRDefault="00645276">
            <w:pPr>
              <w:widowControl w:val="0"/>
              <w:spacing w:line="240" w:lineRule="auto"/>
              <w:jc w:val="center"/>
              <w:rPr>
                <w:sz w:val="10"/>
                <w:szCs w:val="10"/>
              </w:rPr>
            </w:pPr>
            <w:r>
              <w:rPr>
                <w:sz w:val="10"/>
                <w:szCs w:val="10"/>
              </w:rPr>
              <w:t>Nominālā IKP izaugsme</w:t>
            </w:r>
          </w:p>
        </w:tc>
        <w:tc>
          <w:tcPr>
            <w:tcW w:w="634" w:type="dxa"/>
            <w:tcBorders>
              <w:top w:val="single" w:sz="2" w:space="0" w:color="000000"/>
              <w:bottom w:val="single" w:sz="2" w:space="0" w:color="000000"/>
              <w:right w:val="single" w:sz="4" w:space="0" w:color="000000"/>
            </w:tcBorders>
            <w:shd w:val="clear" w:color="auto" w:fill="FFFFFF" w:themeFill="background1"/>
            <w:vAlign w:val="bottom"/>
          </w:tcPr>
          <w:p w14:paraId="6214376B" w14:textId="77777777" w:rsidR="00E50B37" w:rsidRDefault="00645276">
            <w:pPr>
              <w:widowControl w:val="0"/>
              <w:spacing w:line="240" w:lineRule="auto"/>
              <w:jc w:val="center"/>
              <w:rPr>
                <w:sz w:val="10"/>
                <w:szCs w:val="10"/>
              </w:rPr>
            </w:pPr>
            <w:r>
              <w:rPr>
                <w:sz w:val="10"/>
                <w:szCs w:val="10"/>
              </w:rPr>
              <w:t>0.6%</w:t>
            </w:r>
          </w:p>
        </w:tc>
        <w:tc>
          <w:tcPr>
            <w:tcW w:w="634" w:type="dxa"/>
            <w:tcBorders>
              <w:top w:val="single" w:sz="2" w:space="0" w:color="000000"/>
              <w:bottom w:val="single" w:sz="2" w:space="0" w:color="000000"/>
              <w:right w:val="single" w:sz="4" w:space="0" w:color="000000"/>
            </w:tcBorders>
            <w:shd w:val="clear" w:color="auto" w:fill="FFFFFF" w:themeFill="background1"/>
            <w:vAlign w:val="bottom"/>
          </w:tcPr>
          <w:p w14:paraId="3C9F0114" w14:textId="77777777" w:rsidR="00E50B37" w:rsidRDefault="00645276">
            <w:pPr>
              <w:widowControl w:val="0"/>
              <w:spacing w:line="240" w:lineRule="auto"/>
              <w:jc w:val="center"/>
              <w:rPr>
                <w:sz w:val="10"/>
                <w:szCs w:val="10"/>
              </w:rPr>
            </w:pPr>
            <w:r>
              <w:rPr>
                <w:sz w:val="10"/>
                <w:szCs w:val="10"/>
              </w:rPr>
              <w:t>-9.2%</w:t>
            </w:r>
          </w:p>
        </w:tc>
        <w:tc>
          <w:tcPr>
            <w:tcW w:w="636" w:type="dxa"/>
            <w:tcBorders>
              <w:top w:val="single" w:sz="2" w:space="0" w:color="000000"/>
              <w:bottom w:val="single" w:sz="2" w:space="0" w:color="000000"/>
              <w:right w:val="single" w:sz="4" w:space="0" w:color="000000"/>
            </w:tcBorders>
            <w:shd w:val="clear" w:color="auto" w:fill="FFFFFF" w:themeFill="background1"/>
            <w:vAlign w:val="bottom"/>
          </w:tcPr>
          <w:p w14:paraId="3AF923BF" w14:textId="77777777" w:rsidR="00E50B37" w:rsidRDefault="00645276">
            <w:pPr>
              <w:widowControl w:val="0"/>
              <w:spacing w:line="240" w:lineRule="auto"/>
              <w:jc w:val="center"/>
              <w:rPr>
                <w:sz w:val="10"/>
                <w:szCs w:val="10"/>
              </w:rPr>
            </w:pPr>
            <w:r>
              <w:rPr>
                <w:sz w:val="10"/>
                <w:szCs w:val="10"/>
              </w:rPr>
              <w:t>-4.2%</w:t>
            </w:r>
          </w:p>
        </w:tc>
        <w:tc>
          <w:tcPr>
            <w:tcW w:w="637" w:type="dxa"/>
            <w:tcBorders>
              <w:top w:val="single" w:sz="2" w:space="0" w:color="000000"/>
              <w:bottom w:val="single" w:sz="2" w:space="0" w:color="000000"/>
              <w:right w:val="single" w:sz="4" w:space="0" w:color="000000"/>
            </w:tcBorders>
            <w:shd w:val="clear" w:color="auto" w:fill="FFFFFF" w:themeFill="background1"/>
            <w:vAlign w:val="bottom"/>
          </w:tcPr>
          <w:p w14:paraId="02DD3B2B" w14:textId="77777777" w:rsidR="00E50B37" w:rsidRDefault="00645276">
            <w:pPr>
              <w:widowControl w:val="0"/>
              <w:spacing w:line="240" w:lineRule="auto"/>
              <w:jc w:val="center"/>
              <w:rPr>
                <w:sz w:val="10"/>
                <w:szCs w:val="10"/>
              </w:rPr>
            </w:pPr>
            <w:r>
              <w:rPr>
                <w:sz w:val="10"/>
                <w:szCs w:val="10"/>
              </w:rPr>
              <w:t>-1.8%</w:t>
            </w:r>
          </w:p>
        </w:tc>
        <w:tc>
          <w:tcPr>
            <w:tcW w:w="637" w:type="dxa"/>
            <w:tcBorders>
              <w:top w:val="single" w:sz="2" w:space="0" w:color="000000"/>
              <w:bottom w:val="single" w:sz="2" w:space="0" w:color="000000"/>
              <w:right w:val="single" w:sz="4" w:space="0" w:color="000000"/>
            </w:tcBorders>
            <w:shd w:val="clear" w:color="auto" w:fill="FFFFFF" w:themeFill="background1"/>
            <w:vAlign w:val="bottom"/>
          </w:tcPr>
          <w:p w14:paraId="7C339FDB" w14:textId="77777777" w:rsidR="00E50B37" w:rsidRDefault="00645276">
            <w:pPr>
              <w:widowControl w:val="0"/>
              <w:spacing w:line="240" w:lineRule="auto"/>
              <w:jc w:val="center"/>
              <w:rPr>
                <w:sz w:val="10"/>
                <w:szCs w:val="10"/>
              </w:rPr>
            </w:pPr>
            <w:r>
              <w:rPr>
                <w:sz w:val="10"/>
                <w:szCs w:val="10"/>
              </w:rPr>
              <w:t>-3.7%</w:t>
            </w:r>
          </w:p>
        </w:tc>
        <w:tc>
          <w:tcPr>
            <w:tcW w:w="637" w:type="dxa"/>
            <w:tcBorders>
              <w:top w:val="single" w:sz="2" w:space="0" w:color="000000"/>
              <w:bottom w:val="single" w:sz="2" w:space="0" w:color="000000"/>
              <w:right w:val="single" w:sz="4" w:space="0" w:color="000000"/>
            </w:tcBorders>
            <w:shd w:val="clear" w:color="auto" w:fill="auto"/>
            <w:vAlign w:val="bottom"/>
          </w:tcPr>
          <w:p w14:paraId="6388A073" w14:textId="77777777" w:rsidR="00E50B37" w:rsidRDefault="00645276">
            <w:pPr>
              <w:widowControl w:val="0"/>
              <w:spacing w:line="240" w:lineRule="auto"/>
              <w:jc w:val="center"/>
              <w:rPr>
                <w:sz w:val="10"/>
                <w:szCs w:val="10"/>
              </w:rPr>
            </w:pPr>
            <w:r>
              <w:rPr>
                <w:sz w:val="10"/>
                <w:szCs w:val="10"/>
              </w:rPr>
              <w:t>1.7%</w:t>
            </w:r>
          </w:p>
        </w:tc>
        <w:tc>
          <w:tcPr>
            <w:tcW w:w="677" w:type="dxa"/>
            <w:tcBorders>
              <w:top w:val="single" w:sz="2" w:space="0" w:color="000000"/>
              <w:bottom w:val="single" w:sz="2" w:space="0" w:color="000000"/>
              <w:right w:val="single" w:sz="4" w:space="0" w:color="000000"/>
            </w:tcBorders>
            <w:shd w:val="clear" w:color="auto" w:fill="FFFFFF" w:themeFill="background1"/>
            <w:vAlign w:val="bottom"/>
          </w:tcPr>
          <w:p w14:paraId="0B805158" w14:textId="77777777" w:rsidR="00E50B37" w:rsidRDefault="00645276">
            <w:pPr>
              <w:widowControl w:val="0"/>
              <w:spacing w:line="240" w:lineRule="auto"/>
              <w:jc w:val="center"/>
              <w:rPr>
                <w:sz w:val="10"/>
                <w:szCs w:val="10"/>
              </w:rPr>
            </w:pPr>
            <w:r>
              <w:rPr>
                <w:sz w:val="10"/>
                <w:szCs w:val="10"/>
              </w:rPr>
              <w:t>16.5%</w:t>
            </w:r>
          </w:p>
        </w:tc>
        <w:tc>
          <w:tcPr>
            <w:tcW w:w="299" w:type="dxa"/>
            <w:tcBorders>
              <w:top w:val="single" w:sz="2" w:space="0" w:color="000000"/>
              <w:bottom w:val="single" w:sz="2" w:space="0" w:color="000000"/>
              <w:right w:val="single" w:sz="4" w:space="0" w:color="000000"/>
            </w:tcBorders>
            <w:shd w:val="clear" w:color="auto" w:fill="FFFFFF" w:themeFill="background1"/>
            <w:vAlign w:val="center"/>
          </w:tcPr>
          <w:p w14:paraId="54BD5038" w14:textId="77777777" w:rsidR="00E50B37" w:rsidRDefault="00645276">
            <w:pPr>
              <w:widowControl w:val="0"/>
              <w:spacing w:line="240" w:lineRule="auto"/>
              <w:jc w:val="center"/>
              <w:rPr>
                <w:sz w:val="10"/>
                <w:szCs w:val="10"/>
              </w:rPr>
            </w:pPr>
            <w:r>
              <w:rPr>
                <w:sz w:val="10"/>
                <w:szCs w:val="10"/>
              </w:rPr>
              <w:t>-</w:t>
            </w:r>
          </w:p>
        </w:tc>
        <w:tc>
          <w:tcPr>
            <w:tcW w:w="312" w:type="dxa"/>
            <w:tcBorders>
              <w:top w:val="single" w:sz="2" w:space="0" w:color="000000"/>
              <w:bottom w:val="single" w:sz="2" w:space="0" w:color="000000"/>
              <w:right w:val="single" w:sz="4" w:space="0" w:color="000000"/>
            </w:tcBorders>
            <w:shd w:val="clear" w:color="auto" w:fill="FFFFFF" w:themeFill="background1"/>
            <w:vAlign w:val="center"/>
          </w:tcPr>
          <w:p w14:paraId="7DBB5778" w14:textId="77777777" w:rsidR="00E50B37" w:rsidRDefault="00645276">
            <w:pPr>
              <w:widowControl w:val="0"/>
              <w:spacing w:line="240" w:lineRule="auto"/>
              <w:jc w:val="center"/>
              <w:rPr>
                <w:sz w:val="10"/>
                <w:szCs w:val="10"/>
              </w:rPr>
            </w:pPr>
            <w:r>
              <w:rPr>
                <w:sz w:val="10"/>
                <w:szCs w:val="10"/>
              </w:rPr>
              <w:t>-</w:t>
            </w:r>
          </w:p>
        </w:tc>
        <w:tc>
          <w:tcPr>
            <w:tcW w:w="490" w:type="dxa"/>
            <w:tcBorders>
              <w:top w:val="single" w:sz="2" w:space="0" w:color="000000"/>
              <w:bottom w:val="single" w:sz="2" w:space="0" w:color="000000"/>
              <w:right w:val="single" w:sz="4" w:space="0" w:color="000000"/>
            </w:tcBorders>
            <w:shd w:val="clear" w:color="auto" w:fill="auto"/>
            <w:vAlign w:val="bottom"/>
          </w:tcPr>
          <w:p w14:paraId="1717A2B6" w14:textId="77777777" w:rsidR="00E50B37" w:rsidRDefault="00645276">
            <w:pPr>
              <w:widowControl w:val="0"/>
              <w:spacing w:line="240" w:lineRule="auto"/>
              <w:jc w:val="center"/>
              <w:rPr>
                <w:sz w:val="10"/>
                <w:szCs w:val="10"/>
              </w:rPr>
            </w:pPr>
            <w:r>
              <w:rPr>
                <w:sz w:val="10"/>
                <w:szCs w:val="10"/>
              </w:rPr>
              <w:t>6.9%</w:t>
            </w:r>
          </w:p>
        </w:tc>
        <w:tc>
          <w:tcPr>
            <w:tcW w:w="487" w:type="dxa"/>
            <w:tcBorders>
              <w:top w:val="single" w:sz="2" w:space="0" w:color="000000"/>
              <w:bottom w:val="single" w:sz="2" w:space="0" w:color="000000"/>
              <w:right w:val="single" w:sz="4" w:space="0" w:color="000000"/>
            </w:tcBorders>
            <w:shd w:val="clear" w:color="auto" w:fill="auto"/>
            <w:vAlign w:val="bottom"/>
          </w:tcPr>
          <w:p w14:paraId="00C9ED5F" w14:textId="77777777" w:rsidR="00E50B37" w:rsidRDefault="00645276">
            <w:pPr>
              <w:widowControl w:val="0"/>
              <w:spacing w:line="240" w:lineRule="auto"/>
              <w:jc w:val="center"/>
              <w:rPr>
                <w:sz w:val="10"/>
                <w:szCs w:val="10"/>
              </w:rPr>
            </w:pPr>
            <w:r>
              <w:rPr>
                <w:sz w:val="10"/>
                <w:szCs w:val="10"/>
              </w:rPr>
              <w:t>8.5%</w:t>
            </w:r>
          </w:p>
        </w:tc>
        <w:tc>
          <w:tcPr>
            <w:tcW w:w="489" w:type="dxa"/>
            <w:tcBorders>
              <w:top w:val="single" w:sz="2" w:space="0" w:color="000000"/>
              <w:bottom w:val="single" w:sz="2" w:space="0" w:color="000000"/>
              <w:right w:val="single" w:sz="4" w:space="0" w:color="000000"/>
            </w:tcBorders>
            <w:shd w:val="clear" w:color="auto" w:fill="auto"/>
            <w:vAlign w:val="bottom"/>
          </w:tcPr>
          <w:p w14:paraId="5DA41367" w14:textId="77777777" w:rsidR="00E50B37" w:rsidRDefault="00645276">
            <w:pPr>
              <w:widowControl w:val="0"/>
              <w:spacing w:line="240" w:lineRule="auto"/>
              <w:jc w:val="center"/>
              <w:rPr>
                <w:sz w:val="10"/>
                <w:szCs w:val="10"/>
              </w:rPr>
            </w:pPr>
            <w:r>
              <w:rPr>
                <w:sz w:val="10"/>
                <w:szCs w:val="10"/>
              </w:rPr>
              <w:t>6.2%</w:t>
            </w:r>
          </w:p>
        </w:tc>
        <w:tc>
          <w:tcPr>
            <w:tcW w:w="489" w:type="dxa"/>
            <w:tcBorders>
              <w:top w:val="single" w:sz="2" w:space="0" w:color="000000"/>
              <w:bottom w:val="single" w:sz="2" w:space="0" w:color="000000"/>
              <w:right w:val="single" w:sz="4" w:space="0" w:color="000000"/>
            </w:tcBorders>
            <w:shd w:val="clear" w:color="auto" w:fill="auto"/>
            <w:vAlign w:val="bottom"/>
          </w:tcPr>
          <w:p w14:paraId="7A89319B" w14:textId="77777777" w:rsidR="00E50B37" w:rsidRDefault="00645276">
            <w:pPr>
              <w:widowControl w:val="0"/>
              <w:spacing w:line="240" w:lineRule="auto"/>
              <w:jc w:val="center"/>
              <w:rPr>
                <w:sz w:val="10"/>
                <w:szCs w:val="10"/>
              </w:rPr>
            </w:pPr>
            <w:r>
              <w:rPr>
                <w:sz w:val="10"/>
                <w:szCs w:val="10"/>
              </w:rPr>
              <w:t>5.3%</w:t>
            </w:r>
          </w:p>
        </w:tc>
        <w:tc>
          <w:tcPr>
            <w:tcW w:w="813" w:type="dxa"/>
            <w:tcBorders>
              <w:top w:val="single" w:sz="2" w:space="0" w:color="000000"/>
              <w:bottom w:val="single" w:sz="2" w:space="0" w:color="000000"/>
              <w:right w:val="single" w:sz="4" w:space="0" w:color="000000"/>
            </w:tcBorders>
          </w:tcPr>
          <w:p w14:paraId="7C40EEC8" w14:textId="77777777" w:rsidR="00E50B37" w:rsidRDefault="00645276">
            <w:pPr>
              <w:widowControl w:val="0"/>
              <w:spacing w:line="240" w:lineRule="auto"/>
              <w:jc w:val="center"/>
              <w:rPr>
                <w:sz w:val="10"/>
                <w:szCs w:val="10"/>
              </w:rPr>
            </w:pPr>
            <w:r>
              <w:rPr>
                <w:sz w:val="10"/>
                <w:szCs w:val="10"/>
              </w:rPr>
              <w:t>Augstāk par prognozēto</w:t>
            </w:r>
          </w:p>
        </w:tc>
      </w:tr>
      <w:tr w:rsidR="00E50B37" w14:paraId="067B593C" w14:textId="77777777">
        <w:trPr>
          <w:trHeight w:val="255"/>
        </w:trPr>
        <w:tc>
          <w:tcPr>
            <w:tcW w:w="1483" w:type="dxa"/>
            <w:tcBorders>
              <w:top w:val="single" w:sz="2" w:space="0" w:color="000000"/>
              <w:left w:val="single" w:sz="4" w:space="0" w:color="000000"/>
              <w:bottom w:val="single" w:sz="4" w:space="0" w:color="000000"/>
              <w:right w:val="single" w:sz="4" w:space="0" w:color="000000"/>
            </w:tcBorders>
            <w:shd w:val="clear" w:color="auto" w:fill="FFFFFF" w:themeFill="background1"/>
            <w:vAlign w:val="bottom"/>
          </w:tcPr>
          <w:p w14:paraId="6A6A89C1" w14:textId="77777777" w:rsidR="00E50B37" w:rsidRDefault="00645276">
            <w:pPr>
              <w:widowControl w:val="0"/>
              <w:spacing w:line="240" w:lineRule="auto"/>
              <w:jc w:val="center"/>
              <w:rPr>
                <w:sz w:val="10"/>
                <w:szCs w:val="10"/>
              </w:rPr>
            </w:pPr>
            <w:r>
              <w:rPr>
                <w:sz w:val="10"/>
                <w:szCs w:val="10"/>
              </w:rPr>
              <w:t>Inflācija (patēriņa cenas)</w:t>
            </w:r>
          </w:p>
        </w:tc>
        <w:tc>
          <w:tcPr>
            <w:tcW w:w="634" w:type="dxa"/>
            <w:tcBorders>
              <w:top w:val="single" w:sz="2" w:space="0" w:color="000000"/>
              <w:bottom w:val="single" w:sz="4" w:space="0" w:color="000000"/>
              <w:right w:val="single" w:sz="4" w:space="0" w:color="000000"/>
            </w:tcBorders>
            <w:shd w:val="clear" w:color="auto" w:fill="FFFFFF" w:themeFill="background1"/>
            <w:vAlign w:val="bottom"/>
          </w:tcPr>
          <w:p w14:paraId="1433A003" w14:textId="77777777" w:rsidR="00E50B37" w:rsidRDefault="00645276">
            <w:pPr>
              <w:widowControl w:val="0"/>
              <w:spacing w:line="240" w:lineRule="auto"/>
              <w:jc w:val="center"/>
              <w:rPr>
                <w:sz w:val="10"/>
                <w:szCs w:val="10"/>
              </w:rPr>
            </w:pPr>
            <w:r>
              <w:rPr>
                <w:sz w:val="10"/>
                <w:szCs w:val="10"/>
              </w:rPr>
              <w:t>1.9%</w:t>
            </w:r>
          </w:p>
        </w:tc>
        <w:tc>
          <w:tcPr>
            <w:tcW w:w="634" w:type="dxa"/>
            <w:tcBorders>
              <w:top w:val="single" w:sz="2" w:space="0" w:color="000000"/>
              <w:bottom w:val="single" w:sz="4" w:space="0" w:color="000000"/>
              <w:right w:val="single" w:sz="4" w:space="0" w:color="000000"/>
            </w:tcBorders>
            <w:shd w:val="clear" w:color="auto" w:fill="FFFFFF" w:themeFill="background1"/>
            <w:vAlign w:val="bottom"/>
          </w:tcPr>
          <w:p w14:paraId="1B8E3FF9" w14:textId="77777777" w:rsidR="00E50B37" w:rsidRDefault="00645276">
            <w:pPr>
              <w:widowControl w:val="0"/>
              <w:spacing w:line="240" w:lineRule="auto"/>
              <w:jc w:val="center"/>
              <w:rPr>
                <w:sz w:val="10"/>
                <w:szCs w:val="10"/>
              </w:rPr>
            </w:pPr>
            <w:r>
              <w:rPr>
                <w:sz w:val="10"/>
                <w:szCs w:val="10"/>
              </w:rPr>
              <w:t>-0.4%</w:t>
            </w:r>
          </w:p>
        </w:tc>
        <w:tc>
          <w:tcPr>
            <w:tcW w:w="636" w:type="dxa"/>
            <w:tcBorders>
              <w:top w:val="single" w:sz="2" w:space="0" w:color="000000"/>
              <w:bottom w:val="single" w:sz="4" w:space="0" w:color="000000"/>
              <w:right w:val="single" w:sz="4" w:space="0" w:color="000000"/>
            </w:tcBorders>
            <w:shd w:val="clear" w:color="auto" w:fill="FFFFFF" w:themeFill="background1"/>
            <w:vAlign w:val="bottom"/>
          </w:tcPr>
          <w:p w14:paraId="3B3905BB" w14:textId="77777777" w:rsidR="00E50B37" w:rsidRDefault="00645276">
            <w:pPr>
              <w:widowControl w:val="0"/>
              <w:spacing w:line="240" w:lineRule="auto"/>
              <w:jc w:val="center"/>
              <w:rPr>
                <w:sz w:val="10"/>
                <w:szCs w:val="10"/>
              </w:rPr>
            </w:pPr>
            <w:r>
              <w:rPr>
                <w:sz w:val="10"/>
                <w:szCs w:val="10"/>
              </w:rPr>
              <w:t>0.0%</w:t>
            </w:r>
          </w:p>
        </w:tc>
        <w:tc>
          <w:tcPr>
            <w:tcW w:w="637" w:type="dxa"/>
            <w:tcBorders>
              <w:top w:val="single" w:sz="2" w:space="0" w:color="000000"/>
              <w:bottom w:val="single" w:sz="4" w:space="0" w:color="000000"/>
              <w:right w:val="single" w:sz="4" w:space="0" w:color="000000"/>
            </w:tcBorders>
            <w:shd w:val="clear" w:color="auto" w:fill="FFFFFF" w:themeFill="background1"/>
            <w:vAlign w:val="bottom"/>
          </w:tcPr>
          <w:p w14:paraId="159D9B59" w14:textId="77777777" w:rsidR="00E50B37" w:rsidRDefault="00645276">
            <w:pPr>
              <w:widowControl w:val="0"/>
              <w:spacing w:line="240" w:lineRule="auto"/>
              <w:jc w:val="center"/>
              <w:rPr>
                <w:sz w:val="10"/>
                <w:szCs w:val="10"/>
              </w:rPr>
            </w:pPr>
            <w:r>
              <w:rPr>
                <w:sz w:val="10"/>
                <w:szCs w:val="10"/>
              </w:rPr>
              <w:t>-0.6%</w:t>
            </w:r>
          </w:p>
        </w:tc>
        <w:tc>
          <w:tcPr>
            <w:tcW w:w="637" w:type="dxa"/>
            <w:tcBorders>
              <w:top w:val="single" w:sz="2" w:space="0" w:color="000000"/>
              <w:bottom w:val="single" w:sz="4" w:space="0" w:color="000000"/>
              <w:right w:val="single" w:sz="4" w:space="0" w:color="000000"/>
            </w:tcBorders>
            <w:shd w:val="clear" w:color="auto" w:fill="FFFFFF" w:themeFill="background1"/>
            <w:vAlign w:val="bottom"/>
          </w:tcPr>
          <w:p w14:paraId="5A5D5296" w14:textId="77777777" w:rsidR="00E50B37" w:rsidRDefault="00645276">
            <w:pPr>
              <w:widowControl w:val="0"/>
              <w:spacing w:line="240" w:lineRule="auto"/>
              <w:jc w:val="center"/>
              <w:rPr>
                <w:sz w:val="10"/>
                <w:szCs w:val="10"/>
              </w:rPr>
            </w:pPr>
            <w:r>
              <w:rPr>
                <w:sz w:val="10"/>
                <w:szCs w:val="10"/>
              </w:rPr>
              <w:t>0.2%</w:t>
            </w:r>
          </w:p>
        </w:tc>
        <w:tc>
          <w:tcPr>
            <w:tcW w:w="637" w:type="dxa"/>
            <w:tcBorders>
              <w:top w:val="single" w:sz="2" w:space="0" w:color="000000"/>
              <w:bottom w:val="single" w:sz="4" w:space="0" w:color="000000"/>
              <w:right w:val="single" w:sz="4" w:space="0" w:color="000000"/>
            </w:tcBorders>
            <w:shd w:val="clear" w:color="auto" w:fill="auto"/>
            <w:vAlign w:val="bottom"/>
          </w:tcPr>
          <w:p w14:paraId="4936399B" w14:textId="77777777" w:rsidR="00E50B37" w:rsidRDefault="00645276">
            <w:pPr>
              <w:widowControl w:val="0"/>
              <w:spacing w:line="240" w:lineRule="auto"/>
              <w:jc w:val="center"/>
              <w:rPr>
                <w:sz w:val="10"/>
                <w:szCs w:val="10"/>
              </w:rPr>
            </w:pPr>
            <w:r>
              <w:rPr>
                <w:sz w:val="10"/>
                <w:szCs w:val="10"/>
              </w:rPr>
              <w:t>-0.1%</w:t>
            </w:r>
          </w:p>
        </w:tc>
        <w:tc>
          <w:tcPr>
            <w:tcW w:w="677" w:type="dxa"/>
            <w:tcBorders>
              <w:top w:val="single" w:sz="2" w:space="0" w:color="000000"/>
              <w:bottom w:val="single" w:sz="4" w:space="0" w:color="000000"/>
              <w:right w:val="single" w:sz="4" w:space="0" w:color="000000"/>
            </w:tcBorders>
            <w:shd w:val="clear" w:color="auto" w:fill="FFFFFF" w:themeFill="background1"/>
            <w:vAlign w:val="bottom"/>
          </w:tcPr>
          <w:p w14:paraId="404CC57A" w14:textId="77777777" w:rsidR="00E50B37" w:rsidRDefault="00645276">
            <w:pPr>
              <w:widowControl w:val="0"/>
              <w:spacing w:line="240" w:lineRule="auto"/>
              <w:jc w:val="center"/>
              <w:rPr>
                <w:sz w:val="10"/>
                <w:szCs w:val="10"/>
              </w:rPr>
            </w:pPr>
            <w:r>
              <w:rPr>
                <w:sz w:val="10"/>
                <w:szCs w:val="10"/>
              </w:rPr>
              <w:t>2.3%</w:t>
            </w:r>
          </w:p>
        </w:tc>
        <w:tc>
          <w:tcPr>
            <w:tcW w:w="299" w:type="dxa"/>
            <w:tcBorders>
              <w:top w:val="single" w:sz="2" w:space="0" w:color="000000"/>
              <w:bottom w:val="single" w:sz="4" w:space="0" w:color="000000"/>
              <w:right w:val="single" w:sz="4" w:space="0" w:color="000000"/>
            </w:tcBorders>
            <w:shd w:val="clear" w:color="auto" w:fill="FFFFFF" w:themeFill="background1"/>
            <w:vAlign w:val="center"/>
          </w:tcPr>
          <w:p w14:paraId="5C40AED0" w14:textId="77777777" w:rsidR="00E50B37" w:rsidRDefault="00645276">
            <w:pPr>
              <w:widowControl w:val="0"/>
              <w:spacing w:line="240" w:lineRule="auto"/>
              <w:jc w:val="center"/>
              <w:rPr>
                <w:sz w:val="10"/>
                <w:szCs w:val="10"/>
              </w:rPr>
            </w:pPr>
            <w:r>
              <w:rPr>
                <w:sz w:val="10"/>
                <w:szCs w:val="10"/>
              </w:rPr>
              <w:t>-</w:t>
            </w:r>
          </w:p>
        </w:tc>
        <w:tc>
          <w:tcPr>
            <w:tcW w:w="312" w:type="dxa"/>
            <w:tcBorders>
              <w:top w:val="single" w:sz="2" w:space="0" w:color="000000"/>
              <w:bottom w:val="single" w:sz="4" w:space="0" w:color="000000"/>
              <w:right w:val="single" w:sz="4" w:space="0" w:color="000000"/>
            </w:tcBorders>
            <w:shd w:val="clear" w:color="auto" w:fill="FFFFFF" w:themeFill="background1"/>
            <w:vAlign w:val="center"/>
          </w:tcPr>
          <w:p w14:paraId="387F4511" w14:textId="77777777" w:rsidR="00E50B37" w:rsidRDefault="00645276">
            <w:pPr>
              <w:widowControl w:val="0"/>
              <w:spacing w:line="240" w:lineRule="auto"/>
              <w:jc w:val="center"/>
              <w:rPr>
                <w:sz w:val="10"/>
                <w:szCs w:val="10"/>
              </w:rPr>
            </w:pPr>
            <w:r>
              <w:rPr>
                <w:sz w:val="10"/>
                <w:szCs w:val="10"/>
              </w:rPr>
              <w:t>-</w:t>
            </w:r>
          </w:p>
        </w:tc>
        <w:tc>
          <w:tcPr>
            <w:tcW w:w="490" w:type="dxa"/>
            <w:tcBorders>
              <w:top w:val="single" w:sz="2" w:space="0" w:color="000000"/>
              <w:bottom w:val="single" w:sz="4" w:space="0" w:color="000000"/>
              <w:right w:val="single" w:sz="4" w:space="0" w:color="000000"/>
            </w:tcBorders>
            <w:shd w:val="clear" w:color="auto" w:fill="auto"/>
            <w:vAlign w:val="bottom"/>
          </w:tcPr>
          <w:p w14:paraId="05897F69" w14:textId="77777777" w:rsidR="00E50B37" w:rsidRDefault="00645276">
            <w:pPr>
              <w:widowControl w:val="0"/>
              <w:spacing w:line="240" w:lineRule="auto"/>
              <w:jc w:val="center"/>
              <w:rPr>
                <w:sz w:val="10"/>
                <w:szCs w:val="10"/>
              </w:rPr>
            </w:pPr>
            <w:r>
              <w:rPr>
                <w:sz w:val="10"/>
                <w:szCs w:val="10"/>
              </w:rPr>
              <w:t>2.0%</w:t>
            </w:r>
          </w:p>
        </w:tc>
        <w:tc>
          <w:tcPr>
            <w:tcW w:w="487" w:type="dxa"/>
            <w:tcBorders>
              <w:top w:val="single" w:sz="2" w:space="0" w:color="000000"/>
              <w:bottom w:val="single" w:sz="4" w:space="0" w:color="000000"/>
              <w:right w:val="single" w:sz="4" w:space="0" w:color="000000"/>
            </w:tcBorders>
            <w:shd w:val="clear" w:color="auto" w:fill="auto"/>
            <w:vAlign w:val="bottom"/>
          </w:tcPr>
          <w:p w14:paraId="06E997A5" w14:textId="77777777" w:rsidR="00E50B37" w:rsidRDefault="00645276">
            <w:pPr>
              <w:widowControl w:val="0"/>
              <w:spacing w:line="240" w:lineRule="auto"/>
              <w:jc w:val="center"/>
              <w:rPr>
                <w:sz w:val="10"/>
                <w:szCs w:val="10"/>
              </w:rPr>
            </w:pPr>
            <w:r>
              <w:rPr>
                <w:sz w:val="10"/>
                <w:szCs w:val="10"/>
              </w:rPr>
              <w:t>2.4%</w:t>
            </w:r>
          </w:p>
        </w:tc>
        <w:tc>
          <w:tcPr>
            <w:tcW w:w="489" w:type="dxa"/>
            <w:tcBorders>
              <w:top w:val="single" w:sz="2" w:space="0" w:color="000000"/>
              <w:bottom w:val="single" w:sz="4" w:space="0" w:color="000000"/>
              <w:right w:val="single" w:sz="4" w:space="0" w:color="000000"/>
            </w:tcBorders>
            <w:shd w:val="clear" w:color="auto" w:fill="auto"/>
            <w:vAlign w:val="bottom"/>
          </w:tcPr>
          <w:p w14:paraId="4A6B46C5" w14:textId="77777777" w:rsidR="00E50B37" w:rsidRDefault="00645276">
            <w:pPr>
              <w:widowControl w:val="0"/>
              <w:spacing w:line="240" w:lineRule="auto"/>
              <w:jc w:val="center"/>
              <w:rPr>
                <w:sz w:val="10"/>
                <w:szCs w:val="10"/>
              </w:rPr>
            </w:pPr>
            <w:r>
              <w:rPr>
                <w:sz w:val="10"/>
                <w:szCs w:val="10"/>
              </w:rPr>
              <w:t>2.2%</w:t>
            </w:r>
          </w:p>
        </w:tc>
        <w:tc>
          <w:tcPr>
            <w:tcW w:w="489" w:type="dxa"/>
            <w:tcBorders>
              <w:top w:val="single" w:sz="2" w:space="0" w:color="000000"/>
              <w:bottom w:val="single" w:sz="4" w:space="0" w:color="000000"/>
              <w:right w:val="single" w:sz="4" w:space="0" w:color="000000"/>
            </w:tcBorders>
            <w:shd w:val="clear" w:color="auto" w:fill="auto"/>
            <w:vAlign w:val="bottom"/>
          </w:tcPr>
          <w:p w14:paraId="1086C564" w14:textId="77777777" w:rsidR="00E50B37" w:rsidRDefault="00645276">
            <w:pPr>
              <w:widowControl w:val="0"/>
              <w:spacing w:line="240" w:lineRule="auto"/>
              <w:jc w:val="center"/>
              <w:rPr>
                <w:sz w:val="10"/>
                <w:szCs w:val="10"/>
              </w:rPr>
            </w:pPr>
            <w:r>
              <w:rPr>
                <w:sz w:val="10"/>
                <w:szCs w:val="10"/>
              </w:rPr>
              <w:t>2.0%</w:t>
            </w:r>
          </w:p>
        </w:tc>
        <w:tc>
          <w:tcPr>
            <w:tcW w:w="813" w:type="dxa"/>
            <w:tcBorders>
              <w:top w:val="single" w:sz="2" w:space="0" w:color="000000"/>
              <w:bottom w:val="single" w:sz="4" w:space="0" w:color="000000"/>
              <w:right w:val="single" w:sz="4" w:space="0" w:color="000000"/>
            </w:tcBorders>
          </w:tcPr>
          <w:p w14:paraId="1D4F4E4B" w14:textId="77777777" w:rsidR="00E50B37" w:rsidRDefault="00645276">
            <w:pPr>
              <w:widowControl w:val="0"/>
              <w:spacing w:line="240" w:lineRule="auto"/>
              <w:jc w:val="center"/>
              <w:rPr>
                <w:sz w:val="10"/>
                <w:szCs w:val="10"/>
              </w:rPr>
            </w:pPr>
            <w:r>
              <w:rPr>
                <w:sz w:val="10"/>
                <w:szCs w:val="10"/>
              </w:rPr>
              <w:t>Augstāk par prognozēto</w:t>
            </w:r>
          </w:p>
        </w:tc>
      </w:tr>
      <w:tr w:rsidR="00E50B37" w14:paraId="563EA967" w14:textId="77777777">
        <w:trPr>
          <w:trHeight w:val="255"/>
        </w:trPr>
        <w:tc>
          <w:tcPr>
            <w:tcW w:w="1483" w:type="dxa"/>
            <w:tcBorders>
              <w:top w:val="single" w:sz="4" w:space="0" w:color="000000"/>
              <w:left w:val="single" w:sz="4" w:space="0" w:color="000000"/>
              <w:bottom w:val="single" w:sz="12" w:space="0" w:color="9D2234"/>
              <w:right w:val="single" w:sz="4" w:space="0" w:color="000000"/>
            </w:tcBorders>
            <w:shd w:val="clear" w:color="auto" w:fill="FFFFFF" w:themeFill="background1"/>
            <w:vAlign w:val="bottom"/>
          </w:tcPr>
          <w:p w14:paraId="451AF8EF" w14:textId="77777777" w:rsidR="00E50B37" w:rsidRDefault="00645276">
            <w:pPr>
              <w:widowControl w:val="0"/>
              <w:spacing w:line="240" w:lineRule="auto"/>
              <w:jc w:val="center"/>
              <w:rPr>
                <w:rFonts w:ascii="Arial" w:eastAsia="Times New Roman" w:hAnsi="Arial"/>
                <w:b/>
                <w:sz w:val="10"/>
                <w:szCs w:val="10"/>
                <w:lang w:eastAsia="en-GB"/>
              </w:rPr>
            </w:pPr>
            <w:r>
              <w:rPr>
                <w:sz w:val="10"/>
                <w:szCs w:val="10"/>
              </w:rPr>
              <w:t>IKP deflators</w:t>
            </w:r>
          </w:p>
        </w:tc>
        <w:tc>
          <w:tcPr>
            <w:tcW w:w="634" w:type="dxa"/>
            <w:tcBorders>
              <w:top w:val="single" w:sz="4" w:space="0" w:color="000000"/>
              <w:bottom w:val="single" w:sz="12" w:space="0" w:color="9D2234"/>
              <w:right w:val="single" w:sz="4" w:space="0" w:color="000000"/>
            </w:tcBorders>
            <w:shd w:val="clear" w:color="auto" w:fill="FFFFFF" w:themeFill="background1"/>
            <w:vAlign w:val="bottom"/>
          </w:tcPr>
          <w:p w14:paraId="36CCD41F" w14:textId="77777777" w:rsidR="00E50B37" w:rsidRDefault="00645276">
            <w:pPr>
              <w:widowControl w:val="0"/>
              <w:spacing w:line="240" w:lineRule="auto"/>
              <w:jc w:val="center"/>
              <w:rPr>
                <w:rFonts w:ascii="Arial" w:eastAsia="Times New Roman" w:hAnsi="Arial"/>
                <w:bCs/>
                <w:sz w:val="10"/>
                <w:szCs w:val="10"/>
                <w:lang w:eastAsia="en-GB"/>
              </w:rPr>
            </w:pPr>
            <w:r>
              <w:rPr>
                <w:rFonts w:ascii="Arial" w:eastAsia="Times New Roman" w:hAnsi="Arial"/>
                <w:bCs/>
                <w:sz w:val="10"/>
                <w:szCs w:val="10"/>
                <w:lang w:eastAsia="en-GB"/>
              </w:rPr>
              <w:t>0.7%</w:t>
            </w:r>
          </w:p>
        </w:tc>
        <w:tc>
          <w:tcPr>
            <w:tcW w:w="634" w:type="dxa"/>
            <w:tcBorders>
              <w:top w:val="single" w:sz="4" w:space="0" w:color="000000"/>
              <w:bottom w:val="single" w:sz="12" w:space="0" w:color="9D2234"/>
              <w:right w:val="single" w:sz="4" w:space="0" w:color="000000"/>
            </w:tcBorders>
            <w:shd w:val="clear" w:color="auto" w:fill="FFFFFF" w:themeFill="background1"/>
            <w:vAlign w:val="bottom"/>
          </w:tcPr>
          <w:p w14:paraId="6AF2874B" w14:textId="77777777" w:rsidR="00E50B37" w:rsidRDefault="00645276">
            <w:pPr>
              <w:widowControl w:val="0"/>
              <w:spacing w:line="240" w:lineRule="auto"/>
              <w:jc w:val="center"/>
              <w:rPr>
                <w:rFonts w:ascii="Arial" w:eastAsia="Times New Roman" w:hAnsi="Arial"/>
                <w:bCs/>
                <w:sz w:val="10"/>
                <w:szCs w:val="10"/>
                <w:lang w:eastAsia="en-GB"/>
              </w:rPr>
            </w:pPr>
            <w:r>
              <w:rPr>
                <w:rFonts w:ascii="Arial" w:eastAsia="Times New Roman" w:hAnsi="Arial"/>
                <w:bCs/>
                <w:sz w:val="10"/>
                <w:szCs w:val="10"/>
                <w:lang w:eastAsia="en-GB"/>
              </w:rPr>
              <w:t>-1.2%</w:t>
            </w:r>
          </w:p>
        </w:tc>
        <w:tc>
          <w:tcPr>
            <w:tcW w:w="636" w:type="dxa"/>
            <w:tcBorders>
              <w:top w:val="single" w:sz="4" w:space="0" w:color="000000"/>
              <w:bottom w:val="single" w:sz="12" w:space="0" w:color="9D2234"/>
              <w:right w:val="single" w:sz="4" w:space="0" w:color="000000"/>
            </w:tcBorders>
            <w:shd w:val="clear" w:color="auto" w:fill="FFFFFF" w:themeFill="background1"/>
            <w:vAlign w:val="bottom"/>
          </w:tcPr>
          <w:p w14:paraId="753D46DF" w14:textId="77777777" w:rsidR="00E50B37" w:rsidRDefault="00645276">
            <w:pPr>
              <w:widowControl w:val="0"/>
              <w:spacing w:line="240" w:lineRule="auto"/>
              <w:jc w:val="center"/>
              <w:rPr>
                <w:rFonts w:ascii="Arial" w:eastAsia="Times New Roman" w:hAnsi="Arial"/>
                <w:bCs/>
                <w:sz w:val="10"/>
                <w:szCs w:val="10"/>
                <w:lang w:eastAsia="en-GB"/>
              </w:rPr>
            </w:pPr>
            <w:r>
              <w:rPr>
                <w:rFonts w:ascii="Arial" w:eastAsia="Times New Roman" w:hAnsi="Arial"/>
                <w:bCs/>
                <w:sz w:val="10"/>
                <w:szCs w:val="10"/>
                <w:lang w:eastAsia="en-GB"/>
              </w:rPr>
              <w:t>-0.4%</w:t>
            </w:r>
          </w:p>
        </w:tc>
        <w:tc>
          <w:tcPr>
            <w:tcW w:w="637" w:type="dxa"/>
            <w:tcBorders>
              <w:top w:val="single" w:sz="4" w:space="0" w:color="000000"/>
              <w:bottom w:val="single" w:sz="12" w:space="0" w:color="9D2234"/>
              <w:right w:val="single" w:sz="4" w:space="0" w:color="000000"/>
            </w:tcBorders>
            <w:shd w:val="clear" w:color="auto" w:fill="FFFFFF" w:themeFill="background1"/>
            <w:vAlign w:val="bottom"/>
          </w:tcPr>
          <w:p w14:paraId="4AD4D851" w14:textId="77777777" w:rsidR="00E50B37" w:rsidRDefault="00645276">
            <w:pPr>
              <w:widowControl w:val="0"/>
              <w:spacing w:line="240" w:lineRule="auto"/>
              <w:jc w:val="center"/>
              <w:rPr>
                <w:rFonts w:ascii="Arial" w:eastAsia="Times New Roman" w:hAnsi="Arial"/>
                <w:bCs/>
                <w:sz w:val="10"/>
                <w:szCs w:val="10"/>
                <w:lang w:eastAsia="en-GB"/>
              </w:rPr>
            </w:pPr>
            <w:r>
              <w:rPr>
                <w:rFonts w:ascii="Arial" w:eastAsia="Times New Roman" w:hAnsi="Arial"/>
                <w:bCs/>
                <w:sz w:val="10"/>
                <w:szCs w:val="10"/>
                <w:lang w:eastAsia="en-GB"/>
              </w:rPr>
              <w:t>0.2%</w:t>
            </w:r>
          </w:p>
        </w:tc>
        <w:tc>
          <w:tcPr>
            <w:tcW w:w="637" w:type="dxa"/>
            <w:tcBorders>
              <w:top w:val="single" w:sz="4" w:space="0" w:color="000000"/>
              <w:bottom w:val="single" w:sz="12" w:space="0" w:color="9D2234"/>
              <w:right w:val="single" w:sz="4" w:space="0" w:color="000000"/>
            </w:tcBorders>
            <w:shd w:val="clear" w:color="auto" w:fill="FFFFFF" w:themeFill="background1"/>
            <w:vAlign w:val="bottom"/>
          </w:tcPr>
          <w:p w14:paraId="627B6647" w14:textId="77777777" w:rsidR="00E50B37" w:rsidRDefault="00645276">
            <w:pPr>
              <w:widowControl w:val="0"/>
              <w:spacing w:line="240" w:lineRule="auto"/>
              <w:jc w:val="center"/>
              <w:rPr>
                <w:rFonts w:ascii="Arial" w:eastAsia="Times New Roman" w:hAnsi="Arial"/>
                <w:bCs/>
                <w:sz w:val="10"/>
                <w:szCs w:val="10"/>
                <w:lang w:eastAsia="en-GB"/>
              </w:rPr>
            </w:pPr>
            <w:r>
              <w:rPr>
                <w:rFonts w:ascii="Arial" w:eastAsia="Times New Roman" w:hAnsi="Arial"/>
                <w:bCs/>
                <w:sz w:val="10"/>
                <w:szCs w:val="10"/>
                <w:lang w:eastAsia="en-GB"/>
              </w:rPr>
              <w:t>-0.2%</w:t>
            </w:r>
          </w:p>
        </w:tc>
        <w:tc>
          <w:tcPr>
            <w:tcW w:w="637" w:type="dxa"/>
            <w:tcBorders>
              <w:top w:val="single" w:sz="4" w:space="0" w:color="000000"/>
              <w:bottom w:val="single" w:sz="12" w:space="0" w:color="9D2234"/>
              <w:right w:val="single" w:sz="4" w:space="0" w:color="000000"/>
            </w:tcBorders>
            <w:shd w:val="clear" w:color="auto" w:fill="auto"/>
            <w:vAlign w:val="bottom"/>
          </w:tcPr>
          <w:p w14:paraId="330F9D3E" w14:textId="77777777" w:rsidR="00E50B37" w:rsidRDefault="00645276">
            <w:pPr>
              <w:widowControl w:val="0"/>
              <w:spacing w:line="240" w:lineRule="auto"/>
              <w:jc w:val="center"/>
              <w:rPr>
                <w:rFonts w:ascii="Arial" w:eastAsia="Times New Roman" w:hAnsi="Arial"/>
                <w:bCs/>
                <w:sz w:val="10"/>
                <w:szCs w:val="10"/>
                <w:lang w:eastAsia="en-GB"/>
              </w:rPr>
            </w:pPr>
            <w:r>
              <w:rPr>
                <w:rFonts w:ascii="Arial" w:eastAsia="Times New Roman" w:hAnsi="Arial"/>
                <w:bCs/>
                <w:sz w:val="10"/>
                <w:szCs w:val="10"/>
                <w:lang w:eastAsia="en-GB"/>
              </w:rPr>
              <w:t>2.7%</w:t>
            </w:r>
          </w:p>
        </w:tc>
        <w:tc>
          <w:tcPr>
            <w:tcW w:w="677" w:type="dxa"/>
            <w:tcBorders>
              <w:top w:val="single" w:sz="4" w:space="0" w:color="000000"/>
              <w:bottom w:val="single" w:sz="12" w:space="0" w:color="9D2234"/>
              <w:right w:val="single" w:sz="4" w:space="0" w:color="000000"/>
            </w:tcBorders>
            <w:shd w:val="clear" w:color="auto" w:fill="FFFFFF" w:themeFill="background1"/>
            <w:vAlign w:val="bottom"/>
          </w:tcPr>
          <w:p w14:paraId="79101921" w14:textId="77777777" w:rsidR="00E50B37" w:rsidRDefault="00645276">
            <w:pPr>
              <w:widowControl w:val="0"/>
              <w:spacing w:line="240" w:lineRule="auto"/>
              <w:jc w:val="center"/>
              <w:rPr>
                <w:rFonts w:ascii="Arial" w:eastAsia="Times New Roman" w:hAnsi="Arial"/>
                <w:bCs/>
                <w:sz w:val="10"/>
                <w:szCs w:val="10"/>
                <w:lang w:eastAsia="en-GB"/>
              </w:rPr>
            </w:pPr>
            <w:r>
              <w:rPr>
                <w:rFonts w:ascii="Arial" w:eastAsia="Times New Roman" w:hAnsi="Arial"/>
                <w:bCs/>
                <w:sz w:val="10"/>
                <w:szCs w:val="10"/>
                <w:lang w:eastAsia="en-GB"/>
              </w:rPr>
              <w:t>5.6%</w:t>
            </w:r>
          </w:p>
        </w:tc>
        <w:tc>
          <w:tcPr>
            <w:tcW w:w="299" w:type="dxa"/>
            <w:tcBorders>
              <w:top w:val="single" w:sz="4" w:space="0" w:color="000000"/>
              <w:bottom w:val="single" w:sz="12" w:space="0" w:color="9D2234"/>
              <w:right w:val="single" w:sz="4" w:space="0" w:color="000000"/>
            </w:tcBorders>
            <w:shd w:val="clear" w:color="auto" w:fill="FFFFFF" w:themeFill="background1"/>
            <w:vAlign w:val="center"/>
          </w:tcPr>
          <w:p w14:paraId="79A0FD5F" w14:textId="77777777" w:rsidR="00E50B37" w:rsidRDefault="00645276">
            <w:pPr>
              <w:widowControl w:val="0"/>
              <w:spacing w:line="240" w:lineRule="auto"/>
              <w:jc w:val="center"/>
              <w:rPr>
                <w:sz w:val="10"/>
                <w:szCs w:val="10"/>
              </w:rPr>
            </w:pPr>
            <w:r>
              <w:rPr>
                <w:rFonts w:ascii="Arial" w:hAnsi="Arial"/>
                <w:sz w:val="10"/>
                <w:szCs w:val="10"/>
              </w:rPr>
              <w:t>-</w:t>
            </w:r>
          </w:p>
        </w:tc>
        <w:tc>
          <w:tcPr>
            <w:tcW w:w="312" w:type="dxa"/>
            <w:tcBorders>
              <w:top w:val="single" w:sz="4" w:space="0" w:color="000000"/>
              <w:bottom w:val="single" w:sz="12" w:space="0" w:color="9D2234"/>
              <w:right w:val="single" w:sz="4" w:space="0" w:color="000000"/>
            </w:tcBorders>
            <w:shd w:val="clear" w:color="auto" w:fill="FFFFFF" w:themeFill="background1"/>
            <w:vAlign w:val="center"/>
          </w:tcPr>
          <w:p w14:paraId="3025256A" w14:textId="77777777" w:rsidR="00E50B37" w:rsidRDefault="00645276">
            <w:pPr>
              <w:widowControl w:val="0"/>
              <w:spacing w:line="240" w:lineRule="auto"/>
              <w:jc w:val="center"/>
              <w:rPr>
                <w:sz w:val="10"/>
                <w:szCs w:val="10"/>
              </w:rPr>
            </w:pPr>
            <w:r>
              <w:rPr>
                <w:rFonts w:ascii="Arial" w:hAnsi="Arial"/>
                <w:sz w:val="10"/>
                <w:szCs w:val="10"/>
              </w:rPr>
              <w:t>-</w:t>
            </w:r>
          </w:p>
        </w:tc>
        <w:tc>
          <w:tcPr>
            <w:tcW w:w="490" w:type="dxa"/>
            <w:tcBorders>
              <w:top w:val="single" w:sz="4" w:space="0" w:color="000000"/>
              <w:bottom w:val="single" w:sz="12" w:space="0" w:color="9D2234"/>
              <w:right w:val="single" w:sz="4" w:space="0" w:color="000000"/>
            </w:tcBorders>
            <w:shd w:val="clear" w:color="auto" w:fill="auto"/>
            <w:vAlign w:val="bottom"/>
          </w:tcPr>
          <w:p w14:paraId="1C192FBF" w14:textId="77777777" w:rsidR="00E50B37" w:rsidRDefault="00645276">
            <w:pPr>
              <w:widowControl w:val="0"/>
              <w:spacing w:line="240" w:lineRule="auto"/>
              <w:jc w:val="center"/>
              <w:rPr>
                <w:rFonts w:ascii="Arial" w:eastAsia="Times New Roman" w:hAnsi="Arial"/>
                <w:bCs/>
                <w:sz w:val="10"/>
                <w:szCs w:val="10"/>
                <w:lang w:eastAsia="en-GB"/>
              </w:rPr>
            </w:pPr>
            <w:r>
              <w:rPr>
                <w:rFonts w:ascii="Arial" w:eastAsia="Times New Roman" w:hAnsi="Arial"/>
                <w:bCs/>
                <w:sz w:val="10"/>
                <w:szCs w:val="10"/>
                <w:lang w:eastAsia="en-GB"/>
              </w:rPr>
              <w:t>3.1%</w:t>
            </w:r>
          </w:p>
        </w:tc>
        <w:tc>
          <w:tcPr>
            <w:tcW w:w="487" w:type="dxa"/>
            <w:tcBorders>
              <w:top w:val="single" w:sz="4" w:space="0" w:color="000000"/>
              <w:bottom w:val="single" w:sz="12" w:space="0" w:color="9D2234"/>
              <w:right w:val="single" w:sz="4" w:space="0" w:color="000000"/>
            </w:tcBorders>
            <w:shd w:val="clear" w:color="auto" w:fill="auto"/>
            <w:vAlign w:val="bottom"/>
          </w:tcPr>
          <w:p w14:paraId="0D497CDE" w14:textId="77777777" w:rsidR="00E50B37" w:rsidRDefault="00645276">
            <w:pPr>
              <w:widowControl w:val="0"/>
              <w:spacing w:line="240" w:lineRule="auto"/>
              <w:jc w:val="center"/>
              <w:rPr>
                <w:rFonts w:ascii="Arial" w:eastAsia="Times New Roman" w:hAnsi="Arial"/>
                <w:bCs/>
                <w:sz w:val="10"/>
                <w:szCs w:val="10"/>
                <w:lang w:eastAsia="en-GB"/>
              </w:rPr>
            </w:pPr>
            <w:r>
              <w:rPr>
                <w:rFonts w:ascii="Arial" w:eastAsia="Times New Roman" w:hAnsi="Arial"/>
                <w:bCs/>
                <w:sz w:val="10"/>
                <w:szCs w:val="10"/>
                <w:lang w:eastAsia="en-GB"/>
              </w:rPr>
              <w:t>3.3%</w:t>
            </w:r>
          </w:p>
        </w:tc>
        <w:tc>
          <w:tcPr>
            <w:tcW w:w="489" w:type="dxa"/>
            <w:tcBorders>
              <w:top w:val="single" w:sz="4" w:space="0" w:color="000000"/>
              <w:bottom w:val="single" w:sz="12" w:space="0" w:color="9D2234"/>
              <w:right w:val="single" w:sz="4" w:space="0" w:color="000000"/>
            </w:tcBorders>
            <w:shd w:val="clear" w:color="auto" w:fill="auto"/>
            <w:vAlign w:val="bottom"/>
          </w:tcPr>
          <w:p w14:paraId="57481941" w14:textId="77777777" w:rsidR="00E50B37" w:rsidRDefault="00645276">
            <w:pPr>
              <w:widowControl w:val="0"/>
              <w:spacing w:line="240" w:lineRule="auto"/>
              <w:jc w:val="center"/>
              <w:rPr>
                <w:rFonts w:ascii="Arial" w:eastAsia="Times New Roman" w:hAnsi="Arial"/>
                <w:bCs/>
                <w:sz w:val="10"/>
                <w:szCs w:val="10"/>
                <w:lang w:eastAsia="en-GB"/>
              </w:rPr>
            </w:pPr>
            <w:r>
              <w:rPr>
                <w:rFonts w:ascii="Arial" w:eastAsia="Times New Roman" w:hAnsi="Arial"/>
                <w:bCs/>
                <w:sz w:val="10"/>
                <w:szCs w:val="10"/>
                <w:lang w:eastAsia="en-GB"/>
              </w:rPr>
              <w:t>2.6%</w:t>
            </w:r>
          </w:p>
        </w:tc>
        <w:tc>
          <w:tcPr>
            <w:tcW w:w="489" w:type="dxa"/>
            <w:tcBorders>
              <w:top w:val="single" w:sz="4" w:space="0" w:color="000000"/>
              <w:bottom w:val="single" w:sz="12" w:space="0" w:color="9D2234"/>
              <w:right w:val="single" w:sz="4" w:space="0" w:color="000000"/>
            </w:tcBorders>
            <w:shd w:val="clear" w:color="auto" w:fill="auto"/>
            <w:vAlign w:val="bottom"/>
          </w:tcPr>
          <w:p w14:paraId="03FDACD5" w14:textId="77777777" w:rsidR="00E50B37" w:rsidRDefault="00645276">
            <w:pPr>
              <w:widowControl w:val="0"/>
              <w:spacing w:line="240" w:lineRule="auto"/>
              <w:jc w:val="center"/>
              <w:rPr>
                <w:rFonts w:ascii="Arial" w:eastAsia="Times New Roman" w:hAnsi="Arial"/>
                <w:bCs/>
                <w:sz w:val="10"/>
                <w:szCs w:val="10"/>
                <w:lang w:eastAsia="en-GB"/>
              </w:rPr>
            </w:pPr>
            <w:r>
              <w:rPr>
                <w:rFonts w:ascii="Arial" w:eastAsia="Times New Roman" w:hAnsi="Arial"/>
                <w:bCs/>
                <w:sz w:val="10"/>
                <w:szCs w:val="10"/>
                <w:lang w:eastAsia="en-GB"/>
              </w:rPr>
              <w:t>1.9%</w:t>
            </w:r>
          </w:p>
        </w:tc>
        <w:tc>
          <w:tcPr>
            <w:tcW w:w="813" w:type="dxa"/>
            <w:tcBorders>
              <w:top w:val="single" w:sz="4" w:space="0" w:color="000000"/>
              <w:bottom w:val="single" w:sz="12" w:space="0" w:color="9D2234"/>
              <w:right w:val="single" w:sz="4" w:space="0" w:color="000000"/>
            </w:tcBorders>
            <w:vAlign w:val="center"/>
          </w:tcPr>
          <w:p w14:paraId="35DC0F2B" w14:textId="77777777" w:rsidR="00E50B37" w:rsidRDefault="00645276">
            <w:pPr>
              <w:widowControl w:val="0"/>
              <w:spacing w:line="240" w:lineRule="auto"/>
              <w:jc w:val="center"/>
              <w:rPr>
                <w:rFonts w:ascii="Arial" w:eastAsia="Times New Roman" w:hAnsi="Arial"/>
                <w:bCs/>
                <w:sz w:val="10"/>
                <w:szCs w:val="10"/>
                <w:lang w:eastAsia="en-GB"/>
              </w:rPr>
            </w:pPr>
            <w:r>
              <w:rPr>
                <w:rFonts w:ascii="Arial" w:eastAsia="Times New Roman" w:hAnsi="Arial"/>
                <w:bCs/>
                <w:sz w:val="10"/>
                <w:szCs w:val="10"/>
                <w:lang w:eastAsia="en-GB"/>
              </w:rPr>
              <w:t>Augstāk par prognozēto</w:t>
            </w:r>
            <w:bookmarkStart w:id="23" w:name="_Hlk75763645"/>
            <w:bookmarkEnd w:id="23"/>
          </w:p>
        </w:tc>
      </w:tr>
    </w:tbl>
    <w:p w14:paraId="3CF5CAE1" w14:textId="77777777" w:rsidR="00E50B37" w:rsidRDefault="00645276">
      <w:pPr>
        <w:spacing w:after="0"/>
        <w:rPr>
          <w:b/>
          <w:bCs/>
          <w:color w:val="9D2234" w:themeColor="accent5"/>
          <w:sz w:val="16"/>
          <w:szCs w:val="16"/>
        </w:rPr>
      </w:pPr>
      <w:r>
        <w:rPr>
          <w:b/>
          <w:bCs/>
          <w:color w:val="9D2234" w:themeColor="accent5"/>
          <w:sz w:val="16"/>
          <w:szCs w:val="16"/>
        </w:rPr>
        <w:t>Avots: CSP, FM, FDP</w:t>
      </w:r>
    </w:p>
    <w:p w14:paraId="3C74FA3F" w14:textId="77777777" w:rsidR="00E50B37" w:rsidRDefault="00E50B37">
      <w:pPr>
        <w:spacing w:after="0"/>
        <w:ind w:firstLine="284"/>
        <w:rPr>
          <w:b/>
          <w:bCs/>
        </w:rPr>
      </w:pPr>
    </w:p>
    <w:p w14:paraId="6EB11AED" w14:textId="77777777" w:rsidR="00E50B37" w:rsidRDefault="00645276">
      <w:pPr>
        <w:pStyle w:val="FDPList1"/>
        <w:rPr>
          <w:color w:val="9D2234" w:themeColor="accent5"/>
          <w:sz w:val="16"/>
          <w:szCs w:val="16"/>
        </w:rPr>
      </w:pPr>
      <w:r>
        <w:rPr>
          <w:b/>
        </w:rPr>
        <w:lastRenderedPageBreak/>
        <w:t>Lai gan daļēji 2019. gada ekonomikas izaugsmes rādītāji var tikt sasniegti jau 2021. gadā, tomēr ņemot vērā 2020. gada pieredzi, nevar izslēgt riskus saistībā ar strauju epidemioloģiskās situācijas pasliktināšanos, kas liek pievērst uzmanību arī pesimistiskam scenārijam.</w:t>
      </w:r>
      <w:r>
        <w:t xml:space="preserve"> Padome 2021. gada 14. jūnijā apstiprināja FM makroekonomikas prognozes VTBI 2022/24. gadam. Reālā IKP izaugsme 2021. gadam prognozēta 3,7% apmērā un turpmākiem gadiem attiecīgi 5% (2022), 3,5% (2023), 3,4% (2024). </w:t>
      </w:r>
    </w:p>
    <w:p w14:paraId="1B62E059" w14:textId="77777777" w:rsidR="00E50B37" w:rsidRDefault="00645276">
      <w:pPr>
        <w:pStyle w:val="FDPNosaukumsGrafikam"/>
        <w:rPr>
          <w:lang w:eastAsia="lv-LV"/>
        </w:rPr>
      </w:pPr>
      <w:r>
        <w:rPr>
          <w:noProof/>
        </w:rPr>
        <w:drawing>
          <wp:anchor distT="0" distB="0" distL="0" distR="0" simplePos="0" relativeHeight="41" behindDoc="0" locked="0" layoutInCell="0" allowOverlap="1" wp14:anchorId="4E917E80" wp14:editId="3EAECE44">
            <wp:simplePos x="0" y="0"/>
            <wp:positionH relativeFrom="margin">
              <wp:align>right</wp:align>
            </wp:positionH>
            <wp:positionV relativeFrom="paragraph">
              <wp:posOffset>549910</wp:posOffset>
            </wp:positionV>
            <wp:extent cx="5946140" cy="2743200"/>
            <wp:effectExtent l="0" t="0" r="0" b="0"/>
            <wp:wrapSquare wrapText="bothSides"/>
            <wp:docPr id="7" name="Object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t>5. attēls: Apstiprinātais reālā IKP pieauguma scenārijs un pesimistiskais (trešā</w:t>
      </w:r>
      <w:r>
        <w:rPr>
          <w:lang w:eastAsia="lv-LV"/>
        </w:rPr>
        <w:t xml:space="preserve"> viļņa scenārijs) .</w:t>
      </w:r>
    </w:p>
    <w:p w14:paraId="3B457FB0" w14:textId="77777777" w:rsidR="00E50B37" w:rsidRDefault="00645276">
      <w:pPr>
        <w:pStyle w:val="FDPTabulagalvina"/>
      </w:pPr>
      <w:r>
        <w:t>Avots: FM, CSP</w:t>
      </w:r>
    </w:p>
    <w:p w14:paraId="7440561B" w14:textId="77777777" w:rsidR="00E50B37" w:rsidRDefault="00E50B37">
      <w:pPr>
        <w:ind w:left="567" w:hanging="567"/>
        <w:rPr>
          <w:b/>
        </w:rPr>
      </w:pPr>
    </w:p>
    <w:p w14:paraId="63343B79" w14:textId="77777777" w:rsidR="00E50B37" w:rsidRDefault="00645276">
      <w:pPr>
        <w:pStyle w:val="FDPList1"/>
      </w:pPr>
      <w:r>
        <w:rPr>
          <w:b/>
        </w:rPr>
        <w:t>Daļa no riskiem, par kuriem Padome brīdināja, apstiprinot makroekonomiskās prognozes, pašlaik ir iestājušies</w:t>
      </w:r>
      <w:r>
        <w:rPr>
          <w:rStyle w:val="FootnoteAnchor"/>
        </w:rPr>
        <w:footnoteReference w:id="24"/>
      </w:r>
      <w:r>
        <w:t>.</w:t>
      </w:r>
    </w:p>
    <w:p w14:paraId="65DA7FED" w14:textId="505CCB7B" w:rsidR="00E50B37" w:rsidRDefault="00645276">
      <w:pPr>
        <w:pStyle w:val="Sarakstarindkopa"/>
        <w:numPr>
          <w:ilvl w:val="0"/>
          <w:numId w:val="2"/>
        </w:numPr>
        <w:ind w:left="567" w:hanging="567"/>
      </w:pPr>
      <w:r>
        <w:t xml:space="preserve">vakcinācijas aptvere ir zemāka par prognožu </w:t>
      </w:r>
      <w:r w:rsidR="00C24D78">
        <w:t>pamat pieņēmumu</w:t>
      </w:r>
      <w:r>
        <w:t xml:space="preserve"> (pašlaik ap 44% nepieciešamo 70% vietā); </w:t>
      </w:r>
    </w:p>
    <w:p w14:paraId="0A6A8151" w14:textId="77777777" w:rsidR="00E50B37" w:rsidRDefault="00645276">
      <w:pPr>
        <w:pStyle w:val="Sarakstarindkopa"/>
        <w:numPr>
          <w:ilvl w:val="0"/>
          <w:numId w:val="2"/>
        </w:numPr>
        <w:ind w:left="567" w:hanging="567"/>
      </w:pPr>
      <w:r>
        <w:t xml:space="preserve">inflācija aug straujāk, jau pārsniedzot 2%  līmeni; </w:t>
      </w:r>
    </w:p>
    <w:p w14:paraId="32EFA837" w14:textId="77777777" w:rsidR="00E50B37" w:rsidRDefault="00645276">
      <w:pPr>
        <w:pStyle w:val="Sarakstarindkopa"/>
        <w:numPr>
          <w:ilvl w:val="0"/>
          <w:numId w:val="2"/>
        </w:numPr>
        <w:ind w:left="567" w:hanging="567"/>
      </w:pPr>
      <w:r>
        <w:t>VTBI prognozētais VVB deficīts -4,9; -2,2% un -1,4% no IKP attiecīgi 2022., 2023. un 2024. gadiem pārsniedz Stabilitātes programmā prognozēto apmēru, kas  liek secināt, ka atgriešanās pie fiskālās disciplīnas būs izaicinoša, neskatoties uz ekonomikas izaugsmes atgriešanos.</w:t>
      </w:r>
    </w:p>
    <w:p w14:paraId="2F150AC4" w14:textId="77777777" w:rsidR="00E50B37" w:rsidRDefault="00645276">
      <w:pPr>
        <w:pStyle w:val="FDPList1"/>
      </w:pPr>
      <w:r>
        <w:rPr>
          <w:b/>
          <w:bCs/>
        </w:rPr>
        <w:t xml:space="preserve">Latvijas un ārvalstu prognozētāji pārsvarā ir koriģējuši IKP pieauguma prognozes optimistiskā virzienā. </w:t>
      </w:r>
      <w:r>
        <w:t>Piemēram, Eiropas komisija jūlijā ir koriģējusi 2021. gada IKP prognozi un salīdzinot ar pavasarī prognozēto IKP pieaugumu 3,5% apmērā, tagad prognoze ir uzlabota par 0,3% punktiem un ir 3,8%</w:t>
      </w:r>
      <w:r>
        <w:rPr>
          <w:rStyle w:val="FootnoteAnchor"/>
        </w:rPr>
        <w:footnoteReference w:id="25"/>
      </w:r>
      <w:r>
        <w:t xml:space="preserve">. Latvijas Banka oktobra sākumā koriģēja IKP prognozi, paaugstinot to par 2 procentpunktiem līdz 5,3%, </w:t>
      </w:r>
      <w:r>
        <w:lastRenderedPageBreak/>
        <w:t>salīdzinot ar jūnijā prognozēto. Kā izņēmums jāpiemin Starptautiskais valūtas fonds, kas septembrī koriģēja Latvijas IKP prognozi, pazeminot to par 0,3 procentpunktiem līdz 3,6% šim gadam, bet 2022. gadam atstājot nemainīgu 5,2% līmenī. Finanšu ministrija š.g. jūnijā izstrādāja 3,7% IKP pieauguma prognozi</w:t>
      </w:r>
      <w:r>
        <w:rPr>
          <w:rStyle w:val="FootnoteAnchor"/>
        </w:rPr>
        <w:footnoteReference w:id="26"/>
      </w:r>
      <w:r>
        <w:t>.</w:t>
      </w:r>
    </w:p>
    <w:p w14:paraId="554AD14D" w14:textId="77777777" w:rsidR="00E50B37" w:rsidRDefault="00E50B37">
      <w:pPr>
        <w:pStyle w:val="FDPList1"/>
        <w:numPr>
          <w:ilvl w:val="0"/>
          <w:numId w:val="0"/>
        </w:numPr>
        <w:ind w:left="567" w:hanging="567"/>
      </w:pPr>
    </w:p>
    <w:p w14:paraId="324C577B" w14:textId="77777777" w:rsidR="00E50B37" w:rsidRDefault="00645276">
      <w:pPr>
        <w:pBdr>
          <w:bottom w:val="single" w:sz="18" w:space="1" w:color="9D2234"/>
        </w:pBdr>
        <w:spacing w:before="240" w:after="0"/>
        <w:ind w:firstLine="113"/>
        <w:rPr>
          <w:b/>
          <w:bCs/>
          <w:color w:val="993333"/>
        </w:rPr>
      </w:pPr>
      <w:r>
        <w:rPr>
          <w:b/>
          <w:bCs/>
          <w:color w:val="993333"/>
        </w:rPr>
        <w:t>7. tabula. Dažādu institūciju IKP prognozes Latvijai 2021., 2022. gados</w:t>
      </w:r>
    </w:p>
    <w:tbl>
      <w:tblPr>
        <w:tblStyle w:val="Reatabula"/>
        <w:tblW w:w="5000" w:type="pct"/>
        <w:tblLayout w:type="fixed"/>
        <w:tblLook w:val="04A0" w:firstRow="1" w:lastRow="0" w:firstColumn="1" w:lastColumn="0" w:noHBand="0" w:noVBand="1"/>
      </w:tblPr>
      <w:tblGrid>
        <w:gridCol w:w="2973"/>
        <w:gridCol w:w="714"/>
        <w:gridCol w:w="1134"/>
        <w:gridCol w:w="1280"/>
        <w:gridCol w:w="3253"/>
      </w:tblGrid>
      <w:tr w:rsidR="00E50B37" w14:paraId="1D36BA4F" w14:textId="77777777">
        <w:trPr>
          <w:trHeight w:val="20"/>
        </w:trPr>
        <w:tc>
          <w:tcPr>
            <w:tcW w:w="2973" w:type="dxa"/>
            <w:tcBorders>
              <w:top w:val="nil"/>
              <w:left w:val="nil"/>
              <w:bottom w:val="single" w:sz="18" w:space="0" w:color="9D2234"/>
              <w:right w:val="nil"/>
            </w:tcBorders>
            <w:shd w:val="clear" w:color="auto" w:fill="auto"/>
          </w:tcPr>
          <w:p w14:paraId="35C4E1BA" w14:textId="77777777" w:rsidR="00E50B37" w:rsidRDefault="00645276">
            <w:pPr>
              <w:widowControl w:val="0"/>
              <w:spacing w:after="0" w:line="240" w:lineRule="auto"/>
              <w:jc w:val="center"/>
              <w:rPr>
                <w:rFonts w:ascii="Calibri" w:eastAsia="Times New Roman" w:hAnsi="Calibri" w:cs="Calibri"/>
                <w:b/>
                <w:color w:val="9D2234" w:themeColor="accent5"/>
                <w:sz w:val="16"/>
                <w:szCs w:val="16"/>
                <w:lang w:eastAsia="lv-LV"/>
              </w:rPr>
            </w:pPr>
            <w:r>
              <w:rPr>
                <w:rFonts w:ascii="Calibri" w:eastAsia="Times New Roman" w:hAnsi="Calibri" w:cs="Calibri"/>
                <w:b/>
                <w:color w:val="9D2234" w:themeColor="accent5"/>
                <w:sz w:val="16"/>
                <w:szCs w:val="16"/>
                <w:lang w:eastAsia="lv-LV"/>
              </w:rPr>
              <w:t>IKP/Gads</w:t>
            </w:r>
          </w:p>
        </w:tc>
        <w:tc>
          <w:tcPr>
            <w:tcW w:w="714" w:type="dxa"/>
            <w:tcBorders>
              <w:top w:val="nil"/>
              <w:left w:val="nil"/>
              <w:bottom w:val="single" w:sz="18" w:space="0" w:color="9D2234"/>
              <w:right w:val="nil"/>
            </w:tcBorders>
            <w:shd w:val="clear" w:color="auto" w:fill="auto"/>
          </w:tcPr>
          <w:p w14:paraId="5D146074" w14:textId="77777777" w:rsidR="00E50B37" w:rsidRDefault="00645276">
            <w:pPr>
              <w:widowControl w:val="0"/>
              <w:spacing w:after="0" w:line="240" w:lineRule="auto"/>
              <w:jc w:val="center"/>
              <w:rPr>
                <w:rFonts w:ascii="Calibri" w:eastAsia="Times New Roman" w:hAnsi="Calibri" w:cs="Calibri"/>
                <w:b/>
                <w:color w:val="9D2234" w:themeColor="accent5"/>
                <w:sz w:val="16"/>
                <w:szCs w:val="16"/>
                <w:lang w:eastAsia="lv-LV"/>
              </w:rPr>
            </w:pPr>
            <w:r>
              <w:rPr>
                <w:rFonts w:ascii="Calibri" w:eastAsia="Times New Roman" w:hAnsi="Calibri" w:cs="Calibri"/>
                <w:b/>
                <w:color w:val="9D2234" w:themeColor="accent5"/>
                <w:sz w:val="16"/>
                <w:szCs w:val="16"/>
                <w:lang w:eastAsia="lv-LV"/>
              </w:rPr>
              <w:t>2020</w:t>
            </w:r>
          </w:p>
        </w:tc>
        <w:tc>
          <w:tcPr>
            <w:tcW w:w="1134" w:type="dxa"/>
            <w:tcBorders>
              <w:top w:val="nil"/>
              <w:left w:val="nil"/>
              <w:bottom w:val="single" w:sz="18" w:space="0" w:color="9D2234"/>
              <w:right w:val="nil"/>
            </w:tcBorders>
            <w:shd w:val="clear" w:color="auto" w:fill="auto"/>
          </w:tcPr>
          <w:p w14:paraId="71C531B5" w14:textId="77777777" w:rsidR="00E50B37" w:rsidRDefault="00645276">
            <w:pPr>
              <w:widowControl w:val="0"/>
              <w:spacing w:after="0" w:line="240" w:lineRule="auto"/>
              <w:jc w:val="center"/>
              <w:rPr>
                <w:rFonts w:ascii="Calibri" w:eastAsia="Times New Roman" w:hAnsi="Calibri" w:cs="Calibri"/>
                <w:b/>
                <w:color w:val="9D2234" w:themeColor="accent5"/>
                <w:sz w:val="16"/>
                <w:szCs w:val="16"/>
                <w:lang w:eastAsia="lv-LV"/>
              </w:rPr>
            </w:pPr>
            <w:r>
              <w:rPr>
                <w:rFonts w:ascii="Calibri" w:eastAsia="Times New Roman" w:hAnsi="Calibri" w:cs="Calibri"/>
                <w:b/>
                <w:color w:val="9D2234" w:themeColor="accent5"/>
                <w:sz w:val="16"/>
                <w:szCs w:val="16"/>
                <w:lang w:eastAsia="lv-LV"/>
              </w:rPr>
              <w:t>2021 (P)</w:t>
            </w:r>
          </w:p>
        </w:tc>
        <w:tc>
          <w:tcPr>
            <w:tcW w:w="1280" w:type="dxa"/>
            <w:tcBorders>
              <w:top w:val="nil"/>
              <w:left w:val="nil"/>
              <w:bottom w:val="single" w:sz="18" w:space="0" w:color="9D2234"/>
              <w:right w:val="nil"/>
            </w:tcBorders>
            <w:shd w:val="clear" w:color="auto" w:fill="auto"/>
          </w:tcPr>
          <w:p w14:paraId="3510D85A" w14:textId="77777777" w:rsidR="00E50B37" w:rsidRDefault="00645276">
            <w:pPr>
              <w:widowControl w:val="0"/>
              <w:spacing w:after="0" w:line="240" w:lineRule="auto"/>
              <w:jc w:val="center"/>
              <w:rPr>
                <w:rFonts w:ascii="Calibri" w:eastAsia="Times New Roman" w:hAnsi="Calibri" w:cs="Calibri"/>
                <w:b/>
                <w:color w:val="9D2234" w:themeColor="accent5"/>
                <w:sz w:val="16"/>
                <w:szCs w:val="16"/>
                <w:lang w:eastAsia="lv-LV"/>
              </w:rPr>
            </w:pPr>
            <w:r>
              <w:rPr>
                <w:rFonts w:ascii="Calibri" w:eastAsia="Times New Roman" w:hAnsi="Calibri" w:cs="Calibri"/>
                <w:b/>
                <w:color w:val="9D2234" w:themeColor="accent5"/>
                <w:sz w:val="16"/>
                <w:szCs w:val="16"/>
                <w:lang w:eastAsia="lv-LV"/>
              </w:rPr>
              <w:t>2022 (P)</w:t>
            </w:r>
          </w:p>
        </w:tc>
        <w:tc>
          <w:tcPr>
            <w:tcW w:w="3253" w:type="dxa"/>
            <w:tcBorders>
              <w:top w:val="nil"/>
              <w:left w:val="nil"/>
              <w:bottom w:val="single" w:sz="18" w:space="0" w:color="9D2234"/>
              <w:right w:val="nil"/>
            </w:tcBorders>
            <w:shd w:val="clear" w:color="auto" w:fill="auto"/>
          </w:tcPr>
          <w:p w14:paraId="6248C83D" w14:textId="77777777" w:rsidR="00E50B37" w:rsidRDefault="00645276">
            <w:pPr>
              <w:widowControl w:val="0"/>
              <w:spacing w:after="0" w:line="240" w:lineRule="auto"/>
              <w:jc w:val="center"/>
              <w:rPr>
                <w:rFonts w:ascii="Calibri" w:eastAsia="Times New Roman" w:hAnsi="Calibri" w:cs="Calibri"/>
                <w:b/>
                <w:color w:val="9D2234" w:themeColor="accent5"/>
                <w:sz w:val="16"/>
                <w:szCs w:val="16"/>
                <w:lang w:eastAsia="lv-LV"/>
              </w:rPr>
            </w:pPr>
            <w:r>
              <w:rPr>
                <w:rFonts w:ascii="Calibri" w:eastAsia="Times New Roman" w:hAnsi="Calibri" w:cs="Calibri"/>
                <w:b/>
                <w:color w:val="9D2234" w:themeColor="accent5"/>
                <w:sz w:val="16"/>
                <w:szCs w:val="16"/>
                <w:lang w:eastAsia="lv-LV"/>
              </w:rPr>
              <w:t>Pēdējais atjauninājums</w:t>
            </w:r>
          </w:p>
        </w:tc>
      </w:tr>
      <w:tr w:rsidR="00E50B37" w14:paraId="7600A81A" w14:textId="77777777">
        <w:trPr>
          <w:trHeight w:val="20"/>
        </w:trPr>
        <w:tc>
          <w:tcPr>
            <w:tcW w:w="2973" w:type="dxa"/>
            <w:tcBorders>
              <w:top w:val="single" w:sz="18" w:space="0" w:color="9D2234"/>
              <w:left w:val="nil"/>
              <w:bottom w:val="single" w:sz="4" w:space="0" w:color="828992"/>
              <w:right w:val="nil"/>
            </w:tcBorders>
          </w:tcPr>
          <w:p w14:paraId="57961CA0" w14:textId="77777777" w:rsidR="00E50B37" w:rsidRDefault="00645276">
            <w:pPr>
              <w:widowControl w:val="0"/>
              <w:spacing w:after="0" w:line="240" w:lineRule="auto"/>
              <w:jc w:val="left"/>
              <w:rPr>
                <w:rFonts w:ascii="Calibri" w:eastAsia="Times New Roman" w:hAnsi="Calibri" w:cs="Calibri"/>
                <w:color w:val="000000"/>
                <w:sz w:val="16"/>
                <w:szCs w:val="16"/>
                <w:lang w:eastAsia="lv-LV"/>
              </w:rPr>
            </w:pPr>
            <w:r>
              <w:rPr>
                <w:rFonts w:ascii="Calibri" w:eastAsia="Times New Roman" w:hAnsi="Calibri" w:cs="Calibri"/>
                <w:color w:val="000000"/>
                <w:sz w:val="16"/>
                <w:szCs w:val="16"/>
                <w:lang w:eastAsia="lv-LV"/>
              </w:rPr>
              <w:t>Latvija (FM)</w:t>
            </w:r>
          </w:p>
        </w:tc>
        <w:tc>
          <w:tcPr>
            <w:tcW w:w="714" w:type="dxa"/>
            <w:vMerge w:val="restart"/>
            <w:tcBorders>
              <w:top w:val="single" w:sz="18" w:space="0" w:color="9D2234"/>
              <w:left w:val="nil"/>
              <w:bottom w:val="nil"/>
              <w:right w:val="nil"/>
            </w:tcBorders>
            <w:vAlign w:val="center"/>
          </w:tcPr>
          <w:p w14:paraId="34D4FB3F" w14:textId="77777777" w:rsidR="00E50B37" w:rsidRDefault="00645276">
            <w:pPr>
              <w:widowControl w:val="0"/>
              <w:spacing w:after="0" w:line="240" w:lineRule="auto"/>
              <w:jc w:val="center"/>
              <w:rPr>
                <w:rFonts w:ascii="Calibri" w:eastAsia="Times New Roman" w:hAnsi="Calibri" w:cs="Calibri"/>
                <w:color w:val="000000"/>
                <w:sz w:val="16"/>
                <w:szCs w:val="16"/>
                <w:lang w:eastAsia="lv-LV"/>
              </w:rPr>
            </w:pPr>
            <w:r>
              <w:rPr>
                <w:rFonts w:ascii="Calibri" w:eastAsia="Times New Roman" w:hAnsi="Calibri" w:cs="Calibri"/>
                <w:color w:val="000000"/>
                <w:sz w:val="16"/>
                <w:szCs w:val="16"/>
                <w:lang w:eastAsia="lv-LV"/>
              </w:rPr>
              <w:t>-3.6</w:t>
            </w:r>
          </w:p>
        </w:tc>
        <w:tc>
          <w:tcPr>
            <w:tcW w:w="1134" w:type="dxa"/>
            <w:tcBorders>
              <w:top w:val="single" w:sz="18" w:space="0" w:color="9D2234"/>
              <w:left w:val="nil"/>
              <w:bottom w:val="single" w:sz="4" w:space="0" w:color="828992"/>
              <w:right w:val="nil"/>
            </w:tcBorders>
          </w:tcPr>
          <w:p w14:paraId="69B7608C" w14:textId="77777777" w:rsidR="00E50B37" w:rsidRDefault="00645276">
            <w:pPr>
              <w:widowControl w:val="0"/>
              <w:spacing w:after="0" w:line="240" w:lineRule="auto"/>
              <w:jc w:val="center"/>
              <w:rPr>
                <w:rFonts w:ascii="Calibri" w:eastAsia="Times New Roman" w:hAnsi="Calibri" w:cs="Calibri"/>
                <w:color w:val="auto"/>
                <w:sz w:val="16"/>
                <w:szCs w:val="16"/>
                <w:lang w:eastAsia="lv-LV"/>
              </w:rPr>
            </w:pPr>
            <w:r>
              <w:rPr>
                <w:rFonts w:ascii="Calibri" w:eastAsia="Times New Roman" w:hAnsi="Calibri" w:cs="Calibri"/>
                <w:color w:val="auto"/>
                <w:sz w:val="16"/>
                <w:szCs w:val="16"/>
                <w:lang w:eastAsia="lv-LV"/>
              </w:rPr>
              <w:t>3.7</w:t>
            </w:r>
          </w:p>
        </w:tc>
        <w:tc>
          <w:tcPr>
            <w:tcW w:w="1280" w:type="dxa"/>
            <w:tcBorders>
              <w:top w:val="single" w:sz="18" w:space="0" w:color="9D2234"/>
              <w:left w:val="nil"/>
              <w:bottom w:val="single" w:sz="4" w:space="0" w:color="828992"/>
              <w:right w:val="nil"/>
            </w:tcBorders>
          </w:tcPr>
          <w:p w14:paraId="3AFFD1B2" w14:textId="77777777" w:rsidR="00E50B37" w:rsidRDefault="00645276">
            <w:pPr>
              <w:widowControl w:val="0"/>
              <w:spacing w:after="0" w:line="240" w:lineRule="auto"/>
              <w:jc w:val="center"/>
              <w:rPr>
                <w:rFonts w:ascii="Calibri" w:eastAsia="Times New Roman" w:hAnsi="Calibri" w:cs="Calibri"/>
                <w:color w:val="auto"/>
                <w:sz w:val="16"/>
                <w:szCs w:val="16"/>
                <w:lang w:eastAsia="lv-LV"/>
              </w:rPr>
            </w:pPr>
            <w:r>
              <w:rPr>
                <w:rFonts w:ascii="Calibri" w:eastAsia="Times New Roman" w:hAnsi="Calibri" w:cs="Calibri"/>
                <w:color w:val="auto"/>
                <w:sz w:val="16"/>
                <w:szCs w:val="16"/>
                <w:lang w:eastAsia="lv-LV"/>
              </w:rPr>
              <w:t>5</w:t>
            </w:r>
          </w:p>
        </w:tc>
        <w:tc>
          <w:tcPr>
            <w:tcW w:w="3253" w:type="dxa"/>
            <w:tcBorders>
              <w:top w:val="single" w:sz="18" w:space="0" w:color="9D2234"/>
              <w:left w:val="nil"/>
              <w:bottom w:val="single" w:sz="4" w:space="0" w:color="828992"/>
              <w:right w:val="nil"/>
            </w:tcBorders>
          </w:tcPr>
          <w:p w14:paraId="031C76A7" w14:textId="77777777" w:rsidR="00E50B37" w:rsidRDefault="00645276">
            <w:pPr>
              <w:widowControl w:val="0"/>
              <w:spacing w:after="0" w:line="240" w:lineRule="auto"/>
              <w:jc w:val="center"/>
              <w:rPr>
                <w:rFonts w:ascii="Calibri" w:eastAsia="Times New Roman" w:hAnsi="Calibri" w:cs="Calibri"/>
                <w:color w:val="000000"/>
                <w:sz w:val="16"/>
                <w:szCs w:val="16"/>
                <w:lang w:eastAsia="lv-LV"/>
              </w:rPr>
            </w:pPr>
            <w:r>
              <w:rPr>
                <w:rFonts w:ascii="Calibri" w:eastAsia="Times New Roman" w:hAnsi="Calibri" w:cs="Calibri"/>
                <w:color w:val="000000"/>
                <w:sz w:val="16"/>
                <w:szCs w:val="16"/>
                <w:lang w:eastAsia="lv-LV"/>
              </w:rPr>
              <w:t>Jūn. 2021</w:t>
            </w:r>
            <w:r>
              <w:rPr>
                <w:rStyle w:val="FootnoteAnchor"/>
                <w:rFonts w:ascii="Calibri" w:eastAsia="Times New Roman" w:hAnsi="Calibri" w:cs="Calibri"/>
                <w:color w:val="000000"/>
                <w:sz w:val="16"/>
                <w:szCs w:val="16"/>
                <w:lang w:eastAsia="lv-LV"/>
              </w:rPr>
              <w:footnoteReference w:id="27"/>
            </w:r>
          </w:p>
        </w:tc>
      </w:tr>
      <w:tr w:rsidR="00E50B37" w14:paraId="0FE1FAEA" w14:textId="77777777">
        <w:trPr>
          <w:trHeight w:val="20"/>
        </w:trPr>
        <w:tc>
          <w:tcPr>
            <w:tcW w:w="2973" w:type="dxa"/>
            <w:tcBorders>
              <w:top w:val="single" w:sz="4" w:space="0" w:color="828992"/>
              <w:left w:val="nil"/>
              <w:bottom w:val="single" w:sz="4" w:space="0" w:color="828992"/>
              <w:right w:val="nil"/>
            </w:tcBorders>
          </w:tcPr>
          <w:p w14:paraId="123DD993" w14:textId="77777777" w:rsidR="00E50B37" w:rsidRDefault="00645276">
            <w:pPr>
              <w:widowControl w:val="0"/>
              <w:spacing w:after="0" w:line="240" w:lineRule="auto"/>
              <w:jc w:val="left"/>
              <w:rPr>
                <w:rFonts w:ascii="Calibri" w:eastAsia="Times New Roman" w:hAnsi="Calibri" w:cs="Calibri"/>
                <w:color w:val="000000"/>
                <w:sz w:val="16"/>
                <w:szCs w:val="16"/>
                <w:lang w:eastAsia="lv-LV"/>
              </w:rPr>
            </w:pPr>
            <w:r>
              <w:rPr>
                <w:rFonts w:ascii="Calibri" w:eastAsia="Times New Roman" w:hAnsi="Calibri" w:cs="Calibri"/>
                <w:color w:val="000000"/>
                <w:sz w:val="16"/>
                <w:szCs w:val="16"/>
                <w:lang w:eastAsia="lv-LV"/>
              </w:rPr>
              <w:t>Latvija (LB)</w:t>
            </w:r>
          </w:p>
        </w:tc>
        <w:tc>
          <w:tcPr>
            <w:tcW w:w="714" w:type="dxa"/>
            <w:vMerge/>
            <w:tcBorders>
              <w:top w:val="nil"/>
              <w:left w:val="nil"/>
              <w:bottom w:val="nil"/>
              <w:right w:val="nil"/>
            </w:tcBorders>
          </w:tcPr>
          <w:p w14:paraId="69D084A3" w14:textId="77777777" w:rsidR="00E50B37" w:rsidRDefault="00E50B37">
            <w:pPr>
              <w:widowControl w:val="0"/>
              <w:spacing w:after="0" w:line="240" w:lineRule="auto"/>
              <w:jc w:val="left"/>
              <w:rPr>
                <w:rFonts w:ascii="Calibri" w:eastAsia="Times New Roman" w:hAnsi="Calibri" w:cs="Calibri"/>
                <w:color w:val="000000"/>
                <w:sz w:val="16"/>
                <w:szCs w:val="16"/>
                <w:lang w:eastAsia="lv-LV"/>
              </w:rPr>
            </w:pPr>
          </w:p>
        </w:tc>
        <w:tc>
          <w:tcPr>
            <w:tcW w:w="1134" w:type="dxa"/>
            <w:tcBorders>
              <w:top w:val="single" w:sz="4" w:space="0" w:color="828992"/>
              <w:left w:val="nil"/>
              <w:bottom w:val="single" w:sz="4" w:space="0" w:color="828992"/>
              <w:right w:val="nil"/>
            </w:tcBorders>
            <w:shd w:val="clear" w:color="auto" w:fill="auto"/>
          </w:tcPr>
          <w:p w14:paraId="7F7D4FCE" w14:textId="77777777" w:rsidR="00E50B37" w:rsidRDefault="00645276">
            <w:pPr>
              <w:widowControl w:val="0"/>
              <w:spacing w:after="0" w:line="240" w:lineRule="auto"/>
              <w:jc w:val="center"/>
              <w:rPr>
                <w:rFonts w:ascii="Calibri" w:eastAsia="Times New Roman" w:hAnsi="Calibri" w:cs="Calibri"/>
                <w:color w:val="auto"/>
                <w:sz w:val="16"/>
                <w:szCs w:val="16"/>
                <w:lang w:eastAsia="lv-LV"/>
              </w:rPr>
            </w:pPr>
            <w:r>
              <w:rPr>
                <w:rFonts w:ascii="Calibri" w:eastAsia="Times New Roman" w:hAnsi="Calibri" w:cs="Calibri"/>
                <w:color w:val="auto"/>
                <w:sz w:val="16"/>
                <w:szCs w:val="16"/>
                <w:lang w:eastAsia="lv-LV"/>
              </w:rPr>
              <w:t xml:space="preserve">5,3 </w:t>
            </w:r>
          </w:p>
        </w:tc>
        <w:tc>
          <w:tcPr>
            <w:tcW w:w="1280" w:type="dxa"/>
            <w:tcBorders>
              <w:top w:val="single" w:sz="4" w:space="0" w:color="828992"/>
              <w:left w:val="nil"/>
              <w:bottom w:val="single" w:sz="4" w:space="0" w:color="828992"/>
              <w:right w:val="nil"/>
            </w:tcBorders>
            <w:shd w:val="clear" w:color="auto" w:fill="auto"/>
          </w:tcPr>
          <w:p w14:paraId="056B95F0" w14:textId="77777777" w:rsidR="00E50B37" w:rsidRDefault="00645276">
            <w:pPr>
              <w:widowControl w:val="0"/>
              <w:spacing w:after="0" w:line="240" w:lineRule="auto"/>
              <w:jc w:val="center"/>
              <w:rPr>
                <w:rFonts w:ascii="Calibri" w:eastAsia="Times New Roman" w:hAnsi="Calibri" w:cs="Calibri"/>
                <w:color w:val="auto"/>
                <w:sz w:val="16"/>
                <w:szCs w:val="16"/>
                <w:lang w:eastAsia="lv-LV"/>
              </w:rPr>
            </w:pPr>
            <w:r>
              <w:rPr>
                <w:rFonts w:ascii="Calibri" w:eastAsia="Times New Roman" w:hAnsi="Calibri" w:cs="Calibri"/>
                <w:color w:val="auto"/>
                <w:sz w:val="16"/>
                <w:szCs w:val="16"/>
                <w:lang w:eastAsia="lv-LV"/>
              </w:rPr>
              <w:t>5,1</w:t>
            </w:r>
          </w:p>
        </w:tc>
        <w:tc>
          <w:tcPr>
            <w:tcW w:w="3253" w:type="dxa"/>
            <w:tcBorders>
              <w:top w:val="single" w:sz="4" w:space="0" w:color="828992"/>
              <w:left w:val="nil"/>
              <w:bottom w:val="single" w:sz="4" w:space="0" w:color="828992"/>
              <w:right w:val="nil"/>
            </w:tcBorders>
            <w:shd w:val="clear" w:color="auto" w:fill="auto"/>
          </w:tcPr>
          <w:p w14:paraId="0B63D4A8" w14:textId="77777777" w:rsidR="00E50B37" w:rsidRDefault="00645276">
            <w:pPr>
              <w:widowControl w:val="0"/>
              <w:spacing w:after="0" w:line="240" w:lineRule="auto"/>
              <w:jc w:val="center"/>
              <w:rPr>
                <w:rFonts w:ascii="Calibri" w:eastAsia="Times New Roman" w:hAnsi="Calibri" w:cs="Calibri"/>
                <w:color w:val="000000"/>
                <w:sz w:val="16"/>
                <w:szCs w:val="16"/>
                <w:lang w:eastAsia="lv-LV"/>
              </w:rPr>
            </w:pPr>
            <w:r>
              <w:rPr>
                <w:rFonts w:ascii="Calibri" w:eastAsia="Times New Roman" w:hAnsi="Calibri" w:cs="Calibri"/>
                <w:color w:val="000000"/>
                <w:sz w:val="16"/>
                <w:szCs w:val="16"/>
                <w:lang w:eastAsia="lv-LV"/>
              </w:rPr>
              <w:t>Sept. 2021</w:t>
            </w:r>
            <w:r>
              <w:rPr>
                <w:rStyle w:val="FootnoteAnchor"/>
                <w:rFonts w:ascii="Calibri" w:eastAsia="Times New Roman" w:hAnsi="Calibri" w:cs="Calibri"/>
                <w:color w:val="000000"/>
                <w:sz w:val="16"/>
                <w:szCs w:val="16"/>
                <w:lang w:eastAsia="lv-LV"/>
              </w:rPr>
              <w:footnoteReference w:id="28"/>
            </w:r>
          </w:p>
        </w:tc>
      </w:tr>
      <w:tr w:rsidR="00E50B37" w14:paraId="5352671F" w14:textId="77777777">
        <w:trPr>
          <w:trHeight w:val="20"/>
        </w:trPr>
        <w:tc>
          <w:tcPr>
            <w:tcW w:w="2973" w:type="dxa"/>
            <w:tcBorders>
              <w:top w:val="single" w:sz="4" w:space="0" w:color="828992"/>
              <w:left w:val="nil"/>
              <w:bottom w:val="single" w:sz="4" w:space="0" w:color="828992"/>
              <w:right w:val="nil"/>
            </w:tcBorders>
          </w:tcPr>
          <w:p w14:paraId="6B639A3A" w14:textId="77777777" w:rsidR="00E50B37" w:rsidRDefault="00645276">
            <w:pPr>
              <w:widowControl w:val="0"/>
              <w:spacing w:after="0" w:line="240" w:lineRule="auto"/>
              <w:jc w:val="left"/>
              <w:rPr>
                <w:rFonts w:ascii="Calibri" w:eastAsia="Times New Roman" w:hAnsi="Calibri" w:cs="Calibri"/>
                <w:color w:val="auto"/>
                <w:sz w:val="16"/>
                <w:szCs w:val="16"/>
                <w:lang w:eastAsia="lv-LV"/>
              </w:rPr>
            </w:pPr>
            <w:r>
              <w:rPr>
                <w:rFonts w:ascii="Calibri" w:eastAsia="Times New Roman" w:hAnsi="Calibri" w:cs="Calibri"/>
                <w:color w:val="auto"/>
                <w:sz w:val="16"/>
                <w:szCs w:val="16"/>
                <w:lang w:eastAsia="lv-LV"/>
              </w:rPr>
              <w:t xml:space="preserve">Latvija (SVF) </w:t>
            </w:r>
          </w:p>
        </w:tc>
        <w:tc>
          <w:tcPr>
            <w:tcW w:w="714" w:type="dxa"/>
            <w:vMerge/>
            <w:tcBorders>
              <w:top w:val="nil"/>
              <w:left w:val="nil"/>
              <w:bottom w:val="nil"/>
              <w:right w:val="nil"/>
            </w:tcBorders>
          </w:tcPr>
          <w:p w14:paraId="67209E40" w14:textId="77777777" w:rsidR="00E50B37" w:rsidRDefault="00E50B37">
            <w:pPr>
              <w:widowControl w:val="0"/>
              <w:spacing w:after="0" w:line="240" w:lineRule="auto"/>
              <w:jc w:val="left"/>
              <w:rPr>
                <w:rFonts w:ascii="Calibri" w:eastAsia="Times New Roman" w:hAnsi="Calibri" w:cs="Calibri"/>
                <w:color w:val="auto"/>
                <w:sz w:val="16"/>
                <w:szCs w:val="16"/>
                <w:lang w:eastAsia="lv-LV"/>
              </w:rPr>
            </w:pPr>
          </w:p>
        </w:tc>
        <w:tc>
          <w:tcPr>
            <w:tcW w:w="1134" w:type="dxa"/>
            <w:tcBorders>
              <w:top w:val="single" w:sz="4" w:space="0" w:color="828992"/>
              <w:left w:val="nil"/>
              <w:bottom w:val="single" w:sz="4" w:space="0" w:color="828992"/>
              <w:right w:val="nil"/>
            </w:tcBorders>
          </w:tcPr>
          <w:p w14:paraId="6963EEC4" w14:textId="77777777" w:rsidR="00E50B37" w:rsidRDefault="00645276">
            <w:pPr>
              <w:widowControl w:val="0"/>
              <w:spacing w:after="0" w:line="240" w:lineRule="auto"/>
              <w:jc w:val="center"/>
              <w:rPr>
                <w:rFonts w:ascii="Calibri" w:eastAsia="Times New Roman" w:hAnsi="Calibri" w:cs="Calibri"/>
                <w:color w:val="auto"/>
                <w:sz w:val="16"/>
                <w:szCs w:val="16"/>
                <w:lang w:eastAsia="lv-LV"/>
              </w:rPr>
            </w:pPr>
            <w:r>
              <w:rPr>
                <w:rFonts w:ascii="Calibri" w:eastAsia="Times New Roman" w:hAnsi="Calibri" w:cs="Calibri"/>
                <w:color w:val="auto"/>
                <w:sz w:val="16"/>
                <w:szCs w:val="16"/>
                <w:lang w:eastAsia="lv-LV"/>
              </w:rPr>
              <w:t>3.6</w:t>
            </w:r>
          </w:p>
        </w:tc>
        <w:tc>
          <w:tcPr>
            <w:tcW w:w="1280" w:type="dxa"/>
            <w:tcBorders>
              <w:top w:val="single" w:sz="4" w:space="0" w:color="828992"/>
              <w:left w:val="nil"/>
              <w:bottom w:val="single" w:sz="4" w:space="0" w:color="828992"/>
              <w:right w:val="nil"/>
            </w:tcBorders>
          </w:tcPr>
          <w:p w14:paraId="39CBB629" w14:textId="77777777" w:rsidR="00E50B37" w:rsidRDefault="00645276">
            <w:pPr>
              <w:widowControl w:val="0"/>
              <w:spacing w:after="0" w:line="240" w:lineRule="auto"/>
              <w:jc w:val="center"/>
              <w:rPr>
                <w:rFonts w:ascii="Calibri" w:eastAsia="Times New Roman" w:hAnsi="Calibri" w:cs="Calibri"/>
                <w:color w:val="auto"/>
                <w:sz w:val="16"/>
                <w:szCs w:val="16"/>
                <w:lang w:eastAsia="lv-LV"/>
              </w:rPr>
            </w:pPr>
            <w:r>
              <w:rPr>
                <w:rFonts w:ascii="Calibri" w:eastAsia="Times New Roman" w:hAnsi="Calibri" w:cs="Calibri"/>
                <w:color w:val="auto"/>
                <w:sz w:val="16"/>
                <w:szCs w:val="16"/>
                <w:lang w:eastAsia="lv-LV"/>
              </w:rPr>
              <w:t>5.2</w:t>
            </w:r>
          </w:p>
        </w:tc>
        <w:tc>
          <w:tcPr>
            <w:tcW w:w="3253" w:type="dxa"/>
            <w:tcBorders>
              <w:top w:val="single" w:sz="4" w:space="0" w:color="828992"/>
              <w:left w:val="nil"/>
              <w:bottom w:val="single" w:sz="4" w:space="0" w:color="828992"/>
              <w:right w:val="nil"/>
            </w:tcBorders>
          </w:tcPr>
          <w:p w14:paraId="57181E62" w14:textId="77777777" w:rsidR="00E50B37" w:rsidRDefault="00645276">
            <w:pPr>
              <w:widowControl w:val="0"/>
              <w:spacing w:after="0" w:line="240" w:lineRule="auto"/>
              <w:jc w:val="center"/>
              <w:rPr>
                <w:rFonts w:ascii="Calibri" w:eastAsia="Times New Roman" w:hAnsi="Calibri" w:cs="Calibri"/>
                <w:color w:val="auto"/>
                <w:sz w:val="16"/>
                <w:szCs w:val="16"/>
                <w:lang w:eastAsia="lv-LV"/>
              </w:rPr>
            </w:pPr>
            <w:r>
              <w:rPr>
                <w:rFonts w:ascii="Calibri" w:eastAsia="Times New Roman" w:hAnsi="Calibri" w:cs="Calibri"/>
                <w:color w:val="auto"/>
                <w:sz w:val="16"/>
                <w:szCs w:val="16"/>
                <w:lang w:eastAsia="lv-LV"/>
              </w:rPr>
              <w:t>Sept. 2021</w:t>
            </w:r>
            <w:r>
              <w:rPr>
                <w:rStyle w:val="FootnoteAnchor"/>
                <w:rFonts w:ascii="Calibri" w:eastAsia="Times New Roman" w:hAnsi="Calibri" w:cs="Calibri"/>
                <w:color w:val="auto"/>
                <w:sz w:val="16"/>
                <w:szCs w:val="16"/>
                <w:lang w:eastAsia="lv-LV"/>
              </w:rPr>
              <w:footnoteReference w:id="29"/>
            </w:r>
          </w:p>
        </w:tc>
      </w:tr>
      <w:tr w:rsidR="00E50B37" w14:paraId="5D216922" w14:textId="77777777">
        <w:trPr>
          <w:trHeight w:val="20"/>
        </w:trPr>
        <w:tc>
          <w:tcPr>
            <w:tcW w:w="2973" w:type="dxa"/>
            <w:tcBorders>
              <w:top w:val="single" w:sz="4" w:space="0" w:color="828992"/>
              <w:left w:val="nil"/>
              <w:bottom w:val="single" w:sz="4" w:space="0" w:color="828992"/>
              <w:right w:val="nil"/>
            </w:tcBorders>
          </w:tcPr>
          <w:p w14:paraId="1B4B0215" w14:textId="77777777" w:rsidR="00E50B37" w:rsidRDefault="00645276">
            <w:pPr>
              <w:widowControl w:val="0"/>
              <w:spacing w:after="0" w:line="240" w:lineRule="auto"/>
              <w:jc w:val="left"/>
              <w:rPr>
                <w:rFonts w:ascii="Calibri" w:eastAsia="Times New Roman" w:hAnsi="Calibri" w:cs="Calibri"/>
                <w:color w:val="000000"/>
                <w:sz w:val="16"/>
                <w:szCs w:val="16"/>
                <w:lang w:eastAsia="lv-LV"/>
              </w:rPr>
            </w:pPr>
            <w:r>
              <w:rPr>
                <w:rFonts w:ascii="Calibri" w:eastAsia="Times New Roman" w:hAnsi="Calibri" w:cs="Calibri"/>
                <w:color w:val="000000"/>
                <w:sz w:val="16"/>
                <w:szCs w:val="16"/>
                <w:lang w:eastAsia="lv-LV"/>
              </w:rPr>
              <w:t>Latvija (EK)</w:t>
            </w:r>
          </w:p>
        </w:tc>
        <w:tc>
          <w:tcPr>
            <w:tcW w:w="714" w:type="dxa"/>
            <w:vMerge/>
            <w:tcBorders>
              <w:top w:val="nil"/>
              <w:left w:val="nil"/>
              <w:bottom w:val="nil"/>
              <w:right w:val="nil"/>
            </w:tcBorders>
          </w:tcPr>
          <w:p w14:paraId="279B8FBC" w14:textId="77777777" w:rsidR="00E50B37" w:rsidRDefault="00E50B37">
            <w:pPr>
              <w:widowControl w:val="0"/>
              <w:spacing w:after="0" w:line="240" w:lineRule="auto"/>
              <w:jc w:val="left"/>
              <w:rPr>
                <w:rFonts w:ascii="Calibri" w:eastAsia="Times New Roman" w:hAnsi="Calibri" w:cs="Calibri"/>
                <w:color w:val="000000"/>
                <w:sz w:val="16"/>
                <w:szCs w:val="16"/>
                <w:lang w:eastAsia="lv-LV"/>
              </w:rPr>
            </w:pPr>
          </w:p>
        </w:tc>
        <w:tc>
          <w:tcPr>
            <w:tcW w:w="1134" w:type="dxa"/>
            <w:tcBorders>
              <w:top w:val="single" w:sz="4" w:space="0" w:color="828992"/>
              <w:left w:val="nil"/>
              <w:bottom w:val="single" w:sz="4" w:space="0" w:color="828992"/>
              <w:right w:val="nil"/>
            </w:tcBorders>
          </w:tcPr>
          <w:p w14:paraId="15E5EA4E" w14:textId="77777777" w:rsidR="00E50B37" w:rsidRDefault="00645276">
            <w:pPr>
              <w:widowControl w:val="0"/>
              <w:spacing w:after="0" w:line="240" w:lineRule="auto"/>
              <w:jc w:val="center"/>
              <w:rPr>
                <w:rFonts w:ascii="Calibri" w:eastAsia="Times New Roman" w:hAnsi="Calibri" w:cs="Calibri"/>
                <w:color w:val="auto"/>
                <w:sz w:val="16"/>
                <w:szCs w:val="16"/>
                <w:lang w:eastAsia="lv-LV"/>
              </w:rPr>
            </w:pPr>
            <w:r>
              <w:rPr>
                <w:rFonts w:ascii="Calibri" w:eastAsia="Times New Roman" w:hAnsi="Calibri" w:cs="Calibri"/>
                <w:color w:val="auto"/>
                <w:sz w:val="16"/>
                <w:szCs w:val="16"/>
                <w:lang w:eastAsia="lv-LV"/>
              </w:rPr>
              <w:t>3.8</w:t>
            </w:r>
          </w:p>
        </w:tc>
        <w:tc>
          <w:tcPr>
            <w:tcW w:w="1280" w:type="dxa"/>
            <w:tcBorders>
              <w:top w:val="single" w:sz="4" w:space="0" w:color="828992"/>
              <w:left w:val="nil"/>
              <w:bottom w:val="single" w:sz="4" w:space="0" w:color="828992"/>
              <w:right w:val="nil"/>
            </w:tcBorders>
          </w:tcPr>
          <w:p w14:paraId="305A5EFF" w14:textId="77777777" w:rsidR="00E50B37" w:rsidRDefault="00645276">
            <w:pPr>
              <w:widowControl w:val="0"/>
              <w:spacing w:after="0" w:line="240" w:lineRule="auto"/>
              <w:jc w:val="center"/>
              <w:rPr>
                <w:rFonts w:ascii="Calibri" w:eastAsia="Times New Roman" w:hAnsi="Calibri" w:cs="Calibri"/>
                <w:color w:val="auto"/>
                <w:sz w:val="16"/>
                <w:szCs w:val="16"/>
                <w:lang w:eastAsia="lv-LV"/>
              </w:rPr>
            </w:pPr>
            <w:r>
              <w:rPr>
                <w:rFonts w:ascii="Calibri" w:eastAsia="Times New Roman" w:hAnsi="Calibri" w:cs="Calibri"/>
                <w:color w:val="auto"/>
                <w:sz w:val="16"/>
                <w:szCs w:val="16"/>
                <w:lang w:eastAsia="lv-LV"/>
              </w:rPr>
              <w:t>6</w:t>
            </w:r>
          </w:p>
        </w:tc>
        <w:tc>
          <w:tcPr>
            <w:tcW w:w="3253" w:type="dxa"/>
            <w:tcBorders>
              <w:top w:val="single" w:sz="4" w:space="0" w:color="828992"/>
              <w:left w:val="nil"/>
              <w:bottom w:val="single" w:sz="4" w:space="0" w:color="828992"/>
              <w:right w:val="nil"/>
            </w:tcBorders>
          </w:tcPr>
          <w:p w14:paraId="15FB1A02" w14:textId="77777777" w:rsidR="00E50B37" w:rsidRDefault="00645276">
            <w:pPr>
              <w:widowControl w:val="0"/>
              <w:spacing w:after="0" w:line="240" w:lineRule="auto"/>
              <w:jc w:val="center"/>
              <w:rPr>
                <w:rFonts w:ascii="Calibri" w:eastAsia="Times New Roman" w:hAnsi="Calibri" w:cs="Calibri"/>
                <w:color w:val="000000"/>
                <w:sz w:val="16"/>
                <w:szCs w:val="16"/>
                <w:lang w:eastAsia="lv-LV"/>
              </w:rPr>
            </w:pPr>
            <w:r>
              <w:rPr>
                <w:rFonts w:ascii="Calibri" w:eastAsia="Times New Roman" w:hAnsi="Calibri" w:cs="Calibri"/>
                <w:color w:val="000000"/>
                <w:sz w:val="16"/>
                <w:szCs w:val="16"/>
                <w:lang w:eastAsia="lv-LV"/>
              </w:rPr>
              <w:t>Jūl. 2021</w:t>
            </w:r>
            <w:r>
              <w:rPr>
                <w:rStyle w:val="FootnoteAnchor"/>
                <w:rFonts w:ascii="Calibri" w:eastAsia="Times New Roman" w:hAnsi="Calibri" w:cs="Calibri"/>
                <w:color w:val="000000"/>
                <w:sz w:val="16"/>
                <w:szCs w:val="16"/>
                <w:lang w:eastAsia="lv-LV"/>
              </w:rPr>
              <w:footnoteReference w:id="30"/>
            </w:r>
          </w:p>
        </w:tc>
      </w:tr>
      <w:tr w:rsidR="00E50B37" w14:paraId="09169CA3" w14:textId="77777777">
        <w:trPr>
          <w:trHeight w:val="20"/>
        </w:trPr>
        <w:tc>
          <w:tcPr>
            <w:tcW w:w="2973" w:type="dxa"/>
            <w:tcBorders>
              <w:top w:val="single" w:sz="4" w:space="0" w:color="828992"/>
              <w:left w:val="nil"/>
              <w:bottom w:val="single" w:sz="4" w:space="0" w:color="9D2234"/>
              <w:right w:val="nil"/>
            </w:tcBorders>
          </w:tcPr>
          <w:p w14:paraId="65CB3635" w14:textId="77777777" w:rsidR="00E50B37" w:rsidRDefault="00645276">
            <w:pPr>
              <w:widowControl w:val="0"/>
              <w:spacing w:after="0" w:line="240" w:lineRule="auto"/>
              <w:jc w:val="left"/>
              <w:rPr>
                <w:rFonts w:ascii="Calibri" w:eastAsia="Times New Roman" w:hAnsi="Calibri" w:cs="Calibri"/>
                <w:color w:val="000000"/>
                <w:sz w:val="16"/>
                <w:szCs w:val="16"/>
                <w:lang w:eastAsia="lv-LV"/>
              </w:rPr>
            </w:pPr>
            <w:r>
              <w:rPr>
                <w:rFonts w:ascii="Calibri" w:eastAsia="Times New Roman" w:hAnsi="Calibri" w:cs="Calibri"/>
                <w:color w:val="000000"/>
                <w:sz w:val="16"/>
                <w:szCs w:val="16"/>
                <w:lang w:eastAsia="lv-LV"/>
              </w:rPr>
              <w:t>Latvija (Swedbank)</w:t>
            </w:r>
          </w:p>
        </w:tc>
        <w:tc>
          <w:tcPr>
            <w:tcW w:w="714" w:type="dxa"/>
            <w:vMerge/>
            <w:tcBorders>
              <w:top w:val="nil"/>
              <w:left w:val="nil"/>
              <w:bottom w:val="nil"/>
              <w:right w:val="nil"/>
            </w:tcBorders>
          </w:tcPr>
          <w:p w14:paraId="3FEB8EEF" w14:textId="77777777" w:rsidR="00E50B37" w:rsidRDefault="00E50B37">
            <w:pPr>
              <w:widowControl w:val="0"/>
              <w:spacing w:after="0" w:line="240" w:lineRule="auto"/>
              <w:jc w:val="left"/>
              <w:rPr>
                <w:rFonts w:ascii="Calibri" w:eastAsia="Times New Roman" w:hAnsi="Calibri" w:cs="Calibri"/>
                <w:color w:val="000000"/>
                <w:sz w:val="16"/>
                <w:szCs w:val="16"/>
                <w:lang w:eastAsia="lv-LV"/>
              </w:rPr>
            </w:pPr>
          </w:p>
        </w:tc>
        <w:tc>
          <w:tcPr>
            <w:tcW w:w="1134" w:type="dxa"/>
            <w:tcBorders>
              <w:top w:val="single" w:sz="4" w:space="0" w:color="828992"/>
              <w:left w:val="nil"/>
              <w:bottom w:val="single" w:sz="4" w:space="0" w:color="9D2234"/>
              <w:right w:val="nil"/>
            </w:tcBorders>
          </w:tcPr>
          <w:p w14:paraId="4AD72E15" w14:textId="77777777" w:rsidR="00E50B37" w:rsidRDefault="00645276">
            <w:pPr>
              <w:widowControl w:val="0"/>
              <w:spacing w:after="0" w:line="240" w:lineRule="auto"/>
              <w:jc w:val="center"/>
              <w:rPr>
                <w:rFonts w:ascii="Calibri" w:eastAsia="Times New Roman" w:hAnsi="Calibri" w:cs="Calibri"/>
                <w:color w:val="auto"/>
                <w:sz w:val="16"/>
                <w:szCs w:val="16"/>
                <w:lang w:eastAsia="lv-LV"/>
              </w:rPr>
            </w:pPr>
            <w:r>
              <w:rPr>
                <w:rFonts w:ascii="Calibri" w:eastAsia="Times New Roman" w:hAnsi="Calibri" w:cs="Calibri"/>
                <w:color w:val="auto"/>
                <w:sz w:val="16"/>
                <w:szCs w:val="16"/>
                <w:lang w:eastAsia="lv-LV"/>
              </w:rPr>
              <w:t>4</w:t>
            </w:r>
          </w:p>
        </w:tc>
        <w:tc>
          <w:tcPr>
            <w:tcW w:w="1280" w:type="dxa"/>
            <w:tcBorders>
              <w:top w:val="single" w:sz="4" w:space="0" w:color="828992"/>
              <w:left w:val="nil"/>
              <w:bottom w:val="single" w:sz="4" w:space="0" w:color="9D2234"/>
              <w:right w:val="nil"/>
            </w:tcBorders>
          </w:tcPr>
          <w:p w14:paraId="3C0FAB81" w14:textId="77777777" w:rsidR="00E50B37" w:rsidRDefault="00645276">
            <w:pPr>
              <w:widowControl w:val="0"/>
              <w:spacing w:after="0" w:line="240" w:lineRule="auto"/>
              <w:jc w:val="center"/>
              <w:rPr>
                <w:rFonts w:ascii="Calibri" w:eastAsia="Times New Roman" w:hAnsi="Calibri" w:cs="Calibri"/>
                <w:color w:val="auto"/>
                <w:sz w:val="16"/>
                <w:szCs w:val="16"/>
                <w:lang w:eastAsia="lv-LV"/>
              </w:rPr>
            </w:pPr>
            <w:r>
              <w:rPr>
                <w:rFonts w:ascii="Calibri" w:eastAsia="Times New Roman" w:hAnsi="Calibri" w:cs="Calibri"/>
                <w:color w:val="auto"/>
                <w:sz w:val="16"/>
                <w:szCs w:val="16"/>
                <w:lang w:eastAsia="lv-LV"/>
              </w:rPr>
              <w:t>5</w:t>
            </w:r>
          </w:p>
        </w:tc>
        <w:tc>
          <w:tcPr>
            <w:tcW w:w="3253" w:type="dxa"/>
            <w:tcBorders>
              <w:top w:val="single" w:sz="4" w:space="0" w:color="828992"/>
              <w:left w:val="nil"/>
              <w:bottom w:val="single" w:sz="4" w:space="0" w:color="9D2234"/>
              <w:right w:val="nil"/>
            </w:tcBorders>
          </w:tcPr>
          <w:p w14:paraId="40333F77" w14:textId="77777777" w:rsidR="00E50B37" w:rsidRDefault="00645276">
            <w:pPr>
              <w:widowControl w:val="0"/>
              <w:spacing w:after="0" w:line="240" w:lineRule="auto"/>
              <w:jc w:val="center"/>
              <w:rPr>
                <w:rFonts w:ascii="Calibri" w:eastAsia="Times New Roman" w:hAnsi="Calibri" w:cs="Calibri"/>
                <w:color w:val="000000"/>
                <w:sz w:val="16"/>
                <w:szCs w:val="16"/>
                <w:lang w:eastAsia="lv-LV"/>
              </w:rPr>
            </w:pPr>
            <w:r>
              <w:rPr>
                <w:rFonts w:ascii="Calibri" w:eastAsia="Times New Roman" w:hAnsi="Calibri" w:cs="Calibri"/>
                <w:color w:val="000000"/>
                <w:sz w:val="16"/>
                <w:szCs w:val="16"/>
                <w:lang w:eastAsia="lv-LV"/>
              </w:rPr>
              <w:t>Aug.2021</w:t>
            </w:r>
            <w:r>
              <w:rPr>
                <w:rStyle w:val="FootnoteAnchor"/>
                <w:rFonts w:ascii="Calibri" w:eastAsia="Times New Roman" w:hAnsi="Calibri" w:cs="Calibri"/>
                <w:color w:val="000000"/>
                <w:sz w:val="16"/>
                <w:szCs w:val="16"/>
                <w:lang w:eastAsia="lv-LV"/>
              </w:rPr>
              <w:footnoteReference w:id="31"/>
            </w:r>
          </w:p>
        </w:tc>
      </w:tr>
      <w:tr w:rsidR="00E50B37" w14:paraId="6B7DC1C8" w14:textId="77777777">
        <w:trPr>
          <w:trHeight w:val="20"/>
        </w:trPr>
        <w:tc>
          <w:tcPr>
            <w:tcW w:w="2973" w:type="dxa"/>
            <w:tcBorders>
              <w:top w:val="single" w:sz="4" w:space="0" w:color="9D2234"/>
              <w:left w:val="nil"/>
              <w:bottom w:val="single" w:sz="18" w:space="0" w:color="9D2234"/>
              <w:right w:val="nil"/>
            </w:tcBorders>
          </w:tcPr>
          <w:p w14:paraId="4383DBFA" w14:textId="77777777" w:rsidR="00E50B37" w:rsidRDefault="00645276">
            <w:pPr>
              <w:widowControl w:val="0"/>
              <w:spacing w:after="0" w:line="240" w:lineRule="auto"/>
              <w:jc w:val="left"/>
              <w:rPr>
                <w:rFonts w:ascii="Calibri" w:eastAsia="Times New Roman" w:hAnsi="Calibri" w:cs="Calibri"/>
                <w:b/>
                <w:bCs/>
                <w:i/>
                <w:iCs/>
                <w:color w:val="9D2234" w:themeColor="accent5"/>
                <w:sz w:val="16"/>
                <w:szCs w:val="16"/>
                <w:lang w:eastAsia="lv-LV"/>
              </w:rPr>
            </w:pPr>
            <w:r>
              <w:rPr>
                <w:rFonts w:ascii="Calibri" w:eastAsia="Times New Roman" w:hAnsi="Calibri" w:cs="Calibri"/>
                <w:b/>
                <w:bCs/>
                <w:i/>
                <w:iCs/>
                <w:color w:val="9D2234" w:themeColor="accent5"/>
                <w:sz w:val="16"/>
                <w:szCs w:val="16"/>
                <w:lang w:eastAsia="lv-LV"/>
              </w:rPr>
              <w:t>Vidējais aritmētiskais</w:t>
            </w:r>
          </w:p>
        </w:tc>
        <w:tc>
          <w:tcPr>
            <w:tcW w:w="714" w:type="dxa"/>
            <w:tcBorders>
              <w:top w:val="single" w:sz="4" w:space="0" w:color="9D2234"/>
              <w:left w:val="nil"/>
              <w:bottom w:val="single" w:sz="18" w:space="0" w:color="9D2234"/>
              <w:right w:val="nil"/>
            </w:tcBorders>
          </w:tcPr>
          <w:p w14:paraId="349AD997" w14:textId="77777777" w:rsidR="00E50B37" w:rsidRDefault="00645276">
            <w:pPr>
              <w:widowControl w:val="0"/>
              <w:spacing w:after="0" w:line="240" w:lineRule="auto"/>
              <w:jc w:val="center"/>
              <w:rPr>
                <w:rFonts w:ascii="Calibri" w:eastAsia="Times New Roman" w:hAnsi="Calibri" w:cs="Calibri"/>
                <w:b/>
                <w:bCs/>
                <w:i/>
                <w:iCs/>
                <w:color w:val="9D2234" w:themeColor="accent5"/>
                <w:sz w:val="16"/>
                <w:szCs w:val="16"/>
                <w:lang w:eastAsia="lv-LV"/>
              </w:rPr>
            </w:pPr>
            <w:r>
              <w:rPr>
                <w:rFonts w:ascii="Calibri" w:eastAsia="Times New Roman" w:hAnsi="Calibri" w:cs="Calibri"/>
                <w:b/>
                <w:bCs/>
                <w:i/>
                <w:iCs/>
                <w:color w:val="9D2234" w:themeColor="accent5"/>
                <w:sz w:val="16"/>
                <w:szCs w:val="16"/>
                <w:lang w:eastAsia="lv-LV"/>
              </w:rPr>
              <w:t>-</w:t>
            </w:r>
          </w:p>
        </w:tc>
        <w:tc>
          <w:tcPr>
            <w:tcW w:w="1134" w:type="dxa"/>
            <w:tcBorders>
              <w:top w:val="single" w:sz="4" w:space="0" w:color="9D2234"/>
              <w:left w:val="nil"/>
              <w:bottom w:val="single" w:sz="18" w:space="0" w:color="9D2234"/>
              <w:right w:val="nil"/>
            </w:tcBorders>
          </w:tcPr>
          <w:p w14:paraId="339A528B" w14:textId="77777777" w:rsidR="00E50B37" w:rsidRDefault="00645276">
            <w:pPr>
              <w:widowControl w:val="0"/>
              <w:spacing w:after="0" w:line="240" w:lineRule="auto"/>
              <w:jc w:val="center"/>
              <w:rPr>
                <w:rFonts w:ascii="Calibri" w:eastAsia="Times New Roman" w:hAnsi="Calibri" w:cs="Calibri"/>
                <w:b/>
                <w:bCs/>
                <w:i/>
                <w:iCs/>
                <w:color w:val="9D2234" w:themeColor="accent5"/>
                <w:sz w:val="16"/>
                <w:szCs w:val="16"/>
                <w:lang w:eastAsia="lv-LV"/>
              </w:rPr>
            </w:pPr>
            <w:r>
              <w:rPr>
                <w:rFonts w:ascii="Calibri" w:eastAsia="Times New Roman" w:hAnsi="Calibri" w:cs="Calibri"/>
                <w:b/>
                <w:bCs/>
                <w:i/>
                <w:iCs/>
                <w:color w:val="9D2234" w:themeColor="accent5"/>
                <w:sz w:val="16"/>
                <w:szCs w:val="16"/>
                <w:lang w:eastAsia="lv-LV"/>
              </w:rPr>
              <w:t>3.8</w:t>
            </w:r>
          </w:p>
        </w:tc>
        <w:tc>
          <w:tcPr>
            <w:tcW w:w="1280" w:type="dxa"/>
            <w:tcBorders>
              <w:top w:val="single" w:sz="4" w:space="0" w:color="9D2234"/>
              <w:left w:val="nil"/>
              <w:bottom w:val="single" w:sz="18" w:space="0" w:color="9D2234"/>
              <w:right w:val="nil"/>
            </w:tcBorders>
          </w:tcPr>
          <w:p w14:paraId="425D6C6C" w14:textId="77777777" w:rsidR="00E50B37" w:rsidRDefault="00645276">
            <w:pPr>
              <w:widowControl w:val="0"/>
              <w:spacing w:after="0" w:line="240" w:lineRule="auto"/>
              <w:jc w:val="center"/>
              <w:rPr>
                <w:rFonts w:ascii="Calibri" w:eastAsia="Times New Roman" w:hAnsi="Calibri" w:cs="Calibri"/>
                <w:b/>
                <w:bCs/>
                <w:i/>
                <w:iCs/>
                <w:color w:val="9D2234" w:themeColor="accent5"/>
                <w:sz w:val="16"/>
                <w:szCs w:val="16"/>
                <w:lang w:eastAsia="lv-LV"/>
              </w:rPr>
            </w:pPr>
            <w:r>
              <w:rPr>
                <w:rFonts w:ascii="Calibri" w:eastAsia="Times New Roman" w:hAnsi="Calibri" w:cs="Calibri"/>
                <w:b/>
                <w:bCs/>
                <w:i/>
                <w:iCs/>
                <w:color w:val="9D2234" w:themeColor="accent5"/>
                <w:sz w:val="16"/>
                <w:szCs w:val="16"/>
                <w:lang w:eastAsia="lv-LV"/>
              </w:rPr>
              <w:t>5.3</w:t>
            </w:r>
          </w:p>
        </w:tc>
        <w:tc>
          <w:tcPr>
            <w:tcW w:w="3253" w:type="dxa"/>
            <w:tcBorders>
              <w:top w:val="single" w:sz="4" w:space="0" w:color="9D2234"/>
              <w:left w:val="nil"/>
              <w:bottom w:val="single" w:sz="18" w:space="0" w:color="9D2234"/>
              <w:right w:val="nil"/>
            </w:tcBorders>
          </w:tcPr>
          <w:p w14:paraId="1515417B" w14:textId="77777777" w:rsidR="00E50B37" w:rsidRDefault="00645276">
            <w:pPr>
              <w:widowControl w:val="0"/>
              <w:spacing w:after="0" w:line="240" w:lineRule="auto"/>
              <w:jc w:val="center"/>
              <w:rPr>
                <w:rFonts w:ascii="Calibri" w:eastAsia="Times New Roman" w:hAnsi="Calibri" w:cs="Calibri"/>
                <w:b/>
                <w:bCs/>
                <w:i/>
                <w:iCs/>
                <w:color w:val="9D2234" w:themeColor="accent5"/>
                <w:sz w:val="16"/>
                <w:szCs w:val="16"/>
                <w:lang w:eastAsia="lv-LV"/>
              </w:rPr>
            </w:pPr>
            <w:r>
              <w:rPr>
                <w:rFonts w:ascii="Calibri" w:eastAsia="Times New Roman" w:hAnsi="Calibri" w:cs="Calibri"/>
                <w:b/>
                <w:bCs/>
                <w:i/>
                <w:iCs/>
                <w:color w:val="9D2234" w:themeColor="accent5"/>
                <w:sz w:val="16"/>
                <w:szCs w:val="16"/>
                <w:lang w:eastAsia="lv-LV"/>
              </w:rPr>
              <w:t> -</w:t>
            </w:r>
          </w:p>
        </w:tc>
      </w:tr>
    </w:tbl>
    <w:p w14:paraId="527FF50A" w14:textId="77777777" w:rsidR="00E50B37" w:rsidRDefault="00645276">
      <w:pPr>
        <w:rPr>
          <w:i/>
          <w:sz w:val="16"/>
          <w:szCs w:val="16"/>
        </w:rPr>
      </w:pPr>
      <w:r>
        <w:rPr>
          <w:b/>
          <w:bCs/>
          <w:color w:val="9D2234" w:themeColor="accent5"/>
          <w:sz w:val="16"/>
          <w:szCs w:val="16"/>
        </w:rPr>
        <w:t>Avots: FM,LB,SVF,EK,AS Swedbank, FDP; *LB prognožu paziņošanas konference notika 30. septembrī.</w:t>
      </w:r>
    </w:p>
    <w:p w14:paraId="11E86351" w14:textId="77777777" w:rsidR="00E50B37" w:rsidRDefault="00645276">
      <w:pPr>
        <w:pStyle w:val="FDPList1"/>
      </w:pPr>
      <w:r>
        <w:rPr>
          <w:b/>
        </w:rPr>
        <w:t>Latvijas ekonomikas konfidences rādītāji gada laikā uzlabojās, pat tuvojoties pirmskrīzes noskaņojumam. Tomēr jaunākie, septembra, dati pierāda, ka uzņēmēju noskaņojums ir kļuvis piesardzīgāks, atsākoties jaunam saslimstības vilnim un var atspoguļoties vājākā, šī gada pēdējā un nākamā gada pirmā ceturkšņa, ekonomikas izaugsmē.</w:t>
      </w:r>
      <w:r>
        <w:t xml:space="preserve"> Saskaņā ar sezonāli izlīdzinātiem CSP datiem septembrī uzņēmēju konfidences rādītājs mazumtirdzniecībā bija 3,7%. Salīdzinot ar augustu, šis rādītājs samazinājies par 2,5 procentpunktiem.  Pakalpojumu sektorā konfidences rādītājs bija pozitīvs (0,6%) tomēr salīdzinot ar augustu, tas samazinājās 6,3 procentpunktiem. Neskatoties uz pakalpojumu sektora jūtīgumu epidemioloģisko risku kontekstā pozitīvs noskaņojums ir vērojams  kopš maija. Būvniecībā konfidences rādītājs -10,2%, salīdzinājumā ar augustu, pasliktinājies par 0,3 procentpunktiem. Būvniecībā aizvien biežāk kā ierobežojošs faktors parādās darbaspēka trūkums, kā arī iekārtu un materiālu trūkums. Īstermiņā noskaņojumu pasliktinājušas gaidas par pasūtījumu samazinājumu, tomēr salīdzinājumā ar iepriekšējo gadu apsekoto būvniecības uzņēmumu, kas kā ierobežojošo faktoru norādījuši nepietiekamu pieprasījumu samazinājies. Apstrādes rūpniecībā konfidences rādītājs septembrī bija 0,3% -- pieaugums, salīdzinot ar augustu par 0,2 procentpunktiem. Lielākais konfidences rādītāja pieaugums, salīdzinot ar augustu, bija farmaceitisko pamatvielu un farmaceitisko preparātu ražošanā, citu transportlīdzekļu ražošanā, nemetālisko minerālu izstrādājumu ražošanā, elektrisko iekārtu ražošanā un iekārtu un ierīču remontā un uzstādīšanā.</w:t>
      </w:r>
    </w:p>
    <w:p w14:paraId="1B36D65F" w14:textId="77777777" w:rsidR="00E50B37" w:rsidRDefault="00645276">
      <w:pPr>
        <w:pStyle w:val="FDPList1"/>
      </w:pPr>
      <w:r>
        <w:rPr>
          <w:b/>
        </w:rPr>
        <w:t>Jaudas noslodze š.g. trīs ceturkšņu periodā turpināja pieaugt - jau otrajā ceturksnī tā bija 74,5% līmenī, bet trešajā 76,1%, kas tuvinās pirmskrīzes rādītājiem.</w:t>
      </w:r>
      <w:r>
        <w:t xml:space="preserve"> Trešajā ceturksnī augstākā noslodze (78%) bija starppatēriņa preču ražošanā, tai sekoja kapitāl-preču ražošana 77,2% un patēriņa preču ražošana 73,2%. </w:t>
      </w:r>
    </w:p>
    <w:p w14:paraId="21CAB9FA" w14:textId="77777777" w:rsidR="00E50B37" w:rsidRDefault="00645276">
      <w:pPr>
        <w:pStyle w:val="FDPList1"/>
      </w:pPr>
      <w:r>
        <w:rPr>
          <w:b/>
          <w:bCs/>
        </w:rPr>
        <w:t>Rūpniecības sektors krīzē cieta mazāk nekā pakalpojumu sniedzēji un arī atkopšanās tajā notika aktīvāk.</w:t>
      </w:r>
      <w:r>
        <w:t xml:space="preserve"> Rūpniecības produkcijas apjoms otrā ceturkšņa mēnešos pieauga vidēji 8,2% apmērā. Elektroenerģijas un gāzes apgādē 3 mēnešu </w:t>
      </w:r>
      <w:r>
        <w:lastRenderedPageBreak/>
        <w:t>vidējais pieaugums bija 8,5%, bet apstrādes rūpniecībā 8,4%. Pieaugums vērojams arī ieguves rūpniecības un karjeru izstrādes nozarē, vidēji 3 mēnešos par 5,4%. Apstrādes rūpniecības produkcijas izlaide pieauga par 27,3%, salīdzinot ar 2020. gada otro ceturksni. Lielāko pienesumu šajā pieaugumā deva koksnes un koka izstrādājumu ražošana (14,1%), kas vienlaikus atspoguļojās arī koksnes eksporta apjoma pieaugumā.</w:t>
      </w:r>
    </w:p>
    <w:p w14:paraId="794D7FE3" w14:textId="77777777" w:rsidR="00E50B37" w:rsidRDefault="00645276">
      <w:pPr>
        <w:pStyle w:val="FDPList1"/>
      </w:pPr>
      <w:r>
        <w:rPr>
          <w:rFonts w:eastAsia="Verdana" w:cs="Verdana"/>
          <w:b/>
          <w:bCs/>
          <w:color w:val="auto"/>
          <w:szCs w:val="20"/>
        </w:rPr>
        <w:t>Būvniecības nozare, neskatoties uz īslaicīgiem ierobežojumiem, ir saglabājusi aktivitāti un turpina ietekmēt makroekonomisko vidi vidējā termiņā. Tuvākajos gados  (īpaši 2022., 2023.) plānota vērienīgu būvniecības projektu realizācija, t.sk. RailBaltica, kā arī apjomīgu valsts un ES līdzekļu investīciju ieplūšana nozarē, kas nes līdzi arī nozares pārkaršanas riskus.</w:t>
      </w:r>
      <w:r>
        <w:rPr>
          <w:rFonts w:eastAsia="Verdana" w:cs="Verdana"/>
          <w:color w:val="auto"/>
          <w:szCs w:val="20"/>
        </w:rPr>
        <w:t xml:space="preserve"> Būvniecības nozares produkcijas apjoms 2021. gada pirmajos divos ceturkšņos, salīdzinot ar 2020. gada ceturkšņiem, strauji svārstījās. Pirmajā ceturksnī nozare piedzīvoja lejupslīdi 12,4% apmērā, kas galvenokārt bija saistīta ar nelabvēlīgajiem laika apstākļiem. Jau otrajā ceturksnī būvniecības produkcijas apjoma pieaugums bija 1,1%. Produkcijas apjoms pieauga visos būvdarbu veidos, izņemot ēku būvniecību, kur apjoms krities par 4,7%. Lielāko būvniecības produkcijas apjoma pieaugumu nodrošināja specializētie būvdarbi (6,8%) un inženierbūvniecība (1,3%). Otrajā ceturksnī izsniegto būvatļauju skaits ir pieaudzis par 37%, savukārt būvatļaujās paredzētā būvniecības platība  pieaugusi par 28%. </w:t>
      </w:r>
    </w:p>
    <w:p w14:paraId="2D302007" w14:textId="77777777" w:rsidR="00E50B37" w:rsidRDefault="00645276">
      <w:pPr>
        <w:pStyle w:val="FDPList1"/>
      </w:pPr>
      <w:r>
        <w:rPr>
          <w:rFonts w:eastAsia="Verdana" w:cs="Verdana"/>
          <w:b/>
          <w:bCs/>
          <w:color w:val="auto"/>
          <w:szCs w:val="20"/>
        </w:rPr>
        <w:t xml:space="preserve">Latvijas eksporta pieaugums šī gada pirmajā ceturksnī liecina par spēcīgiem  sakariem ar galvenajām tirdzniecības partnervalstīm, turklāt, ņemot vērā tirdzniecības partneru pozitīvos ekonomikas sentimenta rādītājus, eksportam ir stabilas  perspektīvas. </w:t>
      </w:r>
      <w:r>
        <w:rPr>
          <w:rFonts w:eastAsia="Verdana" w:cs="Verdana"/>
          <w:color w:val="auto"/>
          <w:szCs w:val="20"/>
        </w:rPr>
        <w:t>Latvijas eksporta vērtība šī gada pirmajā pusgadā  sasniedza 7,35 miljardus eiro, kas ir par  20,3% vairāk nekā iepriekšējā gada pirmajā pusgadā un par 17% vairāk nekā 2019. gada pirmajā pusgadā.  Šī gada 2. ceturksnī eksporta vērtība sasniedza 3,79 miljardus eiro un, salīdzinot ar iepriekšējā gada pirmo ceturksni, palielinājās par 954,7 miljoniem eiro, jeb 33,6%. No šī kopapjoma par 28,4% pieauga eksporta vērtība uz ES valstīm un par 2,2% uz NVS valstīm. Savukārt uz citām valstīm eksporta vērtība pieauga par 3%. Eksporta īpatsvars pa galvenajām tirdzniecības partnervalstīm š.g. otrajā ceturksnī liecināja par spēcīgiem tirdzniecības sakariem ar Baltijas kaimiņvalstīm: 18,3% eksporta attiecināmi uz Lietuvu un 11,6% uz Igauniju. Būtiski tirdzniecības partneri šajā periodā bija arī Vācija un Apvienotā Karaliste -  eksporta īpatsvars uz šīm valstīm bija vienāds: 7,2%. Eksporta struktūra pa galvenajām tirdzniecības partnervalstīm šī gada pirmajos septiņos mēnešos, salīdzinot ar 2020. gada atbilstošo periodu liecina, ka uz Vāciju pieauga   tauku un eļļas (366%), kā arī  ķīmiskās rūpniecības un saskarnozaru produkcijas (53%) eksports. Eksportā uz Igauniju lielākais pieaugums bija minerāliem produktiem (76%) un metāliem un to izstrādājumiem (61%). Eksportā uz Angliju lielākais pieaugums bija minerālo produktu (529%) un koksnes un tās izstrādājumu (118%) tirdzniecībai. Eksportā uz Lietuvu par 86% pieauga Minerālo produktu tirdzniecība.</w:t>
      </w:r>
    </w:p>
    <w:p w14:paraId="2A496A10" w14:textId="77777777" w:rsidR="00E50B37" w:rsidRDefault="00645276">
      <w:pPr>
        <w:pStyle w:val="FDPList1"/>
        <w:rPr>
          <w:rFonts w:eastAsia="Verdana" w:cs="Verdana"/>
          <w:b/>
          <w:bCs/>
          <w:color w:val="auto"/>
          <w:szCs w:val="20"/>
        </w:rPr>
      </w:pPr>
      <w:r>
        <w:rPr>
          <w:rFonts w:eastAsia="Verdana" w:cs="Verdana"/>
          <w:b/>
          <w:bCs/>
          <w:color w:val="auto"/>
          <w:szCs w:val="20"/>
        </w:rPr>
        <w:t xml:space="preserve">Mazumtirdzniecības apgrozījuma apjoma pieaugums dos pozitīvu īstermiņa efektu 2021. gada izaugsmē. Vidēji otrā ceturkšņa mēnešos mazumtirdzniecības apgrozījums pieauga par 13,5%, galvenokārt pateicoties nepārtikas preču mazumtirdzniecībai, kur apgrozījums pieauga vidēji par 7%. Pēc pēdējiem CSP pieejamiem, datiem š.g. augustā mazumtirdzniecības apgrozījums pieauga par 8,6% joprojām atspoguļojot atliktā patēriņa </w:t>
      </w:r>
      <w:r>
        <w:rPr>
          <w:rFonts w:eastAsia="Verdana" w:cs="Verdana"/>
          <w:b/>
          <w:bCs/>
          <w:color w:val="auto"/>
          <w:szCs w:val="20"/>
        </w:rPr>
        <w:lastRenderedPageBreak/>
        <w:t xml:space="preserve">noskaņojumu. </w:t>
      </w:r>
      <w:r>
        <w:rPr>
          <w:rFonts w:eastAsia="Verdana" w:cs="Verdana"/>
          <w:color w:val="auto"/>
          <w:szCs w:val="20"/>
        </w:rPr>
        <w:t xml:space="preserve">Lielākais pieaugums novērots auto degvielas mazumtirdzniecībā (23%), kam seko nepārtikas preču mazumtirdzniecība (13%), bet pārtikas mazumtirdzniecības apgrozījums kritās par 2%. </w:t>
      </w:r>
    </w:p>
    <w:p w14:paraId="5D76A028" w14:textId="77777777" w:rsidR="00E50B37" w:rsidRDefault="00645276">
      <w:pPr>
        <w:pStyle w:val="FDPList1"/>
      </w:pPr>
      <w:r>
        <w:rPr>
          <w:b/>
        </w:rPr>
        <w:t>Aktivitāte darba tirgū aizvien pieaug, tomēr vēl nesasniedz pirmskrīzes rādītājus. Neskatoties uz to, darba devēji aizvien biežāk atzīmē darbaspēka trūkumu kā darbību ierobežojošu faktoru. Darbaspēka pieejamības ierobežojumi ekonomikā var radīt spiedienu uz atalgojuma pieaugumu, kas nebūs saistīts ar darba produktivitātes pieaugumu.</w:t>
      </w:r>
      <w:r>
        <w:t xml:space="preserve"> Saskaņā ar Nodarbinātības valsts aģentūras apkopotiem datiem, augustā reģistrētais bezdarbs ir krities līdz 6,5%, savukārt saskaņā ar CSP datiem faktiskā bezdarba līmenis Latvijā bija 6,9 %, kas salīdzinājumā ar jūliju ir par 0,6 procentpunktiem zemāks. Tāpat saskaņā ar CSP datiem, piedāvāto brīvo darba vietu skaits kopš 2020. gada ceturtā ceturkšņa pieaug, šī gada otrajā ceturksnī sasniedzot 25 290 vakances, jeb 2,6%.</w:t>
      </w:r>
    </w:p>
    <w:p w14:paraId="2AEB0F26" w14:textId="77777777" w:rsidR="00E50B37" w:rsidRDefault="00645276">
      <w:pPr>
        <w:pStyle w:val="FDPList1"/>
      </w:pPr>
      <w:r>
        <w:rPr>
          <w:rFonts w:eastAsiaTheme="minorEastAsia"/>
          <w:b/>
          <w:bCs/>
          <w:szCs w:val="20"/>
        </w:rPr>
        <w:t xml:space="preserve">Darba tirgū Covid-19 krīzes iespaidā iezīmējušās strukturālas pārmaiņas, kas liecina par darbaspēka pieplūdumu nozarēs ar augstāku pievienoto vērtību, piemēram, informācijas un komunikācijas (IKT) nozarē. Lai gan šī ir pozitīva pārmaiņa tautsaimniecības transformācijas kontekstā, tomēr pašlaik ir pāragri secināt par noturīgu tendenci šajā jomā. </w:t>
      </w:r>
      <w:r>
        <w:rPr>
          <w:rFonts w:eastAsiaTheme="minorEastAsia"/>
          <w:szCs w:val="20"/>
        </w:rPr>
        <w:t>Latvijā kopš</w:t>
      </w:r>
      <w:r>
        <w:rPr>
          <w:rFonts w:eastAsiaTheme="minorEastAsia"/>
          <w:b/>
          <w:bCs/>
          <w:szCs w:val="20"/>
        </w:rPr>
        <w:t xml:space="preserve"> </w:t>
      </w:r>
      <w:r>
        <w:rPr>
          <w:rFonts w:eastAsiaTheme="minorEastAsia"/>
          <w:szCs w:val="20"/>
        </w:rPr>
        <w:t>krīzes sākuma ir iezīmējušās nelielas strukturālas pārmaiņas darba tirgū, ko var novērot, analizējot aizņemto darba vietu skaita izmaiņas pa darbības veidiem. Salīdzinot 2019.gada otrā ceturkšņa un 2021. gada otrā ceturkšņa datus, redzams, ka par 20% ir pieaudzis aizņemto darba vietu skaits  informācijas un komunikācijas pakalpojumos (IKT), par 13%  profesionālos, zinātniskos un tehniskos pakalpojumos, par 10% veselības un sociālā aprūpes pakalpojumos. Salīdzinot ar šo pašu periodu, mazinājies aizņemto darba vietu skaits izmitināšanas un ēdināšanas pakalpojumos (-21%), transporta un uzglabāšanas pakalpojumos (-8%) un finanšu un apdrošināšanas darbības pakalpojumos (-5%). Kopumā visos darbības veidos aizņemto darba vietu skaits, salīdzinot ar pirms krīzes 2019.gada 2. ceturksni, strādājošo skaits pieaudzis par 1,7%, jeb 15,9 tūkstošiem cilvēku.</w:t>
      </w:r>
    </w:p>
    <w:p w14:paraId="16B0FEDF" w14:textId="2F7ADE60" w:rsidR="00E50B37" w:rsidRDefault="00645276">
      <w:pPr>
        <w:pStyle w:val="FDPList1"/>
      </w:pPr>
      <w:r>
        <w:rPr>
          <w:rFonts w:eastAsiaTheme="minorEastAsia"/>
          <w:b/>
          <w:bCs/>
          <w:szCs w:val="20"/>
        </w:rPr>
        <w:t xml:space="preserve">Ekonomikas aktivitātei atjaunojoties, vērojams arī darba samaksas apmēra pieaugums, ko ietekmēja dažādu piemaksu apjoma pieaugums 2020. gada nogalē un 2021. gada sākumā t.sk. nodarbinātajiem medicīnā un izglītībā. Tomēr jaunākie novērojumi par otro ceturksni liecina, ka pieaug arī regulārā jeb līgumalgu darba samaksas daļa. </w:t>
      </w:r>
      <w:r>
        <w:rPr>
          <w:rFonts w:eastAsiaTheme="minorEastAsia"/>
          <w:szCs w:val="20"/>
        </w:rPr>
        <w:t>Š.g. otrajā ceturksnī fiksēts vidējās darba samaksas pieaugums 10,2% apmērā- bruto darba samaksas apmērs vidēji bija 1237 eiro. Alga straujāk pieaugusi publiskajā sektorā strādājošajiem (+13,4%), sasniedzot vidēji 1291 eiro, salīdzinot ar privāto sektoru- darba samaksa vidēji ir augstāka par 76 eiro. Straujākais darba samaksas pieaugums publiskajā sektorā vērojams veselības un sociālās aprūpes nozarē (+35,1%) un izglītības nozarē (+12,4%). Privātajā sektorā darba samaksa pieauga par 9%, sasniedzot 1215 eiro pirms nodokļu nomaksas, straujākais kāpums attiecināms uz tirdzniecības nozari (+11,7%). 2021. gada kopējo algu līmeņa kāpumu ietekmēja arī minimālās algas pieaugums līdz 500 eiro.</w:t>
      </w:r>
      <w:bookmarkStart w:id="24" w:name="_Hlk82989549"/>
      <w:r>
        <w:t xml:space="preserve"> </w:t>
      </w:r>
      <w:r>
        <w:rPr>
          <w:rFonts w:eastAsiaTheme="minorEastAsia"/>
          <w:szCs w:val="20"/>
        </w:rPr>
        <w:t xml:space="preserve">Pašlaik darba devēji aizvien biežāk norāda aptaujās uz darbaspēka trūkumu, palielinās algas nozarēs, kuras nav ietekmējis Covid-19, arī apskatot </w:t>
      </w:r>
      <w:r w:rsidR="00C24D78">
        <w:rPr>
          <w:rFonts w:eastAsiaTheme="minorEastAsia"/>
          <w:szCs w:val="20"/>
        </w:rPr>
        <w:t>makroekonomiskās</w:t>
      </w:r>
      <w:r>
        <w:rPr>
          <w:rFonts w:eastAsiaTheme="minorEastAsia"/>
          <w:szCs w:val="20"/>
        </w:rPr>
        <w:t xml:space="preserve"> prognozes, redzams ka šogad un nākošajos gados faktiskais bezdarba līmenis pārsniegs NAWRU, līdz ar to spiediens uz algām arvien turpināsies.</w:t>
      </w:r>
    </w:p>
    <w:p w14:paraId="1F2E713A" w14:textId="77777777" w:rsidR="00E50B37" w:rsidRDefault="00645276">
      <w:pPr>
        <w:pStyle w:val="FDPList1"/>
      </w:pPr>
      <w:r>
        <w:rPr>
          <w:b/>
          <w:bCs/>
        </w:rPr>
        <w:lastRenderedPageBreak/>
        <w:t>Globāla</w:t>
      </w:r>
      <w:r>
        <w:t xml:space="preserve"> </w:t>
      </w:r>
      <w:r>
        <w:rPr>
          <w:b/>
          <w:bCs/>
        </w:rPr>
        <w:t xml:space="preserve">pieprasījuma un piedāvājuma nesabalansētība un atliktā patēriņa efekts pasaules tirgū turpina uzturēt augstu enerģijas resursu patēriņu. Gada pirmajā pusē ekonomisti kā galvenos inflācijas virzītājspēkus atzīmēja </w:t>
      </w:r>
      <w:r>
        <w:rPr>
          <w:b/>
          <w:bCs/>
          <w:szCs w:val="20"/>
        </w:rPr>
        <w:t xml:space="preserve">pasaules vadošo ekonomiku spēcīgo izaugsmi pēc Covid-19 dīkstāves perioda un stimulējošo monetāro politiku. Gada otrajā pusē </w:t>
      </w:r>
      <w:r>
        <w:rPr>
          <w:b/>
          <w:bCs/>
        </w:rPr>
        <w:t xml:space="preserve">Eiropā un Latvijā aizvien satraucošāks faktors inflācijas struktūrā kļūst enerģijas cenas (degviela, gāze, elektroenerģija), kas, tuvojoties aukstuma sezonai, turpinās sadārdzināt gan pārtikas, gan ražošanas, gan mājokļu uzturēšanas izmaksas. </w:t>
      </w:r>
      <w:r>
        <w:t>Pēc Eurostat datiem par augustu,  enerģijas cena Latvijā, salīdzinot ar iepriekšējā gada atbilstošo mēnesi, kopumā ir augusi pa</w:t>
      </w:r>
      <w:r>
        <w:rPr>
          <w:color w:val="auto"/>
        </w:rPr>
        <w:t xml:space="preserve">r 13,5%. </w:t>
      </w:r>
      <w:r>
        <w:t>Saskaņā ar Eurostat ātrā novērtējuma datiem, septembrī gada inflācija Eiro zonā ir sasniegusi 3,4%.</w:t>
      </w:r>
      <w:bookmarkEnd w:id="24"/>
      <w:r>
        <w:t xml:space="preserve"> Augstākais patēriņa cenu līmenis atkārtoti novērots Igaunijā, sasniedzot 6,4%, tai seko Lietuva ar 6,3%. </w:t>
      </w:r>
      <w:bookmarkStart w:id="25" w:name="_Hlk82989579"/>
      <w:r>
        <w:t>Latvijas gada inflācija ir augstāka nekā ES un Eiro zonā - septembrī tā bija 4,6%.</w:t>
      </w:r>
      <w:bookmarkEnd w:id="25"/>
    </w:p>
    <w:p w14:paraId="53BA8B19" w14:textId="77777777" w:rsidR="00E50B37" w:rsidRDefault="00645276">
      <w:pPr>
        <w:pStyle w:val="FDPNosaukumsGrafikam"/>
      </w:pPr>
      <w:r>
        <w:rPr>
          <w:noProof/>
        </w:rPr>
        <w:drawing>
          <wp:anchor distT="0" distB="0" distL="0" distR="0" simplePos="0" relativeHeight="42" behindDoc="0" locked="0" layoutInCell="0" allowOverlap="1" wp14:anchorId="532BD168" wp14:editId="530D604A">
            <wp:simplePos x="0" y="0"/>
            <wp:positionH relativeFrom="column">
              <wp:posOffset>-162560</wp:posOffset>
            </wp:positionH>
            <wp:positionV relativeFrom="paragraph">
              <wp:posOffset>395605</wp:posOffset>
            </wp:positionV>
            <wp:extent cx="5935980" cy="2928620"/>
            <wp:effectExtent l="0" t="0" r="0" b="0"/>
            <wp:wrapSquare wrapText="bothSides"/>
            <wp:docPr id="8" name="Object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t>6. attēls. Gada inflācija Latvijā pa būtiskākajām komponentēm</w:t>
      </w:r>
    </w:p>
    <w:p w14:paraId="36770D6F" w14:textId="77777777" w:rsidR="00E50B37" w:rsidRDefault="00645276">
      <w:pPr>
        <w:spacing w:after="0"/>
        <w:jc w:val="left"/>
        <w:rPr>
          <w:b/>
          <w:bCs/>
          <w:color w:val="9D2234" w:themeColor="accent5"/>
          <w:sz w:val="16"/>
          <w:szCs w:val="18"/>
        </w:rPr>
      </w:pPr>
      <w:r>
        <w:rPr>
          <w:b/>
          <w:bCs/>
          <w:color w:val="9D2234" w:themeColor="accent5"/>
          <w:sz w:val="16"/>
          <w:szCs w:val="18"/>
        </w:rPr>
        <w:t>Avots: Eurostat [PRC_HICP_MANR]</w:t>
      </w:r>
    </w:p>
    <w:p w14:paraId="104B1C84" w14:textId="77777777" w:rsidR="00E50B37" w:rsidRDefault="00E50B37">
      <w:pPr>
        <w:spacing w:after="0"/>
      </w:pPr>
    </w:p>
    <w:p w14:paraId="2C91A87B" w14:textId="77777777" w:rsidR="00E50B37" w:rsidRDefault="00645276">
      <w:pPr>
        <w:pStyle w:val="FDPList1"/>
        <w:ind w:left="709" w:hanging="709"/>
      </w:pPr>
      <w:r>
        <w:t>Pēc CSP datiem, Latvijā augustā patēriņa cenas pieauga par 3,7%, bet, salīdzinot ar jūliju,  par 0,4%. Cenas pieauga visās patēriņa grupās, īpaši strauji mājoklim, transportam un pārtikai. Saskaņā ar CSP padziļināto izpēti, ar mājokli saistītām precēm un pakalpojumiem,  vidējais cenu līmenis palielinājās par 6,8%, ko galvenokārt noteica dabasgāzes tarifu pieaugums par 51,3%. Cenas pieauga elektroenerģijai, siltumenerģijai, mājokļa uzturēšanas un remonta pakalpojumiem, mājokļa īrei, cietajam kurināmajam, atkritumu savākšanai, kā arī materiāliem mājokļa uzturēšanai un remontam. Ar transportu saistītām precēm un pakalpojumiem, cenas gada laikā palielinājās par 8,8%, ko noteica degvielas cenu pieaugums par 19,1%. Pārtikas un bezalkoholisko dzērienu grupā cenas gada laikā palielinājās par 2,2%, pie tam, cenas pieauga tādām ikdienā nepieciešamiem produktiem kā gaļai, graudaugiem, eļļai u.c. precēm ar neelastīgu pieprasījumu.</w:t>
      </w:r>
    </w:p>
    <w:p w14:paraId="6AF936D2" w14:textId="77777777" w:rsidR="00E50B37" w:rsidRDefault="00645276">
      <w:pPr>
        <w:pStyle w:val="FDPList1"/>
        <w:ind w:left="709" w:hanging="709"/>
      </w:pPr>
      <w:r>
        <w:rPr>
          <w:b/>
          <w:bCs/>
          <w:szCs w:val="20"/>
        </w:rPr>
        <w:lastRenderedPageBreak/>
        <w:t>Šī gada trešajā ceturksnī par aizvien spēcīgāku inflāciju ietekmējošo faktoru ir kļuvusi pārkaršana starptautiskā enerģijas tirgū, kas lielā mērā saistīta ar nepieredzētu dabasgāzes cenu kāpumu.</w:t>
      </w:r>
      <w:r>
        <w:rPr>
          <w:szCs w:val="20"/>
        </w:rPr>
        <w:t xml:space="preserve"> Pēc CSP datiem</w:t>
      </w:r>
      <w:r>
        <w:t xml:space="preserve"> Latvijā septembrī, salīdzinot ar iepriekšējā gada septembri ir strauji kāpušas cenas  elektroenerģijai (+12,5%), dabasgāzei (+51,3%) un degvielai (+19,3%). Pēc NordPool biržas datiem Latvijai elektroenerģijas cena  septembrī, salīdzinot ar augustu, kāpusi par 41%, no 87,23 eiro par MWh līdz 123,5 eiro par MWh. </w:t>
      </w:r>
      <w:r>
        <w:rPr>
          <w:szCs w:val="20"/>
        </w:rPr>
        <w:t>Šāds cenu kāpums negatīvi ietekmēs mājsaimniecību patēriņu, energoietilpīgu pakalpojumu sniedzēju un ražotāju konkurētspēju, kā arī atstās iespaidu uz pašvaldību budžetiem, it īpaši pašvaldībās ar augstu dabas gāzes izmantošanas īpatsvaru ēku apkurē.</w:t>
      </w:r>
    </w:p>
    <w:p w14:paraId="75B902B5" w14:textId="77777777" w:rsidR="00E50B37" w:rsidRDefault="00645276">
      <w:pPr>
        <w:pStyle w:val="xxlist1"/>
        <w:spacing w:beforeAutospacing="0" w:after="0" w:afterAutospacing="0" w:line="276" w:lineRule="auto"/>
        <w:jc w:val="both"/>
        <w:rPr>
          <w:rFonts w:ascii="Verdana" w:eastAsiaTheme="minorHAnsi" w:hAnsi="Verdana" w:cstheme="minorBidi"/>
          <w:b/>
          <w:color w:val="000000" w:themeColor="text1"/>
          <w:sz w:val="20"/>
          <w:lang w:eastAsia="en-US"/>
        </w:rPr>
      </w:pPr>
      <w:r>
        <w:br w:type="page"/>
      </w:r>
    </w:p>
    <w:p w14:paraId="55A9D3A9" w14:textId="77777777" w:rsidR="00E50B37" w:rsidRDefault="00645276">
      <w:pPr>
        <w:pStyle w:val="Virsraksts1"/>
      </w:pPr>
      <w:bookmarkStart w:id="26" w:name="_Toc84839735"/>
      <w:r>
        <w:lastRenderedPageBreak/>
        <w:t>4. Fiskālie skaitliskie nosacījumi</w:t>
      </w:r>
      <w:bookmarkEnd w:id="26"/>
    </w:p>
    <w:p w14:paraId="6F29E89D" w14:textId="77777777" w:rsidR="00E50B37" w:rsidRDefault="00645276">
      <w:pPr>
        <w:pStyle w:val="Virsraksts2"/>
        <w:rPr>
          <w:rStyle w:val="normaltextrun"/>
          <w:rFonts w:cs="Segoe UI"/>
          <w:bCs/>
          <w:color w:val="012069"/>
          <w:szCs w:val="22"/>
          <w:lang w:eastAsia="lv-LV"/>
        </w:rPr>
      </w:pPr>
      <w:bookmarkStart w:id="27" w:name="_Toc84839736"/>
      <w:r>
        <w:rPr>
          <w:rStyle w:val="normaltextrun"/>
          <w:rFonts w:cs="Segoe UI"/>
          <w:bCs/>
          <w:color w:val="012069"/>
          <w:szCs w:val="22"/>
          <w:lang w:eastAsia="lv-LV"/>
        </w:rPr>
        <w:t>4.1. Tiesiskā ietvara attīstība</w:t>
      </w:r>
      <w:bookmarkEnd w:id="27"/>
      <w:r>
        <w:rPr>
          <w:rStyle w:val="normaltextrun"/>
          <w:rFonts w:cs="Segoe UI"/>
          <w:bCs/>
          <w:color w:val="012069"/>
          <w:szCs w:val="22"/>
          <w:lang w:eastAsia="lv-LV"/>
        </w:rPr>
        <w:t> </w:t>
      </w:r>
      <w:r>
        <w:rPr>
          <w:rStyle w:val="normaltextrun"/>
          <w:lang w:eastAsia="lv-LV"/>
        </w:rPr>
        <w:t> </w:t>
      </w:r>
    </w:p>
    <w:p w14:paraId="35CDB04B" w14:textId="77777777" w:rsidR="00E50B37" w:rsidRDefault="00E50B37">
      <w:pPr>
        <w:pStyle w:val="paragraph"/>
        <w:spacing w:beforeAutospacing="0" w:after="0" w:afterAutospacing="0"/>
        <w:jc w:val="both"/>
        <w:textAlignment w:val="baseline"/>
        <w:rPr>
          <w:rStyle w:val="normaltextrun"/>
          <w:rFonts w:cs="Segoe UI"/>
          <w:b/>
          <w:bCs/>
          <w:color w:val="000000"/>
          <w:sz w:val="20"/>
          <w:szCs w:val="20"/>
        </w:rPr>
      </w:pPr>
    </w:p>
    <w:p w14:paraId="2EF0FE65" w14:textId="77777777" w:rsidR="00E50B37" w:rsidRDefault="00645276">
      <w:pPr>
        <w:pStyle w:val="FDPList1"/>
        <w:spacing w:after="0"/>
        <w:rPr>
          <w:rStyle w:val="normaltextrun"/>
          <w:rFonts w:ascii="Segoe UI" w:hAnsi="Segoe UI"/>
          <w:szCs w:val="20"/>
        </w:rPr>
      </w:pPr>
      <w:r>
        <w:rPr>
          <w:rStyle w:val="normaltextrun"/>
          <w:rFonts w:cs="Segoe UI"/>
          <w:b/>
          <w:bCs/>
          <w:color w:val="000000"/>
          <w:szCs w:val="20"/>
        </w:rPr>
        <w:t>Saskaņā ar izmaiņām fiskālā regulējumā, kas attiecināmas uz Covid-19 krīzes un pēc-krīzes periodu, plānojot un izpildot 2022./24. gada budžetu, ir apturēta Latvijas FDL skaitlisko fiskālo nosacījumu piemērošana, izņemot parāda nosacījumu. Turklāt ir noteikts, ka fiskālo politiku vidējā termiņā nepieciešams balstīt uz ES Padomes rekomendācijām</w:t>
      </w:r>
      <w:r>
        <w:rPr>
          <w:rStyle w:val="superscript"/>
          <w:rFonts w:cs="Segoe UI"/>
          <w:b/>
          <w:bCs/>
          <w:color w:val="000000"/>
          <w:szCs w:val="20"/>
          <w:vertAlign w:val="superscript"/>
        </w:rPr>
        <w:t>31</w:t>
      </w:r>
      <w:r>
        <w:rPr>
          <w:rStyle w:val="normaltextrun"/>
          <w:rFonts w:cs="Segoe UI"/>
          <w:b/>
          <w:bCs/>
          <w:color w:val="000000"/>
          <w:szCs w:val="20"/>
        </w:rPr>
        <w:t> fiskālās politikas jomā. </w:t>
      </w:r>
    </w:p>
    <w:p w14:paraId="6E5C37AA" w14:textId="77777777" w:rsidR="00E50B37" w:rsidRDefault="00645276">
      <w:pPr>
        <w:pStyle w:val="FDPList1"/>
        <w:numPr>
          <w:ilvl w:val="0"/>
          <w:numId w:val="0"/>
        </w:numPr>
        <w:ind w:left="567"/>
        <w:rPr>
          <w:rStyle w:val="eop"/>
          <w:rFonts w:ascii="Segoe UI" w:hAnsi="Segoe UI"/>
          <w:szCs w:val="20"/>
        </w:rPr>
      </w:pPr>
      <w:r>
        <w:rPr>
          <w:rStyle w:val="normaltextrun"/>
          <w:rFonts w:cs="Segoe UI"/>
          <w:bCs/>
          <w:color w:val="000000"/>
          <w:szCs w:val="20"/>
        </w:rPr>
        <w:t>Šādu kārtību nosaka šī gada 20. jūnija grozījumi Covid-19 infekcijas izplatības seku pārvarēšanas likumā, papildinot 33. pantu ar otro daļu:</w:t>
      </w:r>
      <w:r>
        <w:rPr>
          <w:rStyle w:val="eop"/>
          <w:rFonts w:ascii="Calibri" w:hAnsi="Calibri" w:cs="Calibri"/>
          <w:color w:val="000000"/>
          <w:szCs w:val="20"/>
        </w:rPr>
        <w:t> </w:t>
      </w:r>
    </w:p>
    <w:p w14:paraId="62D05FD4" w14:textId="77777777" w:rsidR="00E50B37" w:rsidRDefault="00645276">
      <w:pPr>
        <w:pStyle w:val="FDPList1"/>
        <w:numPr>
          <w:ilvl w:val="0"/>
          <w:numId w:val="0"/>
        </w:numPr>
        <w:ind w:left="567"/>
        <w:rPr>
          <w:rStyle w:val="eop"/>
          <w:rFonts w:cs="Segoe UI"/>
          <w:color w:val="000000"/>
          <w:szCs w:val="20"/>
        </w:rPr>
      </w:pPr>
      <w:r>
        <w:rPr>
          <w:rStyle w:val="normaltextrun"/>
          <w:rFonts w:ascii="Calibri" w:hAnsi="Calibri" w:cs="Calibri"/>
          <w:color w:val="000000"/>
          <w:szCs w:val="20"/>
        </w:rPr>
        <w:t>"</w:t>
      </w:r>
      <w:r>
        <w:rPr>
          <w:rStyle w:val="normaltextrun"/>
          <w:rFonts w:cs="Segoe UI"/>
          <w:i/>
          <w:iCs/>
          <w:color w:val="000000"/>
          <w:szCs w:val="20"/>
        </w:rPr>
        <w:t>(2) Izstrādājot likumprojektu "Par vidēja termiņa budžeta ietvaru 2022., 2023. un 2024. gadam" un likumprojektu "Par valsts budžetu 2022. gadam" un izpildot minētos likumus, netiek piemēroti Fiskālās disciplīnas likuma 7. panta trešās daļas un 9., 10. un 13. panta nosacījumi, bet tiek piemēroti saskaņā ar Padomes 1997. gada 7. jūlija regulas (EK) Nr. 1466/97 par budžeta stāvokļa uzraudzības un ekonomikas politikas uzraudzības un koordinācijas stiprināšanu 5. panta otro daļu izdotā atzinuma nosacījumi</w:t>
      </w:r>
      <w:r>
        <w:rPr>
          <w:rStyle w:val="normaltextrun"/>
          <w:rFonts w:cs="Segoe UI"/>
          <w:color w:val="000000"/>
          <w:szCs w:val="20"/>
        </w:rPr>
        <w:t>."</w:t>
      </w:r>
      <w:r>
        <w:rPr>
          <w:rStyle w:val="eop"/>
          <w:rFonts w:cs="Segoe UI"/>
          <w:color w:val="000000"/>
          <w:szCs w:val="20"/>
        </w:rPr>
        <w:t> </w:t>
      </w:r>
    </w:p>
    <w:p w14:paraId="6EF93795" w14:textId="77777777" w:rsidR="00E50B37" w:rsidRDefault="00645276">
      <w:pPr>
        <w:pStyle w:val="FDPList1"/>
        <w:ind w:hanging="426"/>
        <w:rPr>
          <w:szCs w:val="20"/>
        </w:rPr>
      </w:pPr>
      <w:r>
        <w:rPr>
          <w:rStyle w:val="normaltextrun"/>
          <w:rFonts w:cs="Segoe UI"/>
          <w:b/>
          <w:bCs/>
          <w:color w:val="000000"/>
          <w:szCs w:val="20"/>
        </w:rPr>
        <w:t>Ievērojot šo kārtību, vērtējot vidēja termiņa budžeta ietvara likuma projektu 2022./24. gadam, primāri tiek vērtēts valsts parāda nosacījums un ES Padomes rekomendācijas, kas pašlaik sniedzas līdz 2022. gadam. </w:t>
      </w:r>
      <w:r>
        <w:rPr>
          <w:rStyle w:val="normaltextrun"/>
          <w:rFonts w:cs="Segoe UI"/>
          <w:color w:val="000000"/>
          <w:szCs w:val="20"/>
        </w:rPr>
        <w:t>ES Padome atzīst, ka Regulā (EK) Nr. 1466/97 noteiktie fiskālās korekcijas rādītāji ir jāaplūko pašreizējo apstākļu kontekstā. Pirmkārt, pašlaik pastāv ievērojama nenoteiktība attiecībā uz izlaides starpības novērtēšanu, otrkārt, fiskālajai politikai jābūt elastīgai un ātri jāpielāgojas pandēmijas attīstībai vai epidemioloģiskās situācijas normalizācijai. Treškārt, pašreizējo kontekstu raksturo politiska rīcība ekonomiskās aktivitātes atbalstam (piemēram, ANM </w:t>
      </w:r>
      <w:r>
        <w:rPr>
          <w:rStyle w:val="spellingerror"/>
          <w:rFonts w:cs="Segoe UI"/>
          <w:color w:val="000000"/>
          <w:szCs w:val="20"/>
        </w:rPr>
        <w:t>grantu</w:t>
      </w:r>
      <w:r>
        <w:rPr>
          <w:rStyle w:val="normaltextrun"/>
          <w:rFonts w:cs="Segoe UI"/>
          <w:color w:val="000000"/>
          <w:szCs w:val="20"/>
        </w:rPr>
        <w:t> ietekme), līdz ar to iepriekš piemērojamie kritēriji neaptver visu fiskālo impulsu, ko ekonomikai sniedz fiskālā politika. </w:t>
      </w:r>
      <w:r>
        <w:rPr>
          <w:rStyle w:val="normaltextrun"/>
          <w:rFonts w:cs="Calibri"/>
          <w:color w:val="000000"/>
          <w:szCs w:val="20"/>
        </w:rPr>
        <w:t>Šo iemeslu </w:t>
      </w:r>
      <w:r>
        <w:rPr>
          <w:rStyle w:val="normaltextrun"/>
          <w:rFonts w:cs="Segoe UI"/>
          <w:color w:val="000000"/>
          <w:szCs w:val="20"/>
        </w:rPr>
        <w:t>dēļ ES padome atzīmē, ka strukturālā bilance </w:t>
      </w:r>
      <w:r>
        <w:rPr>
          <w:rStyle w:val="normaltextrun"/>
          <w:rFonts w:cs="Calibri"/>
          <w:color w:val="000000"/>
          <w:szCs w:val="20"/>
        </w:rPr>
        <w:t>šobrīd nav</w:t>
      </w:r>
      <w:r>
        <w:rPr>
          <w:rStyle w:val="normaltextrun"/>
          <w:rFonts w:cs="Segoe UI"/>
          <w:color w:val="000000"/>
          <w:szCs w:val="20"/>
        </w:rPr>
        <w:t> pietiekami adekvāts fiskālās politikas vērtēšanas kritērijs, savukārt izdevumu pieauguma kritērijs būtu jāpielāgo, lai pilnībā novērtētu fiskālo politiku.</w:t>
      </w:r>
      <w:r>
        <w:rPr>
          <w:rStyle w:val="eop"/>
          <w:rFonts w:cs="Segoe UI"/>
          <w:color w:val="000000"/>
          <w:szCs w:val="20"/>
        </w:rPr>
        <w:t> </w:t>
      </w:r>
    </w:p>
    <w:p w14:paraId="69D63AB9" w14:textId="77777777" w:rsidR="00E50B37" w:rsidRDefault="00645276">
      <w:pPr>
        <w:pStyle w:val="FDPList1"/>
        <w:rPr>
          <w:szCs w:val="20"/>
        </w:rPr>
      </w:pPr>
      <w:r>
        <w:rPr>
          <w:rStyle w:val="normaltextrun"/>
          <w:b/>
          <w:color w:val="000000"/>
          <w:szCs w:val="20"/>
        </w:rPr>
        <w:t xml:space="preserve">ES Padomes rekomendācijas fiskālās politikas jomā paredz: i) kontrolēt nacionāli finansēto primāro kārtējo izdevumu pieaugumu, ii) nepieciešamības gadījumā finansēt Covid-19 atbalsta pasākumus uz budžeta deficīta rēķina, iii) nacionāli finansēto investīciju apjomu saglabāt vismaz 2021. gada līmenī. </w:t>
      </w:r>
      <w:r>
        <w:rPr>
          <w:rStyle w:val="normaltextrun"/>
          <w:rFonts w:cs="Segoe UI"/>
          <w:color w:val="000000"/>
          <w:szCs w:val="20"/>
        </w:rPr>
        <w:t>Rekomendācijas attiecībā uz 2022. gadu paredz saglabāt atbalstošu fiskālo politiku, tostarp fiskālo stimulu, ko sniedz Atveseļošanās un noturības mehānisms, saglabāt valsts investīcijas pietiekamā apjomā, kontrolēt valsts finansēto primāro kārtējo izdevumu pieaugumu.</w:t>
      </w:r>
      <w:r>
        <w:rPr>
          <w:rStyle w:val="eop"/>
          <w:rFonts w:cs="Segoe UI"/>
          <w:color w:val="000000"/>
          <w:szCs w:val="20"/>
        </w:rPr>
        <w:t> </w:t>
      </w:r>
      <w:r>
        <w:rPr>
          <w:rStyle w:val="normaltextrun"/>
          <w:rFonts w:cs="Segoe UI"/>
          <w:color w:val="000000"/>
          <w:szCs w:val="20"/>
        </w:rPr>
        <w:t>Ja ekonomiskie apstākļi to atļauj, īstenot fiskālo politiku, kuras mērķis ir panākt piesardzību vidēja termiņa fiskālās pozīcijas un fiskālās ilgtspējas nodrošināšanu vidējā termiņā. Vienlaikus palielināt investīcijas, kas ļauj kāpināt izaugsmes potenciālu. </w:t>
      </w:r>
      <w:r>
        <w:rPr>
          <w:rStyle w:val="eop"/>
          <w:rFonts w:cs="Segoe UI"/>
          <w:color w:val="000000"/>
          <w:szCs w:val="20"/>
        </w:rPr>
        <w:t> </w:t>
      </w:r>
      <w:r>
        <w:rPr>
          <w:rStyle w:val="normaltextrun"/>
          <w:rFonts w:cs="Segoe UI"/>
          <w:color w:val="000000"/>
          <w:szCs w:val="20"/>
        </w:rPr>
        <w:t>Pievērst īpašu uzmanību valsts finansēm  attiecībā uz  budžeta ieņēmumiem un izdevumiem, kā arī budžeta pasākumu kvalitātei, nodrošināt ilgtspējīgu un iekļaujošu ekonomikas atveseļošanos. </w:t>
      </w:r>
      <w:r>
        <w:rPr>
          <w:rStyle w:val="eop"/>
          <w:rFonts w:cs="Segoe UI"/>
          <w:color w:val="000000"/>
          <w:szCs w:val="20"/>
        </w:rPr>
        <w:t> </w:t>
      </w:r>
      <w:r>
        <w:rPr>
          <w:rFonts w:ascii="Segoe UI" w:hAnsi="Segoe UI"/>
          <w:szCs w:val="20"/>
        </w:rPr>
        <w:t xml:space="preserve"> </w:t>
      </w:r>
      <w:r>
        <w:rPr>
          <w:rStyle w:val="normaltextrun"/>
          <w:rFonts w:cs="Segoe UI"/>
          <w:color w:val="000000"/>
          <w:szCs w:val="20"/>
        </w:rPr>
        <w:t>Prioritāte ir  ilgtspējīgām un izaugsmi veicinošām investīcijām, jo īpaši atbalstot pāreju uz zaļo ekonomiku un </w:t>
      </w:r>
      <w:r>
        <w:rPr>
          <w:rStyle w:val="spellingerror"/>
          <w:rFonts w:cs="Segoe UI"/>
          <w:color w:val="000000"/>
          <w:szCs w:val="20"/>
        </w:rPr>
        <w:t>digitalizāciju</w:t>
      </w:r>
      <w:r>
        <w:rPr>
          <w:rStyle w:val="normaltextrun"/>
          <w:rFonts w:cs="Segoe UI"/>
          <w:color w:val="000000"/>
          <w:szCs w:val="20"/>
        </w:rPr>
        <w:t xml:space="preserve">. Nepieciešams veicināt strukturālās reformas, veicina valsts finanšu ilgtermiņa ilgtspējību, tostarp stiprinot veselības un sociālās jomas </w:t>
      </w:r>
      <w:r>
        <w:rPr>
          <w:rStyle w:val="normaltextrun"/>
          <w:rFonts w:cs="Segoe UI"/>
          <w:color w:val="000000"/>
          <w:szCs w:val="20"/>
        </w:rPr>
        <w:lastRenderedPageBreak/>
        <w:t>pārklājumu, atbilstību un ilgtspēju aizsardzības sistēmas visiem.</w:t>
      </w:r>
      <w:r>
        <w:rPr>
          <w:rStyle w:val="eop"/>
          <w:rFonts w:cs="Segoe UI"/>
          <w:color w:val="000000"/>
          <w:szCs w:val="20"/>
        </w:rPr>
        <w:t> </w:t>
      </w:r>
      <w:r>
        <w:rPr>
          <w:b/>
          <w:szCs w:val="20"/>
        </w:rPr>
        <w:t>Deficīts būtu samazināms pakāpeniski, izvēloties optimālu un ilgtspējīgu trajektoriju. Deficīta palielināšana jāpārtrauc, kad makroekonomiskie rādītāji nostabilizēsies 2019.gada līmenī.</w:t>
      </w:r>
    </w:p>
    <w:p w14:paraId="5A97C51D" w14:textId="77777777" w:rsidR="00E50B37" w:rsidRDefault="00645276">
      <w:pPr>
        <w:pStyle w:val="FDPList1"/>
        <w:ind w:hanging="709"/>
        <w:rPr>
          <w:rStyle w:val="normaltextrun"/>
          <w:rFonts w:cs="Segoe UI"/>
          <w:color w:val="000000"/>
          <w:szCs w:val="20"/>
        </w:rPr>
      </w:pPr>
      <w:r>
        <w:rPr>
          <w:rStyle w:val="normaltextrun"/>
          <w:b/>
          <w:szCs w:val="20"/>
        </w:rPr>
        <w:t xml:space="preserve">ES fiskālais regulējums pašlaik ir transformācijas procesā gan attiecībā uz skaitlisko nosacīju pielietojumu, gan attiecībā uz deficītu un parāda apmēru mazināšanas trajektorijām. </w:t>
      </w:r>
      <w:r>
        <w:rPr>
          <w:rStyle w:val="normaltextrun"/>
          <w:szCs w:val="20"/>
        </w:rPr>
        <w:t>Pēc vispārējās izņēmuma klauzulas darbības atcelšanas, turpmākos gados, ir sagaidāms atjaunots fiskālais regulējums, kas paredz pēckrīzes pārejas periodu un mērenu deficītu samazināšanas trajektoriju ES dalībvalstīm.</w:t>
      </w:r>
      <w:r>
        <w:rPr>
          <w:rStyle w:val="normaltextrun"/>
          <w:color w:val="auto"/>
          <w:szCs w:val="20"/>
        </w:rPr>
        <w:t> </w:t>
      </w:r>
      <w:r>
        <w:rPr>
          <w:rStyle w:val="normaltextrun"/>
          <w:szCs w:val="20"/>
        </w:rPr>
        <w:t>Ņemot to vērā, Padome konstatē, ka  VTBI2022/24 ir iestrādāta Vispārējās valdības budžeta deficīta mazināšanas trajektorija, tomēr uzskata, ka nenoteiktības apstākļos tās vērtēšanai ir jāpieiet elastīgi, saudzējot ekonomikas atkopšanās procesus: priekšlaicīgi neslāpējot ekonomikas  atkopšanās procesus, bet arī neizraisot pārmērīgu ekonomikas pārkaršanu.</w:t>
      </w:r>
    </w:p>
    <w:p w14:paraId="0B71D7AF" w14:textId="77777777" w:rsidR="00E50B37" w:rsidRDefault="00E50B37">
      <w:pPr>
        <w:pStyle w:val="FDPList1"/>
        <w:numPr>
          <w:ilvl w:val="0"/>
          <w:numId w:val="0"/>
        </w:numPr>
        <w:ind w:left="567"/>
        <w:rPr>
          <w:rStyle w:val="normaltextrun"/>
          <w:rFonts w:cs="Segoe UI"/>
          <w:color w:val="000000"/>
          <w:szCs w:val="20"/>
        </w:rPr>
      </w:pPr>
    </w:p>
    <w:p w14:paraId="296C0880" w14:textId="77777777" w:rsidR="00E50B37" w:rsidRDefault="00645276">
      <w:pPr>
        <w:pStyle w:val="Virsraksts2"/>
        <w:ind w:left="567"/>
        <w:rPr>
          <w:rStyle w:val="normaltextrun"/>
          <w:rFonts w:cs="Segoe UI"/>
          <w:bCs/>
          <w:color w:val="012069"/>
          <w:szCs w:val="22"/>
          <w:lang w:eastAsia="lv-LV"/>
        </w:rPr>
      </w:pPr>
      <w:bookmarkStart w:id="28" w:name="_Toc84839737"/>
      <w:r>
        <w:rPr>
          <w:rStyle w:val="normaltextrun"/>
          <w:rFonts w:cs="Segoe UI"/>
          <w:bCs/>
          <w:color w:val="012069"/>
          <w:szCs w:val="22"/>
          <w:lang w:eastAsia="lv-LV"/>
        </w:rPr>
        <w:t>4.2. Fiskālais ietvars VTBI 2022/24</w:t>
      </w:r>
      <w:bookmarkEnd w:id="28"/>
    </w:p>
    <w:p w14:paraId="308EEB9F" w14:textId="77777777" w:rsidR="00E50B37" w:rsidRDefault="00645276">
      <w:pPr>
        <w:pStyle w:val="FDPList1"/>
        <w:ind w:hanging="709"/>
        <w:rPr>
          <w:rStyle w:val="eop"/>
          <w:b/>
          <w:color w:val="000000"/>
          <w:szCs w:val="20"/>
        </w:rPr>
      </w:pPr>
      <w:r>
        <w:rPr>
          <w:rStyle w:val="normaltextrun"/>
          <w:rFonts w:cs="Times New Roman"/>
          <w:b/>
          <w:color w:val="000000"/>
          <w:szCs w:val="20"/>
        </w:rPr>
        <w:t xml:space="preserve">Padome atbalsta pašreizējā budžeta plānā paredzēto pakāpenisko deficīta samazināšanu, kas plānota, neskatoties uz strauji mainīgo Covid-19 attīstību, kas ierobežo ekonomikas noturīgu atgriešanos pie 2019. gada attīstības līmeņa.   </w:t>
      </w:r>
      <w:r>
        <w:rPr>
          <w:rStyle w:val="normaltextrun"/>
          <w:color w:val="000000"/>
          <w:szCs w:val="20"/>
        </w:rPr>
        <w:t>2022. gada budžets veidots paredzot vispārējās valdības budžeta deficītu 4,9% apmērā no IKP. Vidējā termiņā deficītu plānots samazināt līdz 2,2% 2023. gadā un 1,4% 2024. gadā. Vispārējās valdības strukturālā bilances deficīts 2022.gadā plānots 4,7%, 2023. gadā 2,1% un 2024. gadā 1,4% no IKP. Padome vērš uzmanību uz faktu, ka jau pašlaik uzkrāto deficītu summa liek iedarbināt FDL 11. pantā paredzēto korekcijas mehānismu līdz ko izlaižu starpība kļūs pozitīva. Saskaņā ar pašlaik apstiprinātām makroekonomiskām prognozēm, 2024. gadā izlaižu starpība prognozēta pozitīva (0,2%).</w:t>
      </w:r>
      <w:r>
        <w:rPr>
          <w:rStyle w:val="eop"/>
          <w:color w:val="000000"/>
          <w:szCs w:val="20"/>
          <w:shd w:val="clear" w:color="auto" w:fill="FFFFFF"/>
        </w:rPr>
        <w:t> </w:t>
      </w:r>
    </w:p>
    <w:p w14:paraId="75F1F36C" w14:textId="77777777" w:rsidR="00E50B37" w:rsidRDefault="00645276">
      <w:pPr>
        <w:pStyle w:val="FDPNosaukumsGrafikam"/>
        <w:rPr>
          <w:rStyle w:val="eop"/>
          <w:color w:val="000000"/>
          <w:szCs w:val="20"/>
          <w:shd w:val="clear" w:color="auto" w:fill="FFFFFF"/>
        </w:rPr>
      </w:pPr>
      <w:r>
        <w:rPr>
          <w:rStyle w:val="normaltextrun"/>
          <w:rFonts w:cs="Segoe UI"/>
          <w:szCs w:val="20"/>
        </w:rPr>
        <w:t>7. attēls. Vispārējās valdības deficīts un IKP faktiskais līmenis un prognozes</w:t>
      </w:r>
      <w:r>
        <w:rPr>
          <w:rStyle w:val="eop"/>
          <w:rFonts w:cs="Segoe UI"/>
          <w:szCs w:val="20"/>
        </w:rPr>
        <w:t> </w:t>
      </w:r>
    </w:p>
    <w:p w14:paraId="5E146D12" w14:textId="77777777" w:rsidR="00E50B37" w:rsidRDefault="00645276">
      <w:pPr>
        <w:pStyle w:val="paragraph"/>
        <w:spacing w:beforeAutospacing="0" w:after="0" w:afterAutospacing="0"/>
        <w:ind w:firstLine="105"/>
        <w:jc w:val="both"/>
        <w:textAlignment w:val="baseline"/>
        <w:rPr>
          <w:rStyle w:val="normaltextrun"/>
          <w:rFonts w:cs="Segoe UI"/>
          <w:b/>
          <w:bCs/>
          <w:color w:val="993333"/>
          <w:sz w:val="20"/>
          <w:szCs w:val="20"/>
        </w:rPr>
      </w:pPr>
      <w:r>
        <w:rPr>
          <w:noProof/>
        </w:rPr>
        <w:drawing>
          <wp:inline distT="0" distB="0" distL="0" distR="0" wp14:anchorId="4333EB19" wp14:editId="6275EB9C">
            <wp:extent cx="5748020" cy="2637155"/>
            <wp:effectExtent l="0" t="0" r="0" b="0"/>
            <wp:docPr id="9" name="Object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0A928AD" w14:textId="77777777" w:rsidR="00E50B37" w:rsidRDefault="00E50B37">
      <w:pPr>
        <w:pStyle w:val="paragraph"/>
        <w:spacing w:beforeAutospacing="0" w:after="0" w:afterAutospacing="0"/>
        <w:ind w:firstLine="105"/>
        <w:jc w:val="both"/>
        <w:textAlignment w:val="baseline"/>
        <w:rPr>
          <w:rStyle w:val="normaltextrun"/>
          <w:rFonts w:cs="Segoe UI"/>
          <w:b/>
          <w:bCs/>
          <w:color w:val="993333"/>
          <w:sz w:val="20"/>
          <w:szCs w:val="20"/>
        </w:rPr>
      </w:pPr>
    </w:p>
    <w:p w14:paraId="048A4639" w14:textId="77777777" w:rsidR="00E50B37" w:rsidRDefault="00645276">
      <w:pPr>
        <w:pStyle w:val="paragraph"/>
        <w:spacing w:beforeAutospacing="0" w:after="0" w:afterAutospacing="0"/>
        <w:textAlignment w:val="baseline"/>
        <w:rPr>
          <w:rFonts w:ascii="Segoe UI" w:hAnsi="Segoe UI" w:cs="Segoe UI"/>
          <w:color w:val="000000"/>
          <w:sz w:val="18"/>
          <w:szCs w:val="18"/>
        </w:rPr>
      </w:pPr>
      <w:r>
        <w:rPr>
          <w:rStyle w:val="normaltextrun"/>
          <w:rFonts w:ascii="Verdana" w:hAnsi="Verdana" w:cs="Segoe UI"/>
          <w:b/>
          <w:bCs/>
          <w:color w:val="9D2234"/>
          <w:sz w:val="16"/>
          <w:szCs w:val="16"/>
          <w:shd w:val="clear" w:color="auto" w:fill="FCFCFC"/>
        </w:rPr>
        <w:t>Avots: FM un </w:t>
      </w:r>
      <w:r>
        <w:rPr>
          <w:rStyle w:val="spellingerror"/>
          <w:rFonts w:ascii="Verdana" w:hAnsi="Verdana" w:cs="Segoe UI"/>
          <w:b/>
          <w:bCs/>
          <w:color w:val="9D2234"/>
          <w:sz w:val="16"/>
          <w:szCs w:val="16"/>
          <w:shd w:val="clear" w:color="auto" w:fill="FCFCFC"/>
        </w:rPr>
        <w:t>Eurostat</w:t>
      </w:r>
      <w:r>
        <w:rPr>
          <w:rStyle w:val="normaltextrun"/>
          <w:rFonts w:ascii="Verdana" w:hAnsi="Verdana" w:cs="Segoe UI"/>
          <w:b/>
          <w:bCs/>
          <w:color w:val="9D2234"/>
          <w:sz w:val="16"/>
          <w:szCs w:val="16"/>
          <w:shd w:val="clear" w:color="auto" w:fill="FCFCFC"/>
        </w:rPr>
        <w:t> [gov_10dd_edpt1], Finanšu ministrija</w:t>
      </w:r>
    </w:p>
    <w:p w14:paraId="47B4B639" w14:textId="77777777" w:rsidR="00E50B37" w:rsidRDefault="00E50B37">
      <w:pPr>
        <w:pStyle w:val="paragraph"/>
        <w:spacing w:beforeAutospacing="0" w:after="0" w:afterAutospacing="0"/>
        <w:ind w:firstLine="105"/>
        <w:jc w:val="both"/>
        <w:textAlignment w:val="baseline"/>
        <w:rPr>
          <w:rFonts w:ascii="Segoe UI" w:hAnsi="Segoe UI" w:cs="Segoe UI"/>
          <w:color w:val="000000"/>
          <w:sz w:val="18"/>
          <w:szCs w:val="18"/>
        </w:rPr>
      </w:pPr>
    </w:p>
    <w:p w14:paraId="7ABF876A" w14:textId="77777777" w:rsidR="00E50B37" w:rsidRDefault="00645276">
      <w:pPr>
        <w:pStyle w:val="FDPList1"/>
        <w:rPr>
          <w:szCs w:val="20"/>
          <w:lang w:eastAsia="lv-LV"/>
        </w:rPr>
      </w:pPr>
      <w:r>
        <w:rPr>
          <w:b/>
          <w:szCs w:val="20"/>
          <w:lang w:eastAsia="lv-LV"/>
        </w:rPr>
        <w:lastRenderedPageBreak/>
        <w:t>Fiskālās telpas izlietojums attiecībā uz investīciju pieaugumu ir atbalstāms un ir saskaņā ar ES padomes rekomendācijām, tomēr vienlaikus fiskālās telpas līdzekļi ir ieplānoti pasākumiem, kas kāpinās budžeta bāzes izdevumus, līdz ar to nākotnē būs izaicinoša gan VVP parāda samazināšana, gan deficīta samazināšana.</w:t>
      </w:r>
      <w:r>
        <w:rPr>
          <w:szCs w:val="20"/>
          <w:lang w:eastAsia="lv-LV"/>
        </w:rPr>
        <w:t xml:space="preserve">  </w:t>
      </w:r>
      <w:r>
        <w:rPr>
          <w:rFonts w:eastAsia="Times New Roman" w:cs="Segoe UI"/>
          <w:color w:val="000000"/>
          <w:szCs w:val="20"/>
          <w:lang w:eastAsia="lv-LV"/>
        </w:rPr>
        <w:t>2022. gadam paredzētā fiskālā telpa apgūta pilnībā, turklāt tā ir pārsniegta, ar EK atļautajām investīcijām, kas izraisījis iepriekš plānotā 3,8% deficīta pieaugumu līdz 4,9%. 2022. gadā izdevumu apjoms ir paredzēts 14,6 miljardu apjomā, kurā ir ietverti gan primārie izdevumi, gan investīcijas un ar Covid-19 saistītie pasākumi vairāk nekā 500 miljonu apmērā. No prioritāro pasākumu izdevumiem 54% paredzēti uzturēšanas pasākumiem, 38% investīcijām, 8% Covid-19 pasākumiem. Šobrīd 2023. un 2024. gados netiek plānoti jauni ar Covid-19 saistīti pasākumi, tomēr plānotie uzturēšanas izdevumi, kuri ietver arī budžeta bāzi palielinošus pasākumus, turpinās pieaugt, savukārt investīciju līmenis krītas. Salīdzinot ar 2022. gadu krītas arī kopbudžeta kapitālie izdevumi.</w:t>
      </w:r>
    </w:p>
    <w:p w14:paraId="20BADE21" w14:textId="77777777" w:rsidR="00E50B37" w:rsidRDefault="00645276">
      <w:pPr>
        <w:pStyle w:val="FDPList1"/>
        <w:rPr>
          <w:rStyle w:val="eop"/>
          <w:b/>
          <w:bCs/>
          <w:szCs w:val="20"/>
          <w:lang w:eastAsia="lv-LV"/>
        </w:rPr>
      </w:pPr>
      <w:r>
        <w:rPr>
          <w:rStyle w:val="normaltextrun"/>
          <w:b/>
          <w:bCs/>
          <w:szCs w:val="20"/>
        </w:rPr>
        <w:t xml:space="preserve">Latvijas fiskālā politika, līdzīgi kā citās ES valstīs, reaģējot uz krīzes attīstību 2020. un 2021. gadā, ir bijusi ekspansīva un pretcikliska, tomēr ekonomikas izaugsmei atjaunojoties ir jāievēro piesardzība ekspansīvas fiskālās politikas plānošanā, kas var stimulēt inflācijas kāpumu nevis ekonomikas viendabīgu izaugsmi. </w:t>
      </w:r>
      <w:r>
        <w:rPr>
          <w:rStyle w:val="normaltextrun"/>
          <w:szCs w:val="20"/>
        </w:rPr>
        <w:t>Attīstoties makroekonomiskai nesabalansētībai un inflācijas straujam pieaugumam, ir nepieciešams kritiski pieiet investīciju projektu kvalitātei un iespēju robežās atlikt tādu projektu realizāciju, kas neveicinās ilgtspējīgu un sabalansētu izaugsmi, bet izraisīs pārkaršanu atsevišķās nozarēs. Turklāt pieaugot enerģijas cenām uz nevienlīdzīgas iedzīvotāju ienākumu struktūras fona, var rasties situācija, ka pieaugs nepieciešamība pēc iedzīvotāju atbalsta mehāniskiem.</w:t>
      </w:r>
    </w:p>
    <w:p w14:paraId="3BE84BC4" w14:textId="77777777" w:rsidR="00E50B37" w:rsidRDefault="00645276">
      <w:pPr>
        <w:pStyle w:val="FDPList1"/>
        <w:rPr>
          <w:rStyle w:val="normaltextrun"/>
          <w:rFonts w:cs="Segoe UI"/>
          <w:b/>
          <w:bCs/>
          <w:color w:val="000000"/>
          <w:szCs w:val="20"/>
        </w:rPr>
      </w:pPr>
      <w:r>
        <w:rPr>
          <w:b/>
          <w:szCs w:val="20"/>
        </w:rPr>
        <w:t>Ņemot vērā, ka šobrīd likumdošana nenosaka maksimāli pieļaujamos budžeta izdevumus, Finanšu ministrija savā ziņojumā</w:t>
      </w:r>
      <w:r>
        <w:rPr>
          <w:rStyle w:val="FootnoteAnchor"/>
          <w:rFonts w:eastAsia="Verdana" w:cs="Verdana"/>
          <w:b/>
          <w:color w:val="auto"/>
          <w:szCs w:val="20"/>
        </w:rPr>
        <w:footnoteReference w:id="32"/>
      </w:r>
      <w:r>
        <w:rPr>
          <w:b/>
          <w:szCs w:val="20"/>
        </w:rPr>
        <w:t xml:space="preserve"> piedāvāja par maksimāli pieļaujamo izdevumu noteikšanas enkuru tuvākajos gados noteikt valsts parāda līmeni- tuvu 50% no IKP. Padome piekrīt šādam fiskālās politikas mērķim tuvākos gados.</w:t>
      </w:r>
      <w:r>
        <w:rPr>
          <w:rStyle w:val="normaltextrun"/>
          <w:szCs w:val="20"/>
        </w:rPr>
        <w:t>. Tomēr šobrīd veidojot VTBI, parādu 2022. gadā plānots kāpināt līdz 52%, savukārt 2023./24. gadā to samazināt līdz 49% IKP.</w:t>
      </w:r>
      <w:r>
        <w:rPr>
          <w:rStyle w:val="normaltextrun"/>
          <w:rFonts w:cs="Segoe UI"/>
          <w:bCs/>
          <w:color w:val="000000"/>
          <w:szCs w:val="20"/>
        </w:rPr>
        <w:t xml:space="preserve"> Iepriekš š</w:t>
      </w:r>
      <w:r>
        <w:rPr>
          <w:rStyle w:val="normaltextrun"/>
          <w:szCs w:val="20"/>
        </w:rPr>
        <w:t>.g. 24. augustā Ministru kabinetā apstiprinātais scenārijs</w:t>
      </w:r>
      <w:r>
        <w:rPr>
          <w:rStyle w:val="superscript"/>
          <w:rFonts w:cs="Segoe UI"/>
          <w:bCs/>
          <w:color w:val="000000"/>
          <w:szCs w:val="20"/>
          <w:vertAlign w:val="superscript"/>
        </w:rPr>
        <w:t xml:space="preserve"> </w:t>
      </w:r>
      <w:r>
        <w:rPr>
          <w:rStyle w:val="normaltextrun"/>
          <w:szCs w:val="20"/>
        </w:rPr>
        <w:t>paredzēja 49,6% vispārējās valdības parāda līmeni šajā gadā un 50,9% 2022. gadā, to pakāpeniski samazinot līdz 49,8% un 49,9%  attiecīgi 2023. un 2024. gadā.</w:t>
      </w:r>
    </w:p>
    <w:p w14:paraId="59AF6562" w14:textId="77777777" w:rsidR="00E50B37" w:rsidRDefault="00645276">
      <w:pPr>
        <w:pStyle w:val="FDPList1"/>
        <w:rPr>
          <w:rStyle w:val="normaltextrun"/>
        </w:rPr>
      </w:pPr>
      <w:r>
        <w:rPr>
          <w:rFonts w:cs="Segoe UI"/>
          <w:b/>
          <w:bCs/>
          <w:color w:val="000000"/>
          <w:szCs w:val="20"/>
        </w:rPr>
        <w:t xml:space="preserve">Šobrīd Latvijas parāda apkalpošanas izmaksas ir salīdzinoši nelielas un arī Latvijas kredītreitings ir pietiekami augsts, lai varētu droši aizņemties starptautiskos tirgos. </w:t>
      </w:r>
      <w:r>
        <w:rPr>
          <w:rStyle w:val="normaltextrun"/>
          <w:szCs w:val="20"/>
        </w:rPr>
        <w:t>Latvija pašlaik var izmantot labākās iespējas pateicoties augstam kredītreitinga aģentūru novērtējumam, piemēram, aģentūra Moody's Latvijai piešķīrusi augstāko novērtējumu A3, aģentūra S&amp;P Global A+, bet aģentūra Fitch Latviju ierindoja A-, kategorijā. Visas aģentūras vienoti uzskata, ka Latvijas nākotnes vērtējums ir stabils. Tas ir pozitīvs rezultāts vairāku gadu Latvijas atbildīgai fiskālai politikai, kas arī ir rezultējies vēsturiski zemās valsts parāda apkalpošanas izmaksās.</w:t>
      </w:r>
    </w:p>
    <w:p w14:paraId="38D14FDF" w14:textId="77777777" w:rsidR="00E50B37" w:rsidRDefault="00645276">
      <w:pPr>
        <w:pStyle w:val="FDPList1"/>
        <w:rPr>
          <w:rStyle w:val="normaltextrun"/>
          <w:b/>
        </w:rPr>
      </w:pPr>
      <w:r>
        <w:rPr>
          <w:rFonts w:cs="Segoe UI"/>
          <w:b/>
          <w:bCs/>
          <w:color w:val="000000"/>
          <w:szCs w:val="20"/>
        </w:rPr>
        <w:t>Neskatoties uz Latvijai labvēlīgu situāciju augsto kredītreitingu kontekstā, nav pieļaujama parāda apmēra kāpināšana pēc 2022.</w:t>
      </w:r>
      <w:r>
        <w:rPr>
          <w:rStyle w:val="normaltextrun"/>
          <w:b/>
          <w:szCs w:val="20"/>
        </w:rPr>
        <w:t xml:space="preserve"> gada, bet šajā periodā ir jāparedz skaidra stratēģija gan parāda līmeņa, gan deficīta samazināšanai. </w:t>
      </w:r>
    </w:p>
    <w:p w14:paraId="50F1EDBC" w14:textId="77777777" w:rsidR="00E50B37" w:rsidRDefault="00645276">
      <w:pPr>
        <w:pStyle w:val="FDPNosaukumsGrafikam"/>
        <w:rPr>
          <w:rFonts w:ascii="Segoe UI" w:hAnsi="Segoe UI"/>
          <w:color w:val="000000"/>
          <w:sz w:val="18"/>
          <w:szCs w:val="18"/>
        </w:rPr>
      </w:pPr>
      <w:r>
        <w:rPr>
          <w:rStyle w:val="normaltextrun"/>
          <w:rFonts w:cs="Segoe UI"/>
          <w:noProof/>
          <w:szCs w:val="20"/>
        </w:rPr>
        <w:lastRenderedPageBreak/>
        <w:drawing>
          <wp:anchor distT="0" distB="0" distL="0" distR="0" simplePos="0" relativeHeight="43" behindDoc="0" locked="0" layoutInCell="0" allowOverlap="1" wp14:anchorId="52749CA4" wp14:editId="5EAA1E96">
            <wp:simplePos x="0" y="0"/>
            <wp:positionH relativeFrom="column">
              <wp:posOffset>-114300</wp:posOffset>
            </wp:positionH>
            <wp:positionV relativeFrom="paragraph">
              <wp:posOffset>237490</wp:posOffset>
            </wp:positionV>
            <wp:extent cx="5935980" cy="2620010"/>
            <wp:effectExtent l="0" t="0" r="0" b="0"/>
            <wp:wrapSquare wrapText="bothSides"/>
            <wp:docPr id="10" name="Object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Pr>
          <w:rStyle w:val="normaltextrun"/>
          <w:rFonts w:cs="Segoe UI"/>
          <w:szCs w:val="20"/>
        </w:rPr>
        <w:t>8. attēls. Vispārējās valdības parāda faktiskais līmenis un prognozes</w:t>
      </w:r>
      <w:r>
        <w:rPr>
          <w:rStyle w:val="eop"/>
          <w:rFonts w:cs="Segoe UI"/>
          <w:szCs w:val="20"/>
        </w:rPr>
        <w:t> </w:t>
      </w:r>
    </w:p>
    <w:p w14:paraId="6C3A2953" w14:textId="77777777" w:rsidR="00E50B37" w:rsidRDefault="00645276">
      <w:pPr>
        <w:pStyle w:val="paragraph"/>
        <w:spacing w:beforeAutospacing="0" w:after="0" w:afterAutospacing="0"/>
        <w:textAlignment w:val="baseline"/>
        <w:rPr>
          <w:rFonts w:ascii="Segoe UI" w:hAnsi="Segoe UI" w:cs="Segoe UI"/>
          <w:color w:val="000000"/>
          <w:sz w:val="18"/>
          <w:szCs w:val="18"/>
        </w:rPr>
      </w:pPr>
      <w:r>
        <w:rPr>
          <w:rStyle w:val="normaltextrun"/>
          <w:rFonts w:ascii="Verdana" w:hAnsi="Verdana" w:cs="Segoe UI"/>
          <w:b/>
          <w:bCs/>
          <w:color w:val="9D2234"/>
          <w:sz w:val="18"/>
          <w:szCs w:val="18"/>
        </w:rPr>
        <w:t>Av</w:t>
      </w:r>
      <w:r>
        <w:rPr>
          <w:rStyle w:val="normaltextrun"/>
          <w:rFonts w:ascii="Verdana" w:hAnsi="Verdana" w:cs="Segoe UI"/>
          <w:b/>
          <w:bCs/>
          <w:color w:val="9D2234"/>
          <w:sz w:val="16"/>
          <w:szCs w:val="16"/>
        </w:rPr>
        <w:t>ots: </w:t>
      </w:r>
      <w:r>
        <w:rPr>
          <w:rStyle w:val="spellingerror"/>
          <w:rFonts w:ascii="Verdana" w:hAnsi="Verdana" w:cs="Segoe UI"/>
          <w:b/>
          <w:bCs/>
          <w:color w:val="9D2234"/>
          <w:sz w:val="16"/>
          <w:szCs w:val="16"/>
        </w:rPr>
        <w:t>Eurostat</w:t>
      </w:r>
      <w:r>
        <w:rPr>
          <w:rStyle w:val="normaltextrun"/>
          <w:rFonts w:ascii="Verdana" w:hAnsi="Verdana" w:cs="Segoe UI"/>
          <w:b/>
          <w:bCs/>
          <w:color w:val="9D2234"/>
          <w:sz w:val="16"/>
          <w:szCs w:val="16"/>
        </w:rPr>
        <w:t> [GOV_10DD_EDPT1] un Finanšu Ministrija</w:t>
      </w:r>
      <w:r>
        <w:rPr>
          <w:rStyle w:val="eop"/>
          <w:rFonts w:ascii="Verdana" w:hAnsi="Verdana" w:cs="Segoe UI"/>
          <w:color w:val="9D2234"/>
          <w:sz w:val="16"/>
          <w:szCs w:val="16"/>
        </w:rPr>
        <w:t> </w:t>
      </w:r>
    </w:p>
    <w:p w14:paraId="0E5041CD" w14:textId="77777777" w:rsidR="00E50B37" w:rsidRDefault="00E50B37">
      <w:pPr>
        <w:pStyle w:val="FDPList1"/>
        <w:numPr>
          <w:ilvl w:val="0"/>
          <w:numId w:val="0"/>
        </w:numPr>
        <w:ind w:left="567" w:hanging="567"/>
        <w:rPr>
          <w:rStyle w:val="normaltextrun"/>
          <w:b/>
        </w:rPr>
      </w:pPr>
    </w:p>
    <w:p w14:paraId="37F917A3" w14:textId="6309CEF0" w:rsidR="00E50B37" w:rsidRDefault="00645276">
      <w:pPr>
        <w:pStyle w:val="FDPList1"/>
        <w:rPr>
          <w:szCs w:val="20"/>
        </w:rPr>
      </w:pPr>
      <w:r>
        <w:rPr>
          <w:b/>
          <w:szCs w:val="20"/>
        </w:rPr>
        <w:t>Prognozētais parāda līmenis 2022. gadā nedaudz pārsniedz iepriekš minēto parāda enkuru, tomēr vidējā termiņā to paredzēts saglabāt</w:t>
      </w:r>
      <w:r w:rsidR="00473674">
        <w:rPr>
          <w:b/>
          <w:szCs w:val="20"/>
        </w:rPr>
        <w:t xml:space="preserve"> vidēji</w:t>
      </w:r>
      <w:r>
        <w:rPr>
          <w:b/>
          <w:szCs w:val="20"/>
        </w:rPr>
        <w:t xml:space="preserve"> 50% robežās. Padome ar izpratni pieņem šo situāciju, ņemot vērā strauju un grūti prognozējamu epidemioloģiskās situācijas pasliktināšanos šī gada oktobrī, kas likusi valdībai izsludināt jau trešo ārkārtas situāciju pēdējo divu gadu laikā.</w:t>
      </w:r>
      <w:r>
        <w:rPr>
          <w:szCs w:val="20"/>
        </w:rPr>
        <w:t xml:space="preserve"> Ņemot vērā esošos apstākļus, pieeja parāda plānošanai ir vērtējama kā fiskāli atbildīga un parāda mērķi ir atbalstāmi. Kontrolējot parāda pieaugumu, ir jāpievērš uzmanība kvalitatīvām investīcijām, kas nākotnē ļautu kāpināt izaugsmi un mazināt parāda līmeni bez papildus fiskāliem ierobežojumiem.</w:t>
      </w:r>
    </w:p>
    <w:sectPr w:rsidR="00E50B37">
      <w:headerReference w:type="default" r:id="rId23"/>
      <w:footerReference w:type="default" r:id="rId24"/>
      <w:pgSz w:w="11906" w:h="16838"/>
      <w:pgMar w:top="2268" w:right="851" w:bottom="1134" w:left="1701" w:header="794" w:footer="283"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FD33E0" w14:textId="77777777" w:rsidR="008F0968" w:rsidRDefault="008F0968">
      <w:pPr>
        <w:spacing w:after="0" w:line="240" w:lineRule="auto"/>
      </w:pPr>
      <w:r>
        <w:separator/>
      </w:r>
    </w:p>
  </w:endnote>
  <w:endnote w:type="continuationSeparator" w:id="0">
    <w:p w14:paraId="2DFDBF8C" w14:textId="77777777" w:rsidR="008F0968" w:rsidRDefault="008F0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egoe UI">
    <w:altName w:val="Arial"/>
    <w:panose1 w:val="020B0502040204020203"/>
    <w:charset w:val="BA"/>
    <w:family w:val="swiss"/>
    <w:pitch w:val="variable"/>
    <w:sig w:usb0="E4002EFF" w:usb1="C000E47F"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B74C4" w14:textId="77777777" w:rsidR="005715F4" w:rsidRDefault="005715F4">
    <w:pPr>
      <w:pStyle w:val="Kjene"/>
      <w:rPr>
        <w:sz w:val="16"/>
        <w:szCs w:val="16"/>
      </w:rPr>
    </w:pPr>
    <w:r>
      <w:rPr>
        <w:sz w:val="16"/>
        <w:szCs w:val="16"/>
      </w:rPr>
      <w:t>FDP_111021_FDUZ.docx</w:t>
    </w:r>
  </w:p>
  <w:p w14:paraId="2D5B85BB" w14:textId="77777777" w:rsidR="005715F4" w:rsidRDefault="005715F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4B25B8" w14:textId="77777777" w:rsidR="008F0968" w:rsidRDefault="008F0968">
      <w:pPr>
        <w:rPr>
          <w:sz w:val="12"/>
        </w:rPr>
      </w:pPr>
      <w:r>
        <w:separator/>
      </w:r>
    </w:p>
  </w:footnote>
  <w:footnote w:type="continuationSeparator" w:id="0">
    <w:p w14:paraId="7A2CCB64" w14:textId="77777777" w:rsidR="008F0968" w:rsidRDefault="008F0968">
      <w:pPr>
        <w:rPr>
          <w:sz w:val="12"/>
        </w:rPr>
      </w:pPr>
      <w:r>
        <w:continuationSeparator/>
      </w:r>
    </w:p>
  </w:footnote>
  <w:footnote w:id="1">
    <w:p w14:paraId="19EBA4FF" w14:textId="77777777" w:rsidR="005715F4" w:rsidRDefault="005715F4">
      <w:pPr>
        <w:spacing w:after="0" w:line="240" w:lineRule="auto"/>
        <w:rPr>
          <w:sz w:val="12"/>
          <w:szCs w:val="12"/>
        </w:rPr>
      </w:pPr>
      <w:r>
        <w:rPr>
          <w:rStyle w:val="FootnoteCharacters"/>
        </w:rPr>
        <w:footnoteRef/>
      </w:r>
      <w:r>
        <w:rPr>
          <w:sz w:val="12"/>
          <w:szCs w:val="12"/>
        </w:rPr>
        <w:t xml:space="preserve"> https://likumi.lv/ta/id/315287-covid-19-infekcijas-izplatibas-seku-parvaresanas-likums</w:t>
      </w:r>
    </w:p>
  </w:footnote>
  <w:footnote w:id="2">
    <w:p w14:paraId="002591E6" w14:textId="77777777" w:rsidR="005715F4" w:rsidRDefault="005715F4">
      <w:pPr>
        <w:spacing w:after="0" w:line="240" w:lineRule="auto"/>
        <w:rPr>
          <w:sz w:val="12"/>
          <w:szCs w:val="12"/>
        </w:rPr>
      </w:pPr>
      <w:r>
        <w:rPr>
          <w:rStyle w:val="FootnoteCharacters"/>
        </w:rPr>
        <w:footnoteRef/>
      </w:r>
      <w:r>
        <w:rPr>
          <w:sz w:val="12"/>
          <w:szCs w:val="12"/>
        </w:rPr>
        <w:t xml:space="preserve"> </w:t>
      </w:r>
      <w:hyperlink r:id="rId1">
        <w:r>
          <w:rPr>
            <w:rStyle w:val="Hipersaite"/>
            <w:rFonts w:eastAsia="Verdana" w:cs="Verdana"/>
            <w:sz w:val="12"/>
            <w:szCs w:val="12"/>
          </w:rPr>
          <w:t>com-2021-514-1_en_act_part1_v3.pdf (europa.eu)</w:t>
        </w:r>
      </w:hyperlink>
    </w:p>
  </w:footnote>
  <w:footnote w:id="3">
    <w:p w14:paraId="3C5ACE11" w14:textId="77777777" w:rsidR="005715F4" w:rsidRDefault="005715F4">
      <w:pPr>
        <w:spacing w:after="0" w:line="240" w:lineRule="auto"/>
        <w:rPr>
          <w:szCs w:val="20"/>
        </w:rPr>
      </w:pPr>
      <w:r>
        <w:rPr>
          <w:rStyle w:val="FootnoteCharacters"/>
        </w:rPr>
        <w:footnoteRef/>
      </w:r>
      <w:r>
        <w:rPr>
          <w:sz w:val="12"/>
          <w:szCs w:val="12"/>
        </w:rPr>
        <w:t xml:space="preserve"> </w:t>
      </w:r>
      <w:r>
        <w:rPr>
          <w:rFonts w:eastAsia="Verdana" w:cs="Verdana"/>
          <w:sz w:val="12"/>
          <w:szCs w:val="12"/>
        </w:rPr>
        <w:t>Informatīvais ziņojums “Par makroekonomisko rādītāju, ieņēmumu un vispārējās valdības budžeta bilances prognozēm 2022.- 2024.gadā”, apstiprināts MK 2021.gada 24.augustā. Pieejams: https://www.fm.gov.lv/lv/budzets2022, skatīts 16.09.2021</w:t>
      </w:r>
    </w:p>
  </w:footnote>
  <w:footnote w:id="4">
    <w:p w14:paraId="02A02DC9" w14:textId="77777777" w:rsidR="005715F4" w:rsidRDefault="005715F4">
      <w:pPr>
        <w:spacing w:after="0" w:line="240" w:lineRule="auto"/>
        <w:rPr>
          <w:sz w:val="12"/>
          <w:szCs w:val="12"/>
        </w:rPr>
      </w:pPr>
      <w:r>
        <w:rPr>
          <w:rStyle w:val="FootnoteCharacters"/>
        </w:rPr>
        <w:footnoteRef/>
      </w:r>
      <w:r>
        <w:rPr>
          <w:sz w:val="12"/>
          <w:szCs w:val="12"/>
        </w:rPr>
        <w:t xml:space="preserve"> FDP monitorings Nr. 12 pieejams: </w:t>
      </w:r>
      <w:hyperlink r:id="rId2">
        <w:r>
          <w:rPr>
            <w:rStyle w:val="Hipersaite"/>
            <w:sz w:val="12"/>
            <w:szCs w:val="12"/>
          </w:rPr>
          <w:t>https://www.fdp.gov.lv/lv/media/1653/download</w:t>
        </w:r>
      </w:hyperlink>
      <w:r>
        <w:rPr>
          <w:sz w:val="12"/>
          <w:szCs w:val="12"/>
        </w:rPr>
        <w:t>, skatīts 07/10/2021</w:t>
      </w:r>
    </w:p>
  </w:footnote>
  <w:footnote w:id="5">
    <w:p w14:paraId="56091E15" w14:textId="77777777" w:rsidR="005715F4" w:rsidRDefault="005715F4">
      <w:pPr>
        <w:spacing w:after="0" w:line="240" w:lineRule="auto"/>
        <w:rPr>
          <w:szCs w:val="20"/>
        </w:rPr>
      </w:pPr>
      <w:r>
        <w:rPr>
          <w:rStyle w:val="FootnoteCharacters"/>
        </w:rPr>
        <w:footnoteRef/>
      </w:r>
      <w:r>
        <w:rPr>
          <w:sz w:val="12"/>
          <w:szCs w:val="12"/>
        </w:rPr>
        <w:t xml:space="preserve"> </w:t>
      </w:r>
      <w:r>
        <w:rPr>
          <w:rFonts w:eastAsia="Verdana" w:cs="Verdana"/>
          <w:sz w:val="12"/>
          <w:szCs w:val="12"/>
        </w:rPr>
        <w:t>Novērtējums pieejams: https://www.fdp.gov.lv/lv/media/2979/download, skatīts 10/08/2021</w:t>
      </w:r>
    </w:p>
  </w:footnote>
  <w:footnote w:id="6">
    <w:p w14:paraId="36D3EFF6" w14:textId="77777777" w:rsidR="005715F4" w:rsidRPr="00EC6C8F" w:rsidRDefault="005715F4" w:rsidP="00EC6C8F">
      <w:pPr>
        <w:spacing w:after="0"/>
        <w:rPr>
          <w:sz w:val="12"/>
          <w:szCs w:val="12"/>
        </w:rPr>
      </w:pPr>
      <w:r w:rsidRPr="00EC6C8F">
        <w:rPr>
          <w:rStyle w:val="FootnoteCharacters"/>
          <w:sz w:val="12"/>
          <w:szCs w:val="12"/>
        </w:rPr>
        <w:footnoteRef/>
      </w:r>
      <w:r w:rsidRPr="00EC6C8F">
        <w:rPr>
          <w:sz w:val="12"/>
          <w:szCs w:val="12"/>
        </w:rPr>
        <w:t xml:space="preserve"> https://likumi.lv/ta/id/315287-covid-19-infekcijas-izplatibas-seku-parvaresanas-likums</w:t>
      </w:r>
    </w:p>
  </w:footnote>
  <w:footnote w:id="7">
    <w:p w14:paraId="7BA98329" w14:textId="77777777" w:rsidR="005715F4" w:rsidRPr="00EC6C8F" w:rsidRDefault="005715F4" w:rsidP="00EC6C8F">
      <w:pPr>
        <w:spacing w:after="0"/>
        <w:rPr>
          <w:sz w:val="12"/>
          <w:szCs w:val="12"/>
        </w:rPr>
      </w:pPr>
      <w:r w:rsidRPr="00EC6C8F">
        <w:rPr>
          <w:rStyle w:val="FootnoteCharacters"/>
          <w:sz w:val="12"/>
          <w:szCs w:val="12"/>
        </w:rPr>
        <w:footnoteRef/>
      </w:r>
      <w:r w:rsidRPr="00EC6C8F">
        <w:rPr>
          <w:rFonts w:eastAsia="Verdana" w:cs="Verdana"/>
          <w:sz w:val="12"/>
          <w:szCs w:val="12"/>
        </w:rPr>
        <w:t xml:space="preserve"> Informatīvais ziņojums "Par makroekonomisko rādītāju, ieņēmumu un vispārējās valdības budžeta bilances prognozēm". Pieejams </w:t>
      </w:r>
      <w:hyperlink r:id="rId3">
        <w:r w:rsidRPr="00EC6C8F">
          <w:rPr>
            <w:rStyle w:val="Hipersaite"/>
            <w:rFonts w:eastAsia="Verdana" w:cs="Verdana"/>
            <w:sz w:val="12"/>
            <w:szCs w:val="12"/>
          </w:rPr>
          <w:t>http://tap.mk.gov.lv/lv/mk/tap/?pid=40506650&amp;mode=mk&amp;date=2021-08-24,</w:t>
        </w:r>
      </w:hyperlink>
      <w:r w:rsidRPr="00EC6C8F">
        <w:rPr>
          <w:rFonts w:eastAsia="Verdana" w:cs="Verdana"/>
          <w:sz w:val="12"/>
          <w:szCs w:val="12"/>
        </w:rPr>
        <w:t xml:space="preserve"> skatīts 25/08/2021 </w:t>
      </w:r>
    </w:p>
  </w:footnote>
  <w:footnote w:id="8">
    <w:p w14:paraId="3119B115" w14:textId="77777777" w:rsidR="005715F4" w:rsidRPr="00EC6C8F" w:rsidRDefault="005715F4" w:rsidP="00EC6C8F">
      <w:pPr>
        <w:pStyle w:val="Vresteksts"/>
        <w:rPr>
          <w:rFonts w:eastAsia="Times New Roman"/>
          <w:szCs w:val="12"/>
        </w:rPr>
      </w:pPr>
      <w:r w:rsidRPr="00EC6C8F">
        <w:rPr>
          <w:rStyle w:val="FootnoteCharacters"/>
          <w:szCs w:val="12"/>
        </w:rPr>
        <w:footnoteRef/>
      </w:r>
      <w:r w:rsidRPr="00EC6C8F">
        <w:rPr>
          <w:szCs w:val="12"/>
        </w:rPr>
        <w:tab/>
        <w:t xml:space="preserve"> FM Bilance_16082021 datne</w:t>
      </w:r>
    </w:p>
  </w:footnote>
  <w:footnote w:id="9">
    <w:p w14:paraId="41AB4FC4" w14:textId="77777777" w:rsidR="005715F4" w:rsidRDefault="005715F4" w:rsidP="00EC6C8F">
      <w:pPr>
        <w:pStyle w:val="Vresteksts"/>
        <w:widowControl w:val="0"/>
      </w:pPr>
      <w:r w:rsidRPr="00EC6C8F">
        <w:rPr>
          <w:rStyle w:val="FootnoteCharacters"/>
          <w:szCs w:val="12"/>
        </w:rPr>
        <w:footnoteRef/>
      </w:r>
      <w:r w:rsidRPr="00EC6C8F">
        <w:rPr>
          <w:szCs w:val="12"/>
        </w:rPr>
        <w:tab/>
        <w:t xml:space="preserve"> Saskaņā ar SIP un FDL, fiskālais rezultāts tiek novērtēts balstoties uz Eiropas kontu sistēmas 2010 (EKS2010) metodoloģiju, kas balstās uz uzkrājumu metodi. Tikmēr tradicionāli Latvijā valsts budžets tiek apstiprināts un novērtēts, balstoties uz naudas plūsmas metodi. </w:t>
      </w:r>
    </w:p>
  </w:footnote>
  <w:footnote w:id="10">
    <w:p w14:paraId="641FE393" w14:textId="77777777" w:rsidR="005715F4" w:rsidRDefault="005715F4">
      <w:pPr>
        <w:rPr>
          <w:szCs w:val="20"/>
        </w:rPr>
      </w:pPr>
      <w:r>
        <w:rPr>
          <w:rStyle w:val="FootnoteCharacters"/>
        </w:rPr>
        <w:footnoteRef/>
      </w:r>
      <w:r>
        <w:rPr>
          <w:rFonts w:eastAsia="Verdana" w:cs="Verdana"/>
          <w:sz w:val="14"/>
          <w:szCs w:val="14"/>
        </w:rPr>
        <w:t xml:space="preserve"> Informatīvais ziņojums "Par makroekonomisko rādītāju, ieņēmumu un vispārējās valdības budžeta bilances prognozēm". Pieejams </w:t>
      </w:r>
      <w:hyperlink r:id="rId4">
        <w:r>
          <w:rPr>
            <w:rStyle w:val="Hipersaite"/>
            <w:rFonts w:eastAsia="Verdana" w:cs="Verdana"/>
            <w:sz w:val="14"/>
            <w:szCs w:val="14"/>
          </w:rPr>
          <w:t>http://tap.mk.gov.lv/lv/mk/tap/?pid=40506650&amp;mode=mk&amp;date=2021-08-24,</w:t>
        </w:r>
      </w:hyperlink>
      <w:r>
        <w:rPr>
          <w:rFonts w:eastAsia="Verdana" w:cs="Verdana"/>
          <w:sz w:val="14"/>
          <w:szCs w:val="14"/>
        </w:rPr>
        <w:t xml:space="preserve"> skatīts 25/08/2021</w:t>
      </w:r>
    </w:p>
  </w:footnote>
  <w:footnote w:id="11">
    <w:p w14:paraId="366A6248" w14:textId="77777777" w:rsidR="005715F4" w:rsidRDefault="005715F4">
      <w:pPr>
        <w:pStyle w:val="Vresteksts"/>
      </w:pPr>
      <w:r>
        <w:rPr>
          <w:rStyle w:val="FootnoteCharacters"/>
        </w:rPr>
        <w:footnoteRef/>
      </w:r>
      <w:r>
        <w:tab/>
        <w:t xml:space="preserve"> Fiskālais stimuls tiek definēts kā VVBB pasliktināšanās salīdzinot ar iepriekšējo gadu (% no IKP), lai stimulētu ekonomiku. Piemēram, skatīt SVF 2019.gada ziņojumu par Latvijas ekonomiku. Pieejams: </w:t>
      </w:r>
      <w:hyperlink r:id="rId5">
        <w:r>
          <w:rPr>
            <w:rStyle w:val="Hipersaite"/>
            <w:rFonts w:ascii="Calibri" w:hAnsi="Calibri" w:cs="Calibri"/>
            <w:sz w:val="16"/>
          </w:rPr>
          <w:t>https://www.imf.org/en/Publications/CR/Issues/2019/08/06/Republic-of-Latvia-2019-Article-IV-Consultation-Press-Release-and-Staff-Report-48565</w:t>
        </w:r>
      </w:hyperlink>
      <w:r>
        <w:t>. Skatīts: 07/09/2021</w:t>
      </w:r>
    </w:p>
  </w:footnote>
  <w:footnote w:id="12">
    <w:p w14:paraId="2A4942DE" w14:textId="77777777" w:rsidR="005715F4" w:rsidRDefault="005715F4">
      <w:pPr>
        <w:rPr>
          <w:sz w:val="14"/>
          <w:szCs w:val="14"/>
        </w:rPr>
      </w:pPr>
      <w:r>
        <w:rPr>
          <w:rStyle w:val="FootnoteCharacters"/>
        </w:rPr>
        <w:footnoteRef/>
      </w:r>
      <w:r>
        <w:rPr>
          <w:sz w:val="14"/>
          <w:szCs w:val="14"/>
        </w:rPr>
        <w:t xml:space="preserve"> Saimnieciskās darbības pārskats par 2020. gadu. Pieejams </w:t>
      </w:r>
      <w:hyperlink r:id="rId6">
        <w:r>
          <w:rPr>
            <w:rStyle w:val="Hipersaite"/>
            <w:sz w:val="14"/>
            <w:szCs w:val="14"/>
          </w:rPr>
          <w:t>https://www.lrvk.gov.lv/lv/revizijas/revizijas/noslegtas-revizijas/par-latvijas-republikas-2020-gada-saimnieciska-gada-parskatu</w:t>
        </w:r>
      </w:hyperlink>
      <w:r>
        <w:rPr>
          <w:sz w:val="14"/>
          <w:szCs w:val="14"/>
        </w:rPr>
        <w:t>, skatīts 04/10/2021</w:t>
      </w:r>
    </w:p>
  </w:footnote>
  <w:footnote w:id="13">
    <w:p w14:paraId="579708E7" w14:textId="77777777" w:rsidR="005715F4" w:rsidRDefault="005715F4">
      <w:pPr>
        <w:pStyle w:val="Vresteksts"/>
      </w:pPr>
      <w:r>
        <w:rPr>
          <w:rStyle w:val="FootnoteCharacters"/>
        </w:rPr>
        <w:footnoteRef/>
      </w:r>
      <w:r>
        <w:tab/>
        <w:t xml:space="preserve"> Ziņojums pieejams: </w:t>
      </w:r>
      <w:hyperlink r:id="rId7">
        <w:r>
          <w:rPr>
            <w:rStyle w:val="Hipersaite"/>
          </w:rPr>
          <w:t>https://www.fm.gov.lv/lv/media/8323/download</w:t>
        </w:r>
      </w:hyperlink>
      <w:r>
        <w:t>, skatīts: 29/09/2021</w:t>
      </w:r>
    </w:p>
  </w:footnote>
  <w:footnote w:id="14">
    <w:p w14:paraId="583D5FFB" w14:textId="77777777" w:rsidR="005715F4" w:rsidRDefault="005715F4">
      <w:pPr>
        <w:pStyle w:val="Vresteksts"/>
      </w:pPr>
      <w:r>
        <w:rPr>
          <w:rStyle w:val="FootnoteCharacters"/>
        </w:rPr>
        <w:footnoteRef/>
      </w:r>
      <w:r>
        <w:tab/>
        <w:t xml:space="preserve"> EK darba dokuments Norādījumi dalībvalstīm par Atjaunošanās un Noturības plāniem. Pieejams: </w:t>
      </w:r>
      <w:hyperlink r:id="rId8">
        <w:r>
          <w:rPr>
            <w:rStyle w:val="Hipersaite"/>
            <w:rFonts w:cs="Calibri"/>
            <w:szCs w:val="14"/>
          </w:rPr>
          <w:t>https://eur-lex.europa.eu/legal-content/EN/TXT/?uri=CELEX%3A52021SC0162&amp;qid=1624627879387</w:t>
        </w:r>
      </w:hyperlink>
      <w:r>
        <w:t xml:space="preserve"> , skatīts: 07/09/2021</w:t>
      </w:r>
    </w:p>
  </w:footnote>
  <w:footnote w:id="15">
    <w:p w14:paraId="459806C3" w14:textId="77777777" w:rsidR="005715F4" w:rsidRDefault="005715F4">
      <w:pPr>
        <w:pStyle w:val="Vresteksts"/>
        <w:widowControl w:val="0"/>
      </w:pPr>
      <w:r>
        <w:rPr>
          <w:rStyle w:val="FootnoteCharacters"/>
        </w:rPr>
        <w:footnoteRef/>
      </w:r>
      <w:r>
        <w:tab/>
        <w:t xml:space="preserve"> Likums "Par valsts budžetu 2020. gadam". Pieejams: </w:t>
      </w:r>
      <w:hyperlink r:id="rId9">
        <w:r>
          <w:rPr>
            <w:rStyle w:val="Hipersaite"/>
            <w:rFonts w:cs="Calibri"/>
            <w:szCs w:val="14"/>
          </w:rPr>
          <w:t>https://likumi.lv/ta/id/310965-par-valsts-budzetu-2020-gadam</w:t>
        </w:r>
      </w:hyperlink>
      <w:r>
        <w:t xml:space="preserve"> skatīts: 07/09/2021</w:t>
      </w:r>
    </w:p>
  </w:footnote>
  <w:footnote w:id="16">
    <w:p w14:paraId="744833DD" w14:textId="77777777" w:rsidR="005715F4" w:rsidRDefault="005715F4">
      <w:pPr>
        <w:pStyle w:val="Vresteksts"/>
        <w:widowControl w:val="0"/>
      </w:pPr>
      <w:r>
        <w:rPr>
          <w:rStyle w:val="FootnoteCharacters"/>
        </w:rPr>
        <w:footnoteRef/>
      </w:r>
      <w:r>
        <w:tab/>
        <w:t xml:space="preserve"> </w:t>
      </w:r>
      <w:r>
        <w:rPr>
          <w:rFonts w:cs="Calibri"/>
        </w:rPr>
        <w:t xml:space="preserve">Likums "Par valsts budžetu 2020. gadam". Pieejams: </w:t>
      </w:r>
      <w:hyperlink r:id="rId10">
        <w:r>
          <w:rPr>
            <w:rStyle w:val="Hipersaite"/>
            <w:szCs w:val="14"/>
          </w:rPr>
          <w:t>https://likumi.lv/ta/id/306232-par-valsts-budzetu-2019-gadam</w:t>
        </w:r>
      </w:hyperlink>
      <w:r>
        <w:t xml:space="preserve"> skatīts: 07/09/2021</w:t>
      </w:r>
    </w:p>
  </w:footnote>
  <w:footnote w:id="17">
    <w:p w14:paraId="10FA9B00" w14:textId="77777777" w:rsidR="005715F4" w:rsidRDefault="005715F4">
      <w:pPr>
        <w:pStyle w:val="Vresteksts"/>
        <w:widowControl w:val="0"/>
      </w:pPr>
      <w:r>
        <w:rPr>
          <w:rStyle w:val="FootnoteCharacters"/>
        </w:rPr>
        <w:footnoteRef/>
      </w:r>
      <w:r>
        <w:tab/>
        <w:t xml:space="preserve"> Saskaņā ar SIP un FDL, fiskālais rezultāts tiek novērtēts balstoties uz Eiropas kontu sistēmas 2010 (EKS2010) metodoloģiju, kas balstās uz uzkrājumu metodi. Tikmēr tradicionāli Latvijā valsts budžets tiek apstiprināts un novērtēts, balstoties uz naudas plūsmas metodi. </w:t>
      </w:r>
    </w:p>
  </w:footnote>
  <w:footnote w:id="18">
    <w:p w14:paraId="79191042" w14:textId="77777777" w:rsidR="005715F4" w:rsidRDefault="005715F4">
      <w:pPr>
        <w:pStyle w:val="Vresteksts"/>
      </w:pPr>
      <w:r>
        <w:rPr>
          <w:rStyle w:val="FootnoteCharacters"/>
        </w:rPr>
        <w:footnoteRef/>
      </w:r>
      <w:r>
        <w:tab/>
        <w:t xml:space="preserve"> </w:t>
      </w:r>
      <w:bookmarkStart w:id="13" w:name="_Hlk82434093"/>
      <w:r>
        <w:t xml:space="preserve">VID nodokļu plaisas novērtējums. Pieejams: </w:t>
      </w:r>
      <w:hyperlink r:id="rId11">
        <w:bookmarkStart w:id="14" w:name="_Hlk82434071"/>
        <w:r>
          <w:rPr>
            <w:rStyle w:val="Hipersaite"/>
            <w:rFonts w:ascii="Calibri" w:hAnsi="Calibri" w:cs="Calibri"/>
            <w:sz w:val="16"/>
          </w:rPr>
          <w:t>https://www.vid.gov.lv/lv/algas-nodoklu-plaisa-lenam-bet-stabili-samazinas-0</w:t>
        </w:r>
      </w:hyperlink>
      <w:bookmarkEnd w:id="14"/>
      <w:r>
        <w:t xml:space="preserve"> skatīts 07/09/2021</w:t>
      </w:r>
      <w:bookmarkEnd w:id="13"/>
    </w:p>
  </w:footnote>
  <w:footnote w:id="19">
    <w:p w14:paraId="5191BC32" w14:textId="77777777" w:rsidR="005715F4" w:rsidRDefault="005715F4">
      <w:pPr>
        <w:pStyle w:val="Vresteksts"/>
      </w:pPr>
      <w:r>
        <w:rPr>
          <w:rStyle w:val="FootnoteCharacters"/>
        </w:rPr>
        <w:footnoteRef/>
      </w:r>
      <w:r>
        <w:rPr>
          <w:color w:val="auto"/>
        </w:rPr>
        <w:tab/>
        <w:t xml:space="preserve"> VID atbalsta analīze. Pieejams:</w:t>
      </w:r>
      <w:r>
        <w:t xml:space="preserve"> </w:t>
      </w:r>
      <w:hyperlink r:id="rId12">
        <w:r>
          <w:rPr>
            <w:rStyle w:val="Hipersaite"/>
          </w:rPr>
          <w:t>https://www.vid.gov.lv/lv/vid-izmaksajis-atbalstus-covid-19-krizes-parvaresanai-66759-miljonu-eiro-apmera-0?fbclid=IwAR0W_QTAs4CKbDVBN9N1Zkb4C1QU8nHrj62NdDmOJv3Hpgk0-w9sfAjLzCY</w:t>
        </w:r>
      </w:hyperlink>
      <w:r>
        <w:rPr>
          <w:color w:val="auto"/>
        </w:rPr>
        <w:t>, skatīts 15/09/2021</w:t>
      </w:r>
    </w:p>
  </w:footnote>
  <w:footnote w:id="20">
    <w:p w14:paraId="5EEDACB1" w14:textId="77777777" w:rsidR="005715F4" w:rsidRDefault="005715F4">
      <w:pPr>
        <w:spacing w:after="0" w:line="240" w:lineRule="auto"/>
        <w:rPr>
          <w:sz w:val="12"/>
          <w:szCs w:val="12"/>
        </w:rPr>
      </w:pPr>
      <w:r w:rsidRPr="00175B1E">
        <w:rPr>
          <w:rStyle w:val="FootnoteCharacters"/>
          <w:sz w:val="12"/>
        </w:rPr>
        <w:footnoteRef/>
      </w:r>
      <w:r>
        <w:rPr>
          <w:rFonts w:eastAsia="Verdana" w:cs="Verdana"/>
          <w:sz w:val="12"/>
          <w:szCs w:val="12"/>
        </w:rPr>
        <w:t xml:space="preserve"> GMTN vērtspapīru izsole. Pieejams </w:t>
      </w:r>
      <w:hyperlink r:id="rId13" w:anchor="article-text" w:history="1">
        <w:r>
          <w:rPr>
            <w:rStyle w:val="Hipersaite"/>
            <w:rFonts w:eastAsia="Verdana" w:cs="Verdana"/>
            <w:sz w:val="12"/>
            <w:szCs w:val="12"/>
          </w:rPr>
          <w:t>https://www.kase.gov.lv/jaunumi/tresdien-25-augusta-tika-izsoliti-gmtn-vertspapiri-iekseja-tirgu-ar-dzesanas-terminu-2029#article-text</w:t>
        </w:r>
      </w:hyperlink>
      <w:r>
        <w:rPr>
          <w:rFonts w:eastAsia="Verdana" w:cs="Verdana"/>
          <w:sz w:val="12"/>
          <w:szCs w:val="12"/>
        </w:rPr>
        <w:t>, skatīts 05/10/2021</w:t>
      </w:r>
    </w:p>
  </w:footnote>
  <w:footnote w:id="21">
    <w:p w14:paraId="5F06FD08" w14:textId="77777777" w:rsidR="005715F4" w:rsidRDefault="005715F4">
      <w:pPr>
        <w:pStyle w:val="Vresteksts"/>
        <w:rPr>
          <w:rStyle w:val="Hipersaite"/>
          <w:rFonts w:ascii="Calibri" w:hAnsi="Calibri" w:cs="Calibri"/>
          <w:color w:val="auto"/>
          <w:sz w:val="16"/>
        </w:rPr>
      </w:pPr>
      <w:r>
        <w:rPr>
          <w:rStyle w:val="FootnoteCharacters"/>
        </w:rPr>
        <w:footnoteRef/>
      </w:r>
      <w:r>
        <w:rPr>
          <w:rStyle w:val="Hipersaite"/>
          <w:rFonts w:cs="Calibri"/>
          <w:color w:val="auto"/>
          <w:szCs w:val="12"/>
        </w:rPr>
        <w:tab/>
        <w:t xml:space="preserve"> Valsts kases raksts. Pieejams: </w:t>
      </w:r>
      <w:hyperlink r:id="rId14" w:anchor="article-text" w:history="1">
        <w:r>
          <w:rPr>
            <w:rStyle w:val="Hipersaite"/>
            <w:rFonts w:cs="Calibri"/>
            <w:szCs w:val="12"/>
          </w:rPr>
          <w:t>https://www.kase.gov.lv/jaunumi/starptautiska-kreditreitingu-agentura-fitch-ratings-saglaba-latvijas-kreditreitingu-limeni#article-text</w:t>
        </w:r>
      </w:hyperlink>
      <w:r>
        <w:rPr>
          <w:rStyle w:val="Hipersaite"/>
          <w:rFonts w:cs="Calibri"/>
          <w:color w:val="auto"/>
          <w:szCs w:val="12"/>
        </w:rPr>
        <w:t>, skatīts 08/09/2021</w:t>
      </w:r>
      <w:r>
        <w:rPr>
          <w:rStyle w:val="Hipersaite"/>
          <w:rFonts w:ascii="Calibri" w:hAnsi="Calibri" w:cs="Calibri"/>
          <w:color w:val="auto"/>
          <w:sz w:val="16"/>
        </w:rPr>
        <w:t xml:space="preserve"> </w:t>
      </w:r>
    </w:p>
  </w:footnote>
  <w:footnote w:id="22">
    <w:p w14:paraId="2A2609FA" w14:textId="77777777" w:rsidR="005715F4" w:rsidRDefault="005715F4">
      <w:pPr>
        <w:pStyle w:val="Vresteksts"/>
      </w:pPr>
      <w:r>
        <w:rPr>
          <w:rStyle w:val="FootnoteCharacters"/>
        </w:rPr>
        <w:footnoteRef/>
      </w:r>
      <w:r>
        <w:tab/>
        <w:t xml:space="preserve"> Ahmed u.c. pret. Latviju. Pieejams </w:t>
      </w:r>
      <w:hyperlink r:id="rId15">
        <w:r>
          <w:rPr>
            <w:rStyle w:val="Hipersaite"/>
          </w:rPr>
          <w:t>https://hudoc.echr.coe.int/app/conversion/pdf/?library=ECHR&amp;id=003-7117548-9641291&amp;filename=Court%20lifts%20interim%20measures%20in%20respect%20of%20Iraqi%20nationals%20at%20Belarusian%20border%20with%20Latvia.pdf</w:t>
        </w:r>
      </w:hyperlink>
      <w:r>
        <w:t xml:space="preserve"> skatīts 20/09/2021</w:t>
      </w:r>
    </w:p>
  </w:footnote>
  <w:footnote w:id="23">
    <w:p w14:paraId="10598F25" w14:textId="77777777" w:rsidR="005715F4" w:rsidRDefault="005715F4">
      <w:pPr>
        <w:pStyle w:val="Vresteksts"/>
        <w:widowControl w:val="0"/>
        <w:rPr>
          <w:sz w:val="6"/>
          <w:szCs w:val="6"/>
        </w:rPr>
      </w:pPr>
      <w:r>
        <w:rPr>
          <w:rStyle w:val="FootnoteCharacters"/>
        </w:rPr>
        <w:footnoteRef/>
      </w:r>
      <w:r>
        <w:rPr>
          <w:sz w:val="6"/>
          <w:szCs w:val="6"/>
        </w:rPr>
        <w:tab/>
        <w:t xml:space="preserve"> </w:t>
      </w:r>
      <w:hyperlink r:id="rId16">
        <w:r>
          <w:rPr>
            <w:rStyle w:val="Hipersaite"/>
            <w:sz w:val="8"/>
          </w:rPr>
          <w:t>14.06.2021. Finanšu ministrijas makroekonomikas prognožu apstiprināšana vidējā termiņa budžeta ietvaram | Fiskālās disciplīnas padome (fdp.gov.lv)</w:t>
        </w:r>
      </w:hyperlink>
    </w:p>
  </w:footnote>
  <w:footnote w:id="24">
    <w:p w14:paraId="56D53151" w14:textId="77777777" w:rsidR="005715F4" w:rsidRDefault="005715F4">
      <w:pPr>
        <w:pStyle w:val="Vresteksts"/>
      </w:pPr>
      <w:r>
        <w:rPr>
          <w:rStyle w:val="FootnoteCharacters"/>
        </w:rPr>
        <w:footnoteRef/>
      </w:r>
      <w:r>
        <w:tab/>
        <w:t xml:space="preserve"> </w:t>
      </w:r>
      <w:r>
        <w:rPr>
          <w:rFonts w:cs="Times New Roman"/>
          <w:szCs w:val="16"/>
        </w:rPr>
        <w:t xml:space="preserve">Pieejams: </w:t>
      </w:r>
      <w:hyperlink r:id="rId17">
        <w:r>
          <w:rPr>
            <w:rFonts w:cs="Times New Roman"/>
            <w:szCs w:val="16"/>
          </w:rPr>
          <w:t>14.06.2021. Finanšu ministrijas makroekonomikas prognožu apstiprināšana vidējā termiņa budžeta ietvaram | Fiskālās disciplīnas padome (fdp.gov.lv)</w:t>
        </w:r>
      </w:hyperlink>
      <w:r>
        <w:rPr>
          <w:rFonts w:cs="Times New Roman"/>
          <w:szCs w:val="16"/>
        </w:rPr>
        <w:t>, skatīts: 06.09.2021.</w:t>
      </w:r>
    </w:p>
  </w:footnote>
  <w:footnote w:id="25">
    <w:p w14:paraId="4BD1D714" w14:textId="77777777" w:rsidR="005715F4" w:rsidRDefault="005715F4">
      <w:pPr>
        <w:pStyle w:val="Vresteksts"/>
        <w:rPr>
          <w:rFonts w:cs="Times New Roman"/>
          <w:sz w:val="16"/>
          <w:szCs w:val="16"/>
        </w:rPr>
      </w:pPr>
      <w:r>
        <w:rPr>
          <w:rStyle w:val="FootnoteCharacters"/>
        </w:rPr>
        <w:footnoteRef/>
      </w:r>
      <w:r>
        <w:rPr>
          <w:rFonts w:cs="Times New Roman"/>
          <w:sz w:val="16"/>
          <w:szCs w:val="16"/>
        </w:rPr>
        <w:tab/>
        <w:t xml:space="preserve"> </w:t>
      </w:r>
      <w:r>
        <w:rPr>
          <w:rFonts w:cs="Times New Roman"/>
          <w:szCs w:val="16"/>
        </w:rPr>
        <w:t xml:space="preserve">EK makroekonomikas prognožu vasaras ziņojums. Pieejams: </w:t>
      </w:r>
      <w:hyperlink r:id="rId18">
        <w:r>
          <w:t>Summer 2021 Economic Forecast: Reopening fuels recovery | European Commission (europa.eu)</w:t>
        </w:r>
      </w:hyperlink>
      <w:r>
        <w:rPr>
          <w:rFonts w:cs="Times New Roman"/>
          <w:szCs w:val="16"/>
        </w:rPr>
        <w:t xml:space="preserve"> </w:t>
      </w:r>
      <w:r>
        <w:t>,</w:t>
      </w:r>
      <w:r>
        <w:rPr>
          <w:rFonts w:cs="Times New Roman"/>
          <w:szCs w:val="16"/>
        </w:rPr>
        <w:t xml:space="preserve"> skatīts: 17/08/2021</w:t>
      </w:r>
    </w:p>
  </w:footnote>
  <w:footnote w:id="26">
    <w:p w14:paraId="4C34EE43" w14:textId="77777777" w:rsidR="005715F4" w:rsidRDefault="005715F4">
      <w:pPr>
        <w:pStyle w:val="Vresteksts"/>
        <w:rPr>
          <w:sz w:val="16"/>
        </w:rPr>
      </w:pPr>
      <w:r>
        <w:rPr>
          <w:rStyle w:val="FootnoteCharacters"/>
        </w:rPr>
        <w:footnoteRef/>
      </w:r>
      <w:r>
        <w:rPr>
          <w:rFonts w:cs="Times New Roman"/>
          <w:sz w:val="16"/>
          <w:szCs w:val="16"/>
        </w:rPr>
        <w:tab/>
        <w:t xml:space="preserve"> </w:t>
      </w:r>
      <w:r>
        <w:rPr>
          <w:rFonts w:cs="Times New Roman"/>
          <w:szCs w:val="16"/>
        </w:rPr>
        <w:t xml:space="preserve">FDP viedoklis par makroekonomikas prognozēm. Pieejams: </w:t>
      </w:r>
      <w:hyperlink r:id="rId19">
        <w:r>
          <w:t>download (fdp.gov.lv)</w:t>
        </w:r>
      </w:hyperlink>
      <w:r>
        <w:rPr>
          <w:rFonts w:cs="Times New Roman"/>
          <w:szCs w:val="16"/>
        </w:rPr>
        <w:t xml:space="preserve"> </w:t>
      </w:r>
      <w:r>
        <w:t>,</w:t>
      </w:r>
      <w:r>
        <w:rPr>
          <w:rFonts w:cs="Times New Roman"/>
          <w:szCs w:val="16"/>
        </w:rPr>
        <w:t xml:space="preserve"> skatīts: 17/08/2021</w:t>
      </w:r>
    </w:p>
  </w:footnote>
  <w:footnote w:id="27">
    <w:p w14:paraId="25A54B92" w14:textId="77777777" w:rsidR="005715F4" w:rsidRDefault="005715F4">
      <w:pPr>
        <w:widowControl w:val="0"/>
        <w:spacing w:after="0" w:line="240" w:lineRule="auto"/>
        <w:rPr>
          <w:rStyle w:val="Hipersaite"/>
          <w:rFonts w:eastAsiaTheme="minorEastAsia" w:cs="Times New Roman"/>
          <w:color w:val="auto"/>
          <w:sz w:val="14"/>
          <w:szCs w:val="14"/>
        </w:rPr>
      </w:pPr>
      <w:r w:rsidRPr="00175B1E">
        <w:rPr>
          <w:rStyle w:val="FootnoteCharacters"/>
          <w:sz w:val="12"/>
        </w:rPr>
        <w:footnoteRef/>
      </w:r>
      <w:r>
        <w:rPr>
          <w:rStyle w:val="Hipersaite"/>
          <w:rFonts w:eastAsiaTheme="minorEastAsia" w:cs="Times New Roman"/>
          <w:color w:val="auto"/>
          <w:sz w:val="14"/>
          <w:szCs w:val="14"/>
        </w:rPr>
        <w:t xml:space="preserve"> </w:t>
      </w:r>
      <w:r>
        <w:rPr>
          <w:color w:val="auto"/>
          <w:sz w:val="14"/>
          <w:szCs w:val="14"/>
        </w:rPr>
        <w:t>Pieejams:</w:t>
      </w:r>
      <w:r>
        <w:rPr>
          <w:rStyle w:val="Hipersaite"/>
          <w:rFonts w:eastAsiaTheme="minorEastAsia" w:cs="Times New Roman"/>
          <w:color w:val="auto"/>
          <w:sz w:val="14"/>
          <w:szCs w:val="14"/>
        </w:rPr>
        <w:t xml:space="preserve"> FDP Viedoklis par Finanšu Ministrijas makroekonomikas prognozēm: </w:t>
      </w:r>
      <w:hyperlink r:id="rId20">
        <w:r>
          <w:rPr>
            <w:rStyle w:val="Hipersaite"/>
            <w:rFonts w:eastAsiaTheme="minorEastAsia" w:cs="Times New Roman"/>
            <w:color w:val="auto"/>
            <w:sz w:val="14"/>
            <w:szCs w:val="14"/>
          </w:rPr>
          <w:t>download (fdp.gov.lv)</w:t>
        </w:r>
      </w:hyperlink>
      <w:r>
        <w:rPr>
          <w:rStyle w:val="Hipersaite"/>
          <w:rFonts w:eastAsiaTheme="minorEastAsia" w:cs="Times New Roman"/>
          <w:color w:val="auto"/>
          <w:sz w:val="14"/>
          <w:szCs w:val="14"/>
        </w:rPr>
        <w:t>,</w:t>
      </w:r>
      <w:r>
        <w:rPr>
          <w:color w:val="auto"/>
          <w:sz w:val="14"/>
          <w:szCs w:val="14"/>
        </w:rPr>
        <w:t xml:space="preserve"> skatīts: 06.09.2021</w:t>
      </w:r>
    </w:p>
  </w:footnote>
  <w:footnote w:id="28">
    <w:p w14:paraId="5150E19A" w14:textId="77777777" w:rsidR="005715F4" w:rsidRDefault="005715F4">
      <w:pPr>
        <w:widowControl w:val="0"/>
        <w:spacing w:after="0" w:line="240" w:lineRule="auto"/>
        <w:rPr>
          <w:rStyle w:val="Hipersaite"/>
          <w:rFonts w:eastAsiaTheme="minorEastAsia" w:cs="Times New Roman"/>
          <w:color w:val="auto"/>
          <w:sz w:val="14"/>
          <w:szCs w:val="14"/>
        </w:rPr>
      </w:pPr>
      <w:r w:rsidRPr="00175B1E">
        <w:rPr>
          <w:rStyle w:val="FootnoteCharacters"/>
          <w:sz w:val="12"/>
        </w:rPr>
        <w:footnoteRef/>
      </w:r>
      <w:r>
        <w:rPr>
          <w:rStyle w:val="Hipersaite"/>
          <w:rFonts w:eastAsiaTheme="minorEastAsia" w:cs="Times New Roman"/>
          <w:color w:val="auto"/>
          <w:sz w:val="14"/>
          <w:szCs w:val="14"/>
          <w:vertAlign w:val="superscript"/>
        </w:rPr>
        <w:t xml:space="preserve"> </w:t>
      </w:r>
      <w:r>
        <w:rPr>
          <w:color w:val="auto"/>
          <w:sz w:val="14"/>
          <w:szCs w:val="14"/>
        </w:rPr>
        <w:t>Pieejams:</w:t>
      </w:r>
      <w:r>
        <w:t xml:space="preserve"> </w:t>
      </w:r>
      <w:hyperlink r:id="rId21">
        <w:r>
          <w:rPr>
            <w:rFonts w:cs="Times New Roman"/>
            <w:color w:val="000000"/>
            <w:sz w:val="14"/>
            <w:szCs w:val="14"/>
            <w:u w:val="single"/>
          </w:rPr>
          <w:t>Informācija medijiem - Latvijas Banka pārskata Latvijas makroekonomiskās prognozes</w:t>
        </w:r>
      </w:hyperlink>
      <w:r>
        <w:rPr>
          <w:rStyle w:val="Hipersaite"/>
          <w:color w:val="auto"/>
          <w:sz w:val="14"/>
          <w:szCs w:val="14"/>
        </w:rPr>
        <w:t>,</w:t>
      </w:r>
      <w:r>
        <w:rPr>
          <w:color w:val="auto"/>
          <w:sz w:val="14"/>
          <w:szCs w:val="14"/>
        </w:rPr>
        <w:t xml:space="preserve"> skatīts: 01.10.2021</w:t>
      </w:r>
    </w:p>
  </w:footnote>
  <w:footnote w:id="29">
    <w:p w14:paraId="26EBA850" w14:textId="16186B16" w:rsidR="005715F4" w:rsidRDefault="005715F4">
      <w:pPr>
        <w:widowControl w:val="0"/>
        <w:spacing w:after="0" w:line="240" w:lineRule="auto"/>
        <w:rPr>
          <w:rStyle w:val="Hipersaite"/>
          <w:rFonts w:eastAsiaTheme="minorEastAsia" w:cs="Times New Roman"/>
          <w:color w:val="auto"/>
          <w:sz w:val="14"/>
          <w:szCs w:val="14"/>
        </w:rPr>
      </w:pPr>
      <w:r w:rsidRPr="00175B1E">
        <w:rPr>
          <w:rStyle w:val="FootnoteCharacters"/>
          <w:sz w:val="12"/>
        </w:rPr>
        <w:footnoteRef/>
      </w:r>
      <w:r>
        <w:rPr>
          <w:rStyle w:val="Hipersaite"/>
          <w:rFonts w:eastAsiaTheme="minorEastAsia" w:cs="Times New Roman"/>
          <w:color w:val="auto"/>
          <w:sz w:val="14"/>
          <w:szCs w:val="14"/>
          <w:vertAlign w:val="superscript"/>
        </w:rPr>
        <w:t xml:space="preserve"> </w:t>
      </w:r>
      <w:r>
        <w:rPr>
          <w:color w:val="auto"/>
          <w:sz w:val="14"/>
          <w:szCs w:val="14"/>
        </w:rPr>
        <w:t>Pieejams:</w:t>
      </w:r>
      <w:r>
        <w:rPr>
          <w:rStyle w:val="Hipersaite"/>
          <w:rFonts w:eastAsiaTheme="minorEastAsia" w:cs="Times New Roman"/>
          <w:color w:val="auto"/>
          <w:sz w:val="14"/>
          <w:szCs w:val="14"/>
        </w:rPr>
        <w:t xml:space="preserve"> IMF Country Report 21/194 </w:t>
      </w:r>
      <w:hyperlink r:id="rId22">
        <w:r>
          <w:rPr>
            <w:rStyle w:val="Hipersaite"/>
            <w:rFonts w:eastAsiaTheme="minorEastAsia" w:cs="Times New Roman"/>
            <w:color w:val="auto"/>
            <w:sz w:val="14"/>
            <w:szCs w:val="14"/>
          </w:rPr>
          <w:t>1LVAEA2021001.pdf</w:t>
        </w:r>
      </w:hyperlink>
      <w:r>
        <w:rPr>
          <w:rStyle w:val="Hipersaite"/>
          <w:rFonts w:eastAsiaTheme="minorEastAsia" w:cs="Times New Roman"/>
          <w:color w:val="auto"/>
          <w:sz w:val="14"/>
          <w:szCs w:val="14"/>
        </w:rPr>
        <w:t>,</w:t>
      </w:r>
      <w:r>
        <w:rPr>
          <w:color w:val="auto"/>
          <w:sz w:val="14"/>
          <w:szCs w:val="14"/>
        </w:rPr>
        <w:t xml:space="preserve"> skatīts: 21.09.2021</w:t>
      </w:r>
    </w:p>
  </w:footnote>
  <w:footnote w:id="30">
    <w:p w14:paraId="39A4D6F6" w14:textId="77777777" w:rsidR="005715F4" w:rsidRDefault="005715F4">
      <w:pPr>
        <w:widowControl w:val="0"/>
        <w:spacing w:after="0" w:line="240" w:lineRule="auto"/>
        <w:rPr>
          <w:rStyle w:val="Hipersaite"/>
          <w:rFonts w:eastAsiaTheme="minorEastAsia" w:cs="Times New Roman"/>
          <w:color w:val="auto"/>
          <w:sz w:val="14"/>
          <w:szCs w:val="14"/>
        </w:rPr>
      </w:pPr>
      <w:r w:rsidRPr="00175B1E">
        <w:rPr>
          <w:rStyle w:val="FootnoteCharacters"/>
          <w:sz w:val="12"/>
        </w:rPr>
        <w:footnoteRef/>
      </w:r>
      <w:r>
        <w:rPr>
          <w:rStyle w:val="Hipersaite"/>
          <w:rFonts w:eastAsiaTheme="minorEastAsia" w:cs="Times New Roman"/>
          <w:color w:val="auto"/>
          <w:sz w:val="14"/>
          <w:szCs w:val="14"/>
        </w:rPr>
        <w:t xml:space="preserve"> </w:t>
      </w:r>
      <w:r>
        <w:rPr>
          <w:color w:val="auto"/>
          <w:sz w:val="14"/>
          <w:szCs w:val="14"/>
        </w:rPr>
        <w:t>Pieejams</w:t>
      </w:r>
      <w:r>
        <w:rPr>
          <w:rStyle w:val="Hipersaite"/>
          <w:rFonts w:eastAsiaTheme="minorEastAsia" w:cs="Times New Roman"/>
          <w:color w:val="auto"/>
          <w:sz w:val="14"/>
          <w:szCs w:val="14"/>
        </w:rPr>
        <w:t xml:space="preserve">: </w:t>
      </w:r>
      <w:hyperlink r:id="rId23">
        <w:r>
          <w:rPr>
            <w:rStyle w:val="Hipersaite"/>
            <w:rFonts w:eastAsiaTheme="minorEastAsia" w:cs="Times New Roman"/>
            <w:color w:val="auto"/>
            <w:sz w:val="14"/>
            <w:szCs w:val="14"/>
          </w:rPr>
          <w:t>Summer 2021 Economic Forecast: Reopening fuels recovery | European Commission (europa.eu)</w:t>
        </w:r>
      </w:hyperlink>
      <w:r>
        <w:rPr>
          <w:color w:val="auto"/>
          <w:sz w:val="14"/>
          <w:szCs w:val="14"/>
        </w:rPr>
        <w:t>, skatīts: 21.09.2021</w:t>
      </w:r>
    </w:p>
  </w:footnote>
  <w:footnote w:id="31">
    <w:p w14:paraId="03D7634D" w14:textId="77777777" w:rsidR="005715F4" w:rsidRDefault="005715F4">
      <w:pPr>
        <w:widowControl w:val="0"/>
        <w:spacing w:after="0" w:line="240" w:lineRule="auto"/>
        <w:rPr>
          <w:rStyle w:val="Hipersaite"/>
          <w:rFonts w:eastAsiaTheme="minorEastAsia" w:cs="Times New Roman"/>
          <w:color w:val="auto"/>
          <w:sz w:val="14"/>
          <w:szCs w:val="14"/>
        </w:rPr>
      </w:pPr>
      <w:r w:rsidRPr="00175B1E">
        <w:rPr>
          <w:rStyle w:val="FootnoteCharacters"/>
          <w:sz w:val="12"/>
        </w:rPr>
        <w:footnoteRef/>
      </w:r>
      <w:r>
        <w:rPr>
          <w:rStyle w:val="Hipersaite"/>
          <w:rFonts w:eastAsiaTheme="minorEastAsia" w:cs="Times New Roman"/>
          <w:color w:val="auto"/>
          <w:sz w:val="14"/>
          <w:szCs w:val="14"/>
          <w:vertAlign w:val="superscript"/>
        </w:rPr>
        <w:t xml:space="preserve"> </w:t>
      </w:r>
      <w:r>
        <w:rPr>
          <w:color w:val="auto"/>
          <w:sz w:val="14"/>
          <w:szCs w:val="14"/>
        </w:rPr>
        <w:t>Pieejams:</w:t>
      </w:r>
      <w:r>
        <w:rPr>
          <w:rStyle w:val="Hipersaite"/>
          <w:rFonts w:eastAsiaTheme="minorEastAsia" w:cs="Times New Roman"/>
          <w:color w:val="auto"/>
          <w:sz w:val="14"/>
          <w:szCs w:val="14"/>
        </w:rPr>
        <w:t xml:space="preserve">Swedbank Economic Outlook </w:t>
      </w:r>
      <w:hyperlink r:id="rId24">
        <w:r>
          <w:rPr>
            <w:rStyle w:val="Hipersaite"/>
            <w:rFonts w:eastAsiaTheme="minorEastAsia" w:cs="Times New Roman"/>
            <w:color w:val="auto"/>
            <w:sz w:val="14"/>
            <w:szCs w:val="14"/>
          </w:rPr>
          <w:t>seo_aug_2021_eng_final.pdf (swedbank-research.com)</w:t>
        </w:r>
      </w:hyperlink>
      <w:r>
        <w:rPr>
          <w:rStyle w:val="Hipersaite"/>
          <w:rFonts w:eastAsiaTheme="minorEastAsia" w:cs="Times New Roman"/>
          <w:color w:val="auto"/>
          <w:sz w:val="14"/>
          <w:szCs w:val="14"/>
        </w:rPr>
        <w:t>,</w:t>
      </w:r>
      <w:r>
        <w:rPr>
          <w:color w:val="auto"/>
          <w:sz w:val="14"/>
          <w:szCs w:val="14"/>
        </w:rPr>
        <w:t xml:space="preserve"> skatīts: 21.09.2021</w:t>
      </w:r>
    </w:p>
    <w:p w14:paraId="790942D5" w14:textId="77777777" w:rsidR="005715F4" w:rsidRDefault="005715F4">
      <w:pPr>
        <w:pStyle w:val="Vresteksts"/>
        <w:widowControl w:val="0"/>
      </w:pPr>
    </w:p>
  </w:footnote>
  <w:footnote w:id="32">
    <w:p w14:paraId="7355D89E" w14:textId="77777777" w:rsidR="005715F4" w:rsidRDefault="005715F4">
      <w:pPr>
        <w:spacing w:after="0" w:line="240" w:lineRule="auto"/>
        <w:rPr>
          <w:szCs w:val="20"/>
        </w:rPr>
      </w:pPr>
      <w:r>
        <w:rPr>
          <w:rStyle w:val="FootnoteCharacters"/>
        </w:rPr>
        <w:footnoteRef/>
      </w:r>
      <w:r>
        <w:rPr>
          <w:sz w:val="12"/>
          <w:szCs w:val="12"/>
        </w:rPr>
        <w:t xml:space="preserve"> </w:t>
      </w:r>
      <w:r>
        <w:rPr>
          <w:rFonts w:eastAsia="Verdana" w:cs="Verdana"/>
          <w:sz w:val="12"/>
          <w:szCs w:val="12"/>
        </w:rPr>
        <w:t>Informatīvais ziņojums “Par makroekonomisko rādītāju, ieņēmumu un vispārējās valdības budžeta bilances prognozēm 2022.- 2024.gadā”, apstiprināts MK 2021.gada 24.augustā. Pieejams: https://www.fm.gov.lv/lv/budzets2022, skatīts 16.09.2021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B62BB" w14:textId="77777777" w:rsidR="005715F4" w:rsidRDefault="005715F4">
    <w:pPr>
      <w:pStyle w:val="Galvene"/>
    </w:pPr>
    <w:r>
      <w:rPr>
        <w:noProof/>
      </w:rPr>
      <mc:AlternateContent>
        <mc:Choice Requires="wps">
          <w:drawing>
            <wp:anchor distT="6350" distB="6350" distL="6350" distR="6350" simplePos="0" relativeHeight="35" behindDoc="1" locked="0" layoutInCell="0" allowOverlap="1" wp14:anchorId="292296B3" wp14:editId="2EFC2386">
              <wp:simplePos x="0" y="0"/>
              <wp:positionH relativeFrom="page">
                <wp:posOffset>0</wp:posOffset>
              </wp:positionH>
              <wp:positionV relativeFrom="topMargin">
                <wp:posOffset>0</wp:posOffset>
              </wp:positionV>
              <wp:extent cx="7561580" cy="379095"/>
              <wp:effectExtent l="0" t="0" r="0" b="3175"/>
              <wp:wrapNone/>
              <wp:docPr id="11" name="Rectangle 3"/>
              <wp:cNvGraphicFramePr/>
              <a:graphic xmlns:a="http://schemas.openxmlformats.org/drawingml/2006/main">
                <a:graphicData uri="http://schemas.microsoft.com/office/word/2010/wordprocessingShape">
                  <wps:wsp>
                    <wps:cNvSpPr/>
                    <wps:spPr>
                      <a:xfrm>
                        <a:off x="0" y="0"/>
                        <a:ext cx="7561080" cy="37836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w:pict>
            <v:rect id="shape_0" ID="Rectangle 3" path="m0,0l-2147483645,0l-2147483645,-2147483646l0,-2147483646xe" fillcolor="#012069" stroked="f" style="position:absolute;margin-left:0pt;margin-top:0pt;width:595.3pt;height:29.75pt;mso-wrap-style:none;v-text-anchor:middle;mso-position-horizontal-relative:page" wp14:anchorId="370EE548">
              <v:fill o:detectmouseclick="t" type="solid" color2="#fedf96"/>
              <v:stroke color="#3465a4" weight="12600" joinstyle="miter" endcap="flat"/>
              <w10:wrap type="none"/>
            </v:rect>
          </w:pict>
        </mc:Fallback>
      </mc:AlternateContent>
    </w:r>
  </w:p>
  <w:tbl>
    <w:tblPr>
      <w:tblStyle w:val="Reatabula"/>
      <w:tblW w:w="9338" w:type="dxa"/>
      <w:tblLayout w:type="fixed"/>
      <w:tblCellMar>
        <w:left w:w="0" w:type="dxa"/>
        <w:right w:w="0" w:type="dxa"/>
      </w:tblCellMar>
      <w:tblLook w:val="04A0" w:firstRow="1" w:lastRow="0" w:firstColumn="1" w:lastColumn="0" w:noHBand="0" w:noVBand="1"/>
    </w:tblPr>
    <w:tblGrid>
      <w:gridCol w:w="8644"/>
      <w:gridCol w:w="694"/>
    </w:tblGrid>
    <w:tr w:rsidR="005715F4" w14:paraId="6EA370C3" w14:textId="77777777">
      <w:tc>
        <w:tcPr>
          <w:tcW w:w="8643" w:type="dxa"/>
          <w:tcBorders>
            <w:top w:val="nil"/>
            <w:left w:val="nil"/>
            <w:bottom w:val="nil"/>
            <w:right w:val="nil"/>
          </w:tcBorders>
          <w:vAlign w:val="bottom"/>
        </w:tcPr>
        <w:p w14:paraId="4BE74626" w14:textId="1AF3B30D" w:rsidR="005715F4" w:rsidRDefault="005715F4">
          <w:pPr>
            <w:pStyle w:val="Galvene"/>
            <w:widowControl w:val="0"/>
          </w:pPr>
        </w:p>
        <w:p w14:paraId="027AEBB6" w14:textId="77777777" w:rsidR="005715F4" w:rsidRDefault="005715F4">
          <w:pPr>
            <w:pStyle w:val="Galvene"/>
            <w:widowControl w:val="0"/>
          </w:pPr>
        </w:p>
      </w:tc>
      <w:tc>
        <w:tcPr>
          <w:tcW w:w="694" w:type="dxa"/>
          <w:tcBorders>
            <w:top w:val="nil"/>
            <w:left w:val="nil"/>
            <w:bottom w:val="nil"/>
            <w:right w:val="nil"/>
          </w:tcBorders>
          <w:vAlign w:val="bottom"/>
        </w:tcPr>
        <w:p w14:paraId="40B158AB" w14:textId="77777777" w:rsidR="005715F4" w:rsidRDefault="005715F4">
          <w:pPr>
            <w:pStyle w:val="Galvene"/>
            <w:widowControl w:val="0"/>
            <w:jc w:val="right"/>
            <w:rPr>
              <w:sz w:val="18"/>
              <w:szCs w:val="18"/>
            </w:rPr>
          </w:pPr>
          <w:r>
            <w:fldChar w:fldCharType="begin"/>
          </w:r>
          <w:r>
            <w:instrText>PAGE</w:instrText>
          </w:r>
          <w:r>
            <w:fldChar w:fldCharType="separate"/>
          </w:r>
          <w:r>
            <w:t>1</w:t>
          </w:r>
          <w:r>
            <w:fldChar w:fldCharType="end"/>
          </w:r>
        </w:p>
      </w:tc>
    </w:tr>
  </w:tbl>
  <w:p w14:paraId="0F29D51D" w14:textId="77777777" w:rsidR="005715F4" w:rsidRDefault="005715F4">
    <w:pPr>
      <w:pStyle w:val="Galvene"/>
    </w:pPr>
  </w:p>
  <w:p w14:paraId="52E17F25" w14:textId="77777777" w:rsidR="005715F4" w:rsidRDefault="005715F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77B78"/>
    <w:multiLevelType w:val="multilevel"/>
    <w:tmpl w:val="0CEAE9F4"/>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85D1F1E"/>
    <w:multiLevelType w:val="multilevel"/>
    <w:tmpl w:val="DF30E144"/>
    <w:lvl w:ilvl="0">
      <w:start w:val="1"/>
      <w:numFmt w:val="decimal"/>
      <w:pStyle w:val="FDPList1"/>
      <w:lvlText w:val="%1."/>
      <w:lvlJc w:val="left"/>
      <w:pPr>
        <w:tabs>
          <w:tab w:val="num" w:pos="0"/>
        </w:tabs>
        <w:ind w:left="720" w:hanging="360"/>
      </w:pPr>
      <w:rPr>
        <w:rFonts w:ascii="Segoe UI" w:hAnsi="Segoe UI"/>
        <w:b/>
        <w:bCs/>
        <w:i w:val="0"/>
        <w:color w:val="003366"/>
        <w:sz w:val="16"/>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A3E2C18"/>
    <w:multiLevelType w:val="multilevel"/>
    <w:tmpl w:val="9420161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73EC7926"/>
    <w:multiLevelType w:val="multilevel"/>
    <w:tmpl w:val="E1728FC8"/>
    <w:lvl w:ilvl="0">
      <w:start w:val="1"/>
      <w:numFmt w:val="decimal"/>
      <w:lvlText w:val="%1."/>
      <w:lvlJc w:val="left"/>
      <w:pPr>
        <w:tabs>
          <w:tab w:val="num" w:pos="0"/>
        </w:tabs>
        <w:ind w:left="720" w:hanging="360"/>
      </w:pPr>
      <w:rPr>
        <w:b w:val="0"/>
        <w:bCs/>
        <w:i w:val="0"/>
        <w:color w:val="003366"/>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 w:numId="3">
    <w:abstractNumId w:val="3"/>
  </w:num>
  <w:num w:numId="4">
    <w:abstractNumId w:val="2"/>
  </w:num>
  <w:num w:numId="5">
    <w:abstractNumId w:val="1"/>
    <w:lvlOverride w:ilvl="0">
      <w:startOverride w:val="1"/>
      <w:lvl w:ilvl="0">
        <w:start w:val="1"/>
        <w:numFmt w:val="decimal"/>
        <w:pStyle w:val="FDPList1"/>
        <w:lvlText w:val="%1."/>
        <w:lvlJc w:val="left"/>
        <w:pPr>
          <w:tabs>
            <w:tab w:val="num" w:pos="0"/>
          </w:tabs>
          <w:ind w:left="720" w:hanging="360"/>
        </w:pPr>
        <w:rPr>
          <w:b w:val="0"/>
          <w:bCs/>
          <w:i w:val="0"/>
          <w:color w:val="003366"/>
          <w:sz w:val="20"/>
          <w:szCs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A2NzY1tDQ3MzY1NjZQ0lEKTi0uzszPAykwrAUAczox7ywAAAA="/>
  </w:docVars>
  <w:rsids>
    <w:rsidRoot w:val="00E50B37"/>
    <w:rsid w:val="00175B1E"/>
    <w:rsid w:val="003A3BB3"/>
    <w:rsid w:val="00473674"/>
    <w:rsid w:val="005715F4"/>
    <w:rsid w:val="00601CAC"/>
    <w:rsid w:val="00625DCD"/>
    <w:rsid w:val="00645276"/>
    <w:rsid w:val="006E3A5F"/>
    <w:rsid w:val="00867744"/>
    <w:rsid w:val="008F0968"/>
    <w:rsid w:val="00B65FC0"/>
    <w:rsid w:val="00C24D78"/>
    <w:rsid w:val="00C766CF"/>
    <w:rsid w:val="00D51377"/>
    <w:rsid w:val="00E50B37"/>
    <w:rsid w:val="00EC6C8F"/>
    <w:rsid w:val="00FC72D8"/>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A9B11"/>
  <w15:docId w15:val="{D4A789AF-01DF-463A-AD70-EE1326620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F7BC7"/>
    <w:pPr>
      <w:spacing w:after="140" w:line="280" w:lineRule="exact"/>
      <w:jc w:val="both"/>
    </w:pPr>
    <w:rPr>
      <w:rFonts w:ascii="Verdana" w:eastAsia="Arial" w:hAnsi="Verdana"/>
      <w:color w:val="000000" w:themeColor="text1"/>
      <w:sz w:val="20"/>
    </w:rPr>
  </w:style>
  <w:style w:type="paragraph" w:styleId="Virsraksts1">
    <w:name w:val="heading 1"/>
    <w:basedOn w:val="Parasts"/>
    <w:next w:val="Parasts"/>
    <w:link w:val="Virsraksts1Rakstz"/>
    <w:uiPriority w:val="9"/>
    <w:qFormat/>
    <w:rsid w:val="00DB4E45"/>
    <w:pPr>
      <w:keepNext/>
      <w:keepLines/>
      <w:spacing w:line="320" w:lineRule="exact"/>
      <w:outlineLvl w:val="0"/>
    </w:pPr>
    <w:rPr>
      <w:rFonts w:eastAsia="Times New Roman" w:cs="Times New Roman"/>
      <w:b/>
      <w:color w:val="012069" w:themeColor="text2"/>
      <w:sz w:val="28"/>
      <w:szCs w:val="32"/>
    </w:rPr>
  </w:style>
  <w:style w:type="paragraph" w:styleId="Virsraksts2">
    <w:name w:val="heading 2"/>
    <w:basedOn w:val="Parasts"/>
    <w:next w:val="Parasts"/>
    <w:link w:val="Virsraksts2Rakstz"/>
    <w:uiPriority w:val="9"/>
    <w:unhideWhenUsed/>
    <w:qFormat/>
    <w:rsid w:val="00DB4E45"/>
    <w:pPr>
      <w:keepNext/>
      <w:keepLines/>
      <w:outlineLvl w:val="1"/>
    </w:pPr>
    <w:rPr>
      <w:rFonts w:eastAsia="Times New Roman" w:cs="Times New Roman"/>
      <w:b/>
      <w:color w:val="012069" w:themeColor="text2"/>
      <w:sz w:val="22"/>
      <w:szCs w:val="26"/>
    </w:rPr>
  </w:style>
  <w:style w:type="paragraph" w:styleId="Virsraksts3">
    <w:name w:val="heading 3"/>
    <w:basedOn w:val="Parasts"/>
    <w:next w:val="Parasts"/>
    <w:link w:val="Virsraksts3Rakstz"/>
    <w:uiPriority w:val="9"/>
    <w:unhideWhenUsed/>
    <w:qFormat/>
    <w:rsid w:val="00A6795F"/>
    <w:pPr>
      <w:keepNext/>
      <w:keepLines/>
      <w:spacing w:before="40" w:after="0"/>
      <w:outlineLvl w:val="2"/>
    </w:pPr>
    <w:rPr>
      <w:rFonts w:eastAsia="Times New Roman" w:cs="Times New Roman"/>
      <w:color w:val="002A5B" w:themeColor="accent1" w:themeShade="7F"/>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GalveneRakstz">
    <w:name w:val="Galvene Rakstz."/>
    <w:basedOn w:val="Noklusjumarindkopasfonts"/>
    <w:link w:val="Galvene"/>
    <w:uiPriority w:val="99"/>
    <w:qFormat/>
    <w:rsid w:val="00DB4E45"/>
    <w:rPr>
      <w:rFonts w:ascii="Verdana" w:hAnsi="Verdana"/>
      <w:b/>
      <w:color w:val="012069" w:themeColor="text2"/>
      <w:sz w:val="14"/>
    </w:rPr>
  </w:style>
  <w:style w:type="character" w:customStyle="1" w:styleId="Virsraksts1Rakstz">
    <w:name w:val="Virsraksts 1 Rakstz."/>
    <w:basedOn w:val="Noklusjumarindkopasfonts"/>
    <w:link w:val="Virsraksts1"/>
    <w:uiPriority w:val="9"/>
    <w:qFormat/>
    <w:rsid w:val="00DB4E45"/>
    <w:rPr>
      <w:rFonts w:ascii="Verdana" w:eastAsia="Times New Roman" w:hAnsi="Verdana" w:cs="Times New Roman"/>
      <w:b/>
      <w:color w:val="012069" w:themeColor="text2"/>
      <w:sz w:val="28"/>
      <w:szCs w:val="32"/>
    </w:rPr>
  </w:style>
  <w:style w:type="character" w:customStyle="1" w:styleId="Virsraksts2Rakstz">
    <w:name w:val="Virsraksts 2 Rakstz."/>
    <w:basedOn w:val="Noklusjumarindkopasfonts"/>
    <w:link w:val="Virsraksts2"/>
    <w:uiPriority w:val="9"/>
    <w:qFormat/>
    <w:rsid w:val="00DB4E45"/>
    <w:rPr>
      <w:rFonts w:ascii="Verdana" w:eastAsia="Times New Roman" w:hAnsi="Verdana" w:cs="Times New Roman"/>
      <w:b/>
      <w:color w:val="012069" w:themeColor="text2"/>
      <w:sz w:val="22"/>
      <w:szCs w:val="26"/>
    </w:rPr>
  </w:style>
  <w:style w:type="character" w:customStyle="1" w:styleId="Virsraksts3Rakstz">
    <w:name w:val="Virsraksts 3 Rakstz."/>
    <w:basedOn w:val="Noklusjumarindkopasfonts"/>
    <w:link w:val="Virsraksts3"/>
    <w:uiPriority w:val="9"/>
    <w:qFormat/>
    <w:rsid w:val="00A6795F"/>
    <w:rPr>
      <w:rFonts w:ascii="Verdana" w:eastAsia="Times New Roman" w:hAnsi="Verdana" w:cs="Times New Roman"/>
      <w:color w:val="002A5B" w:themeColor="accent1" w:themeShade="7F"/>
    </w:rPr>
  </w:style>
  <w:style w:type="character" w:customStyle="1" w:styleId="VrestekstsRakstz">
    <w:name w:val="Vēres teksts Rakstz."/>
    <w:basedOn w:val="Noklusjumarindkopasfonts"/>
    <w:link w:val="Vresteksts"/>
    <w:uiPriority w:val="99"/>
    <w:qFormat/>
    <w:rsid w:val="006F792B"/>
    <w:rPr>
      <w:rFonts w:ascii="Verdana" w:hAnsi="Verdana"/>
      <w:color w:val="415563" w:themeColor="accent3"/>
      <w:sz w:val="12"/>
      <w:szCs w:val="20"/>
    </w:rPr>
  </w:style>
  <w:style w:type="character" w:customStyle="1" w:styleId="KjeneRakstz">
    <w:name w:val="Kājene Rakstz."/>
    <w:basedOn w:val="Noklusjumarindkopasfonts"/>
    <w:link w:val="Kjene"/>
    <w:uiPriority w:val="99"/>
    <w:qFormat/>
    <w:rsid w:val="00A00E15"/>
    <w:rPr>
      <w:rFonts w:ascii="Verdana" w:hAnsi="Verdana"/>
      <w:color w:val="000000" w:themeColor="text1"/>
      <w:sz w:val="20"/>
    </w:rPr>
  </w:style>
  <w:style w:type="character" w:customStyle="1" w:styleId="FootnoteCharacters">
    <w:name w:val="Footnote Characters"/>
    <w:basedOn w:val="Noklusjumarindkopasfonts"/>
    <w:uiPriority w:val="99"/>
    <w:unhideWhenUsed/>
    <w:qFormat/>
    <w:rsid w:val="007C1CDB"/>
    <w:rPr>
      <w:vertAlign w:val="superscript"/>
    </w:rPr>
  </w:style>
  <w:style w:type="character" w:customStyle="1" w:styleId="FootnoteAnchor">
    <w:name w:val="Footnote Anchor"/>
    <w:rPr>
      <w:vertAlign w:val="superscript"/>
    </w:rPr>
  </w:style>
  <w:style w:type="character" w:styleId="Hipersaite">
    <w:name w:val="Hyperlink"/>
    <w:basedOn w:val="Noklusjumarindkopasfonts"/>
    <w:uiPriority w:val="99"/>
    <w:unhideWhenUsed/>
    <w:rsid w:val="007C1CDB"/>
    <w:rPr>
      <w:color w:val="68478D" w:themeColor="hyperlink"/>
      <w:u w:val="single"/>
    </w:rPr>
  </w:style>
  <w:style w:type="character" w:customStyle="1" w:styleId="BalontekstsRakstz">
    <w:name w:val="Balonteksts Rakstz."/>
    <w:basedOn w:val="Noklusjumarindkopasfonts"/>
    <w:link w:val="Balonteksts"/>
    <w:uiPriority w:val="99"/>
    <w:semiHidden/>
    <w:qFormat/>
    <w:rsid w:val="006536BC"/>
    <w:rPr>
      <w:rFonts w:ascii="Segoe UI" w:hAnsi="Segoe UI" w:cs="Segoe UI"/>
      <w:color w:val="000000" w:themeColor="text1"/>
      <w:sz w:val="18"/>
      <w:szCs w:val="18"/>
    </w:rPr>
  </w:style>
  <w:style w:type="character" w:customStyle="1" w:styleId="jlqj4b">
    <w:name w:val="jlqj4b"/>
    <w:basedOn w:val="Noklusjumarindkopasfonts"/>
    <w:qFormat/>
    <w:rsid w:val="00646C66"/>
  </w:style>
  <w:style w:type="character" w:customStyle="1" w:styleId="viiyi">
    <w:name w:val="viiyi"/>
    <w:basedOn w:val="Noklusjumarindkopasfonts"/>
    <w:qFormat/>
    <w:rsid w:val="00321323"/>
  </w:style>
  <w:style w:type="character" w:styleId="Izteiksmgs">
    <w:name w:val="Strong"/>
    <w:basedOn w:val="Noklusjumarindkopasfonts"/>
    <w:uiPriority w:val="22"/>
    <w:qFormat/>
    <w:rsid w:val="00F471DF"/>
    <w:rPr>
      <w:b/>
      <w:bCs/>
    </w:rPr>
  </w:style>
  <w:style w:type="character" w:customStyle="1" w:styleId="SarakstarindkopaRakstz">
    <w:name w:val="Saraksta rindkopa Rakstz."/>
    <w:link w:val="Sarakstarindkopa"/>
    <w:uiPriority w:val="34"/>
    <w:qFormat/>
    <w:locked/>
    <w:rsid w:val="00204C6C"/>
    <w:rPr>
      <w:rFonts w:ascii="Verdana" w:hAnsi="Verdana"/>
      <w:color w:val="000000" w:themeColor="text1"/>
      <w:sz w:val="20"/>
    </w:rPr>
  </w:style>
  <w:style w:type="character" w:customStyle="1" w:styleId="normaltextrun">
    <w:name w:val="normaltextrun"/>
    <w:basedOn w:val="Noklusjumarindkopasfonts"/>
    <w:qFormat/>
    <w:rsid w:val="00BD23EE"/>
  </w:style>
  <w:style w:type="character" w:customStyle="1" w:styleId="eop">
    <w:name w:val="eop"/>
    <w:basedOn w:val="Noklusjumarindkopasfonts"/>
    <w:qFormat/>
    <w:rsid w:val="00BD23EE"/>
  </w:style>
  <w:style w:type="character" w:customStyle="1" w:styleId="superscript">
    <w:name w:val="superscript"/>
    <w:basedOn w:val="Noklusjumarindkopasfonts"/>
    <w:qFormat/>
    <w:rsid w:val="00BD23EE"/>
  </w:style>
  <w:style w:type="character" w:customStyle="1" w:styleId="spellingerror">
    <w:name w:val="spellingerror"/>
    <w:basedOn w:val="Noklusjumarindkopasfonts"/>
    <w:qFormat/>
    <w:rsid w:val="00BD23EE"/>
  </w:style>
  <w:style w:type="character" w:styleId="Komentraatsauce">
    <w:name w:val="annotation reference"/>
    <w:basedOn w:val="Noklusjumarindkopasfonts"/>
    <w:uiPriority w:val="99"/>
    <w:semiHidden/>
    <w:unhideWhenUsed/>
    <w:qFormat/>
    <w:rsid w:val="001F4774"/>
    <w:rPr>
      <w:sz w:val="16"/>
      <w:szCs w:val="16"/>
    </w:rPr>
  </w:style>
  <w:style w:type="character" w:customStyle="1" w:styleId="KomentratekstsRakstz">
    <w:name w:val="Komentāra teksts Rakstz."/>
    <w:basedOn w:val="Noklusjumarindkopasfonts"/>
    <w:link w:val="Komentrateksts"/>
    <w:uiPriority w:val="99"/>
    <w:semiHidden/>
    <w:qFormat/>
    <w:rsid w:val="001F4774"/>
    <w:rPr>
      <w:rFonts w:ascii="Verdana" w:hAnsi="Verdana"/>
      <w:color w:val="000000" w:themeColor="text1"/>
      <w:sz w:val="20"/>
      <w:szCs w:val="20"/>
    </w:rPr>
  </w:style>
  <w:style w:type="character" w:customStyle="1" w:styleId="KomentratmaRakstz">
    <w:name w:val="Komentāra tēma Rakstz."/>
    <w:basedOn w:val="KomentratekstsRakstz"/>
    <w:link w:val="Komentratma"/>
    <w:uiPriority w:val="99"/>
    <w:semiHidden/>
    <w:qFormat/>
    <w:rsid w:val="001F4774"/>
    <w:rPr>
      <w:rFonts w:ascii="Verdana" w:hAnsi="Verdana"/>
      <w:b/>
      <w:bCs/>
      <w:color w:val="000000" w:themeColor="text1"/>
      <w:sz w:val="20"/>
      <w:szCs w:val="20"/>
    </w:rPr>
  </w:style>
  <w:style w:type="character" w:styleId="Izmantotahipersaite">
    <w:name w:val="FollowedHyperlink"/>
    <w:basedOn w:val="Noklusjumarindkopasfonts"/>
    <w:uiPriority w:val="99"/>
    <w:semiHidden/>
    <w:unhideWhenUsed/>
    <w:rsid w:val="002A6CBF"/>
    <w:rPr>
      <w:color w:val="830B55" w:themeColor="followedHyperlink"/>
      <w:u w:val="single"/>
    </w:rPr>
  </w:style>
  <w:style w:type="character" w:customStyle="1" w:styleId="IndexLink">
    <w:name w:val="Index Link"/>
    <w:qFormat/>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rPr>
  </w:style>
  <w:style w:type="paragraph" w:customStyle="1" w:styleId="Index">
    <w:name w:val="Index"/>
    <w:basedOn w:val="Parasts"/>
    <w:qFormat/>
    <w:pPr>
      <w:suppressLineNumbers/>
    </w:pPr>
    <w:rPr>
      <w:rFonts w:cs="Arial"/>
    </w:rPr>
  </w:style>
  <w:style w:type="paragraph" w:customStyle="1" w:styleId="HeaderandFooter">
    <w:name w:val="Header and Footer"/>
    <w:basedOn w:val="Parasts"/>
    <w:qFormat/>
  </w:style>
  <w:style w:type="paragraph" w:styleId="Galvene">
    <w:name w:val="header"/>
    <w:basedOn w:val="Parasts"/>
    <w:link w:val="GalveneRakstz"/>
    <w:uiPriority w:val="99"/>
    <w:unhideWhenUsed/>
    <w:rsid w:val="00DB4E45"/>
    <w:pPr>
      <w:tabs>
        <w:tab w:val="center" w:pos="4513"/>
        <w:tab w:val="right" w:pos="9026"/>
      </w:tabs>
      <w:spacing w:after="0" w:line="220" w:lineRule="exact"/>
      <w:jc w:val="left"/>
    </w:pPr>
    <w:rPr>
      <w:b/>
      <w:color w:val="012069" w:themeColor="text2"/>
      <w:sz w:val="14"/>
    </w:rPr>
  </w:style>
  <w:style w:type="paragraph" w:styleId="Paraststmeklis">
    <w:name w:val="Normal (Web)"/>
    <w:basedOn w:val="Parasts"/>
    <w:uiPriority w:val="99"/>
    <w:semiHidden/>
    <w:unhideWhenUsed/>
    <w:qFormat/>
    <w:rsid w:val="00BF5DED"/>
    <w:pPr>
      <w:spacing w:beforeAutospacing="1" w:afterAutospacing="1" w:line="240" w:lineRule="auto"/>
      <w:jc w:val="left"/>
    </w:pPr>
    <w:rPr>
      <w:rFonts w:ascii="Times New Roman" w:eastAsia="Times New Roman" w:hAnsi="Times New Roman" w:cs="Times New Roman"/>
      <w:color w:val="auto"/>
      <w:sz w:val="24"/>
      <w:lang w:eastAsia="en-GB"/>
    </w:rPr>
  </w:style>
  <w:style w:type="paragraph" w:customStyle="1" w:styleId="FDPNosaukumsLVaaks">
    <w:name w:val="FDP  Nosaukums L / Vaaks"/>
    <w:basedOn w:val="Parasts"/>
    <w:qFormat/>
    <w:rsid w:val="00AD2804"/>
    <w:pPr>
      <w:spacing w:after="0" w:line="640" w:lineRule="exact"/>
      <w:jc w:val="center"/>
    </w:pPr>
    <w:rPr>
      <w:b/>
      <w:bCs/>
      <w:color w:val="012069" w:themeColor="text2"/>
      <w:sz w:val="36"/>
      <w:szCs w:val="30"/>
    </w:rPr>
  </w:style>
  <w:style w:type="paragraph" w:customStyle="1" w:styleId="FDPList1">
    <w:name w:val="FDP List 1"/>
    <w:basedOn w:val="Parasts"/>
    <w:qFormat/>
    <w:rsid w:val="000964AE"/>
    <w:pPr>
      <w:numPr>
        <w:numId w:val="1"/>
      </w:numPr>
      <w:ind w:left="567" w:hanging="567"/>
      <w:contextualSpacing/>
    </w:pPr>
  </w:style>
  <w:style w:type="paragraph" w:customStyle="1" w:styleId="FDPVaaksatruna-mazsteksts">
    <w:name w:val="FDP Vaaks atruna-mazs teksts"/>
    <w:qFormat/>
    <w:rsid w:val="000964AE"/>
    <w:pPr>
      <w:spacing w:line="280" w:lineRule="exact"/>
      <w:jc w:val="right"/>
    </w:pPr>
    <w:rPr>
      <w:rFonts w:ascii="Verdana" w:eastAsia="Arial" w:hAnsi="Verdana"/>
      <w:color w:val="FFFFFF" w:themeColor="background1"/>
      <w:sz w:val="22"/>
      <w:szCs w:val="22"/>
    </w:rPr>
  </w:style>
  <w:style w:type="paragraph" w:styleId="Saturs1">
    <w:name w:val="toc 1"/>
    <w:basedOn w:val="Parasts"/>
    <w:next w:val="Parasts"/>
    <w:autoRedefine/>
    <w:uiPriority w:val="39"/>
    <w:unhideWhenUsed/>
    <w:rsid w:val="00686BAE"/>
    <w:pPr>
      <w:tabs>
        <w:tab w:val="right" w:pos="9338"/>
      </w:tabs>
      <w:spacing w:before="280" w:after="0"/>
      <w:jc w:val="left"/>
    </w:pPr>
    <w:rPr>
      <w:rFonts w:cs="Verdana"/>
      <w:b/>
      <w:bCs/>
    </w:rPr>
  </w:style>
  <w:style w:type="paragraph" w:styleId="Saturs2">
    <w:name w:val="toc 2"/>
    <w:basedOn w:val="Parasts"/>
    <w:next w:val="Parasts"/>
    <w:autoRedefine/>
    <w:uiPriority w:val="39"/>
    <w:unhideWhenUsed/>
    <w:rsid w:val="00686BAE"/>
    <w:pPr>
      <w:tabs>
        <w:tab w:val="right" w:pos="9338"/>
      </w:tabs>
      <w:spacing w:before="140"/>
      <w:ind w:firstLine="397"/>
      <w:contextualSpacing/>
      <w:jc w:val="left"/>
    </w:pPr>
    <w:rPr>
      <w:rFonts w:cstheme="minorHAnsi"/>
      <w:szCs w:val="20"/>
    </w:rPr>
  </w:style>
  <w:style w:type="paragraph" w:customStyle="1" w:styleId="FDPVaaksDatums">
    <w:name w:val="FDP Vaaks Datums"/>
    <w:qFormat/>
    <w:rsid w:val="000964AE"/>
    <w:pPr>
      <w:jc w:val="center"/>
    </w:pPr>
    <w:rPr>
      <w:rFonts w:ascii="Verdana" w:eastAsia="Arial" w:hAnsi="Verdana"/>
      <w:b/>
      <w:bCs/>
      <w:color w:val="003366"/>
      <w:sz w:val="22"/>
      <w:szCs w:val="22"/>
    </w:rPr>
  </w:style>
  <w:style w:type="paragraph" w:styleId="Vresteksts">
    <w:name w:val="footnote text"/>
    <w:basedOn w:val="Parasts"/>
    <w:link w:val="VrestekstsRakstz"/>
    <w:autoRedefine/>
    <w:uiPriority w:val="99"/>
    <w:unhideWhenUsed/>
    <w:qFormat/>
    <w:rsid w:val="006F792B"/>
    <w:pPr>
      <w:spacing w:after="0" w:line="240" w:lineRule="auto"/>
      <w:ind w:left="113" w:hanging="113"/>
    </w:pPr>
    <w:rPr>
      <w:color w:val="415563" w:themeColor="accent3"/>
      <w:sz w:val="12"/>
      <w:szCs w:val="20"/>
    </w:rPr>
  </w:style>
  <w:style w:type="paragraph" w:styleId="Kjene">
    <w:name w:val="footer"/>
    <w:basedOn w:val="Parasts"/>
    <w:link w:val="KjeneRakstz"/>
    <w:uiPriority w:val="99"/>
    <w:unhideWhenUsed/>
    <w:rsid w:val="00A00E15"/>
    <w:pPr>
      <w:tabs>
        <w:tab w:val="center" w:pos="4513"/>
        <w:tab w:val="right" w:pos="9026"/>
      </w:tabs>
      <w:spacing w:after="0" w:line="240" w:lineRule="auto"/>
    </w:pPr>
  </w:style>
  <w:style w:type="paragraph" w:customStyle="1" w:styleId="FDPNosaukumsGrafikam">
    <w:name w:val="FDP Nosaukums Grafikam"/>
    <w:basedOn w:val="Parasts"/>
    <w:qFormat/>
    <w:rsid w:val="00E8464B"/>
    <w:pPr>
      <w:pBdr>
        <w:bottom w:val="single" w:sz="18" w:space="1" w:color="9D2234"/>
      </w:pBdr>
      <w:spacing w:before="280" w:after="0"/>
      <w:ind w:firstLine="113"/>
    </w:pPr>
    <w:rPr>
      <w:b/>
      <w:bCs/>
      <w:color w:val="993333"/>
    </w:rPr>
  </w:style>
  <w:style w:type="paragraph" w:customStyle="1" w:styleId="FDPTabulapamats">
    <w:name w:val="FDP Tabula pamats"/>
    <w:basedOn w:val="Parasts"/>
    <w:qFormat/>
    <w:rsid w:val="00F605AC"/>
    <w:pPr>
      <w:spacing w:after="0"/>
      <w:jc w:val="left"/>
    </w:pPr>
    <w:rPr>
      <w:sz w:val="18"/>
      <w:szCs w:val="18"/>
    </w:rPr>
  </w:style>
  <w:style w:type="paragraph" w:customStyle="1" w:styleId="FDPTabulagalvina">
    <w:name w:val="FDP Tabula galvina"/>
    <w:basedOn w:val="Parasts"/>
    <w:qFormat/>
    <w:rsid w:val="00F605AC"/>
    <w:pPr>
      <w:spacing w:after="0"/>
    </w:pPr>
    <w:rPr>
      <w:b/>
      <w:bCs/>
      <w:color w:val="993333"/>
    </w:rPr>
  </w:style>
  <w:style w:type="paragraph" w:customStyle="1" w:styleId="FDPTabulasumma">
    <w:name w:val="FDP Tabula_summa"/>
    <w:basedOn w:val="Parasts"/>
    <w:qFormat/>
    <w:rsid w:val="00F605AC"/>
    <w:pPr>
      <w:spacing w:after="0"/>
      <w:jc w:val="left"/>
    </w:pPr>
    <w:rPr>
      <w:b/>
      <w:bCs/>
      <w:color w:val="9D2234" w:themeColor="accent5"/>
      <w:sz w:val="18"/>
      <w:szCs w:val="18"/>
    </w:rPr>
  </w:style>
  <w:style w:type="paragraph" w:customStyle="1" w:styleId="Default">
    <w:name w:val="Default"/>
    <w:qFormat/>
    <w:rsid w:val="007C1CDB"/>
    <w:rPr>
      <w:rFonts w:ascii="Times New Roman" w:eastAsia="Arial" w:hAnsi="Times New Roman" w:cs="Times New Roman"/>
      <w:color w:val="000000"/>
    </w:rPr>
  </w:style>
  <w:style w:type="paragraph" w:styleId="Sarakstarindkopa">
    <w:name w:val="List Paragraph"/>
    <w:basedOn w:val="Parasts"/>
    <w:link w:val="SarakstarindkopaRakstz"/>
    <w:uiPriority w:val="34"/>
    <w:qFormat/>
    <w:rsid w:val="00DF3622"/>
    <w:pPr>
      <w:ind w:left="720"/>
      <w:contextualSpacing/>
    </w:pPr>
  </w:style>
  <w:style w:type="paragraph" w:styleId="Balonteksts">
    <w:name w:val="Balloon Text"/>
    <w:basedOn w:val="Parasts"/>
    <w:link w:val="BalontekstsRakstz"/>
    <w:uiPriority w:val="99"/>
    <w:semiHidden/>
    <w:unhideWhenUsed/>
    <w:qFormat/>
    <w:rsid w:val="006536BC"/>
    <w:pPr>
      <w:spacing w:after="0" w:line="240" w:lineRule="auto"/>
    </w:pPr>
    <w:rPr>
      <w:rFonts w:ascii="Segoe UI" w:hAnsi="Segoe UI" w:cs="Segoe UI"/>
      <w:sz w:val="18"/>
      <w:szCs w:val="18"/>
    </w:rPr>
  </w:style>
  <w:style w:type="paragraph" w:customStyle="1" w:styleId="xxlist1">
    <w:name w:val="x_x_list1"/>
    <w:basedOn w:val="Parasts"/>
    <w:qFormat/>
    <w:rsid w:val="00961897"/>
    <w:pPr>
      <w:spacing w:beforeAutospacing="1" w:afterAutospacing="1" w:line="240" w:lineRule="auto"/>
      <w:jc w:val="left"/>
    </w:pPr>
    <w:rPr>
      <w:rFonts w:ascii="Times New Roman" w:eastAsia="Times New Roman" w:hAnsi="Times New Roman" w:cs="Times New Roman"/>
      <w:color w:val="auto"/>
      <w:sz w:val="24"/>
      <w:lang w:eastAsia="lv-LV"/>
    </w:rPr>
  </w:style>
  <w:style w:type="paragraph" w:customStyle="1" w:styleId="paragraph">
    <w:name w:val="paragraph"/>
    <w:basedOn w:val="Parasts"/>
    <w:qFormat/>
    <w:rsid w:val="00BD23EE"/>
    <w:pPr>
      <w:spacing w:beforeAutospacing="1" w:afterAutospacing="1" w:line="240" w:lineRule="auto"/>
      <w:jc w:val="left"/>
    </w:pPr>
    <w:rPr>
      <w:rFonts w:ascii="Times New Roman" w:eastAsia="Times New Roman" w:hAnsi="Times New Roman" w:cs="Times New Roman"/>
      <w:color w:val="auto"/>
      <w:sz w:val="24"/>
      <w:lang w:eastAsia="lv-LV"/>
    </w:rPr>
  </w:style>
  <w:style w:type="paragraph" w:styleId="Komentrateksts">
    <w:name w:val="annotation text"/>
    <w:basedOn w:val="Parasts"/>
    <w:link w:val="KomentratekstsRakstz"/>
    <w:uiPriority w:val="99"/>
    <w:semiHidden/>
    <w:unhideWhenUsed/>
    <w:qFormat/>
    <w:rsid w:val="001F4774"/>
    <w:pPr>
      <w:spacing w:line="240" w:lineRule="auto"/>
    </w:pPr>
    <w:rPr>
      <w:szCs w:val="20"/>
    </w:rPr>
  </w:style>
  <w:style w:type="paragraph" w:styleId="Komentratma">
    <w:name w:val="annotation subject"/>
    <w:basedOn w:val="Komentrateksts"/>
    <w:next w:val="Komentrateksts"/>
    <w:link w:val="KomentratmaRakstz"/>
    <w:uiPriority w:val="99"/>
    <w:semiHidden/>
    <w:unhideWhenUsed/>
    <w:qFormat/>
    <w:rsid w:val="001F4774"/>
    <w:rPr>
      <w:b/>
      <w:bCs/>
    </w:rPr>
  </w:style>
  <w:style w:type="numbering" w:customStyle="1" w:styleId="CurrentList1">
    <w:name w:val="Current List1"/>
    <w:uiPriority w:val="99"/>
    <w:qFormat/>
    <w:rsid w:val="00FD0A57"/>
  </w:style>
  <w:style w:type="table" w:styleId="Reatabula">
    <w:name w:val="Table Grid"/>
    <w:basedOn w:val="Parastatabula"/>
    <w:uiPriority w:val="39"/>
    <w:rsid w:val="00BF5D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uiPriority w:val="39"/>
    <w:rsid w:val="00204C6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54896-fiskalas-disciplinas-likums" TargetMode="External"/><Relationship Id="rId18" Type="http://schemas.openxmlformats.org/officeDocument/2006/relationships/chart" Target="charts/chart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hart" Target="charts/chart6.xml"/><Relationship Id="rId7" Type="http://schemas.openxmlformats.org/officeDocument/2006/relationships/settings" Target="settings.xml"/><Relationship Id="rId12" Type="http://schemas.openxmlformats.org/officeDocument/2006/relationships/hyperlink" Target="https://likumi.lv/ta/id/254896-fiskalas-disciplinas-likums"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chart" Target="charts/chart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chart" Target="charts/chart7.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uri=CELEX%3A52021SC0162&amp;qid=1624627879387" TargetMode="External"/><Relationship Id="rId13" Type="http://schemas.openxmlformats.org/officeDocument/2006/relationships/hyperlink" Target="https://www.kase.gov.lv/jaunumi/tresdien-25-augusta-tika-izsoliti-gmtn-vertspapiri-iekseja-tirgu-ar-dzesanas-terminu-2029" TargetMode="External"/><Relationship Id="rId18" Type="http://schemas.openxmlformats.org/officeDocument/2006/relationships/hyperlink" Target="https://ec.europa.eu/info/business-economy-euro/economic-performance-and-forecasts/economic-forecasts/summer-2021-economic-forecast_en" TargetMode="External"/><Relationship Id="rId3" Type="http://schemas.openxmlformats.org/officeDocument/2006/relationships/hyperlink" Target="http://tap.mk.gov.lv/lv/mk/tap/?pid=40506650&amp;mode=mk&amp;date=2021-08-24," TargetMode="External"/><Relationship Id="rId21" Type="http://schemas.openxmlformats.org/officeDocument/2006/relationships/hyperlink" Target="https://www.bank.lv/lb-publikacijas/zinas-un-raksti/latvijas-bankas-informacija-presei/12603-prognozes-2021-septembris" TargetMode="External"/><Relationship Id="rId7" Type="http://schemas.openxmlformats.org/officeDocument/2006/relationships/hyperlink" Target="https://www.fm.gov.lv/lv/media/8323/download" TargetMode="External"/><Relationship Id="rId12" Type="http://schemas.openxmlformats.org/officeDocument/2006/relationships/hyperlink" Target="https://www.vid.gov.lv/lv/vid-izmaksajis-atbalstus-covid-19-krizes-parvaresanai-66759-miljonu-eiro-apmera-0?fbclid=IwAR0W_QTAs4CKbDVBN9N1Zkb4C1QU8nHrj62NdDmOJv3Hpgk0-w9sfAjLzCY" TargetMode="External"/><Relationship Id="rId17" Type="http://schemas.openxmlformats.org/officeDocument/2006/relationships/hyperlink" Target="https://www.fdp.gov.lv/lv/14062021-finansu-ministrijas-makroekonomikas-prognozu-apstiprinasana-videja-termina-budzeta-ietvaram" TargetMode="External"/><Relationship Id="rId2" Type="http://schemas.openxmlformats.org/officeDocument/2006/relationships/hyperlink" Target="https://www.fdp.gov.lv/lv/media/1653/download" TargetMode="External"/><Relationship Id="rId16" Type="http://schemas.openxmlformats.org/officeDocument/2006/relationships/hyperlink" Target="https://www.fdp.gov.lv/lv/14062021-finansu-ministrijas-makroekonomikas-prognozu-apstiprinasana-videja-termina-budzeta-ietvaram" TargetMode="External"/><Relationship Id="rId20" Type="http://schemas.openxmlformats.org/officeDocument/2006/relationships/hyperlink" Target="https://www.fdp.gov.lv/lv/media/3037/download" TargetMode="External"/><Relationship Id="rId1" Type="http://schemas.openxmlformats.org/officeDocument/2006/relationships/hyperlink" Target="https://ec.europa.eu/info/sites/default/files/economy-finance/com-2021-514-1_en_act_part1_v3.pdf" TargetMode="External"/><Relationship Id="rId6" Type="http://schemas.openxmlformats.org/officeDocument/2006/relationships/hyperlink" Target="https://www.lrvk.gov.lv/lv/revizijas/revizijas/noslegtas-revizijas/par-latvijas-republikas-2020-gada-saimnieciska-gada-parskatu" TargetMode="External"/><Relationship Id="rId11" Type="http://schemas.openxmlformats.org/officeDocument/2006/relationships/hyperlink" Target="https://www.vid.gov.lv/lv/algas-nodoklu-plaisa-lenam-bet-stabili-samazinas-0" TargetMode="External"/><Relationship Id="rId24" Type="http://schemas.openxmlformats.org/officeDocument/2006/relationships/hyperlink" Target="https://www.swedbank-research.com/english/swedbank_economic_outlook/2021/q2/seo_aug_2021_eng_final.pdf" TargetMode="External"/><Relationship Id="rId5" Type="http://schemas.openxmlformats.org/officeDocument/2006/relationships/hyperlink" Target="https://www.imf.org/en/Publications/CR/Issues/2019/08/06/Republic-of-Latvia-2019-Article-IV-Consultation-Press-Release-and-Staff-Report-48565" TargetMode="External"/><Relationship Id="rId15" Type="http://schemas.openxmlformats.org/officeDocument/2006/relationships/hyperlink" Target="https://hudoc.echr.coe.int/app/conversion/pdf/?library=ECHR&amp;id=003-7117548-9641291&amp;filename=Court%20lifts%20interim%20measures%20in%20respect%20of%20Iraqi%20nationals%20at%20Belarusian%20border%20with%20Latvia.pdf" TargetMode="External"/><Relationship Id="rId23" Type="http://schemas.openxmlformats.org/officeDocument/2006/relationships/hyperlink" Target="https://ec.europa.eu/info/business-economy-euro/economic-performance-and-forecasts/economic-forecasts/summer-2021-economic-forecast_en" TargetMode="External"/><Relationship Id="rId10" Type="http://schemas.openxmlformats.org/officeDocument/2006/relationships/hyperlink" Target="https://likumi.lv/ta/id/306232-par-valsts-budzetu-2019-gadam" TargetMode="External"/><Relationship Id="rId19" Type="http://schemas.openxmlformats.org/officeDocument/2006/relationships/hyperlink" Target="https://www.fdp.gov.lv/lv/media/3037/download" TargetMode="External"/><Relationship Id="rId4" Type="http://schemas.openxmlformats.org/officeDocument/2006/relationships/hyperlink" Target="http://tap.mk.gov.lv/lv/mk/tap/?pid=40506650&amp;mode=mk&amp;date=2021-08-24," TargetMode="External"/><Relationship Id="rId9" Type="http://schemas.openxmlformats.org/officeDocument/2006/relationships/hyperlink" Target="https://likumi.lv/ta/id/310965-par-valsts-budzetu-2020-gadam" TargetMode="External"/><Relationship Id="rId14" Type="http://schemas.openxmlformats.org/officeDocument/2006/relationships/hyperlink" Target="https://www.kase.gov.lv/jaunumi/starptautiska-kreditreitingu-agentura-fitch-ratings-saglaba-latvijas-kreditreitingu-limeni" TargetMode="External"/><Relationship Id="rId22" Type="http://schemas.openxmlformats.org/officeDocument/2006/relationships/hyperlink" Target="file:///C:\viktorija.zaremba\Downloads\1LVAEA2021001.pdf"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lv-LV"/>
  <c:roundedCorners val="0"/>
  <c:style val="2"/>
  <c:chart>
    <c:autoTitleDeleted val="1"/>
    <c:plotArea>
      <c:layout>
        <c:manualLayout>
          <c:layoutTarget val="inner"/>
          <c:xMode val="edge"/>
          <c:yMode val="edge"/>
          <c:x val="8.6874999999999994E-2"/>
          <c:y val="5.47777777777778E-2"/>
          <c:w val="0.88256250000000003"/>
          <c:h val="0.774555555555556"/>
        </c:manualLayout>
      </c:layout>
      <c:barChart>
        <c:barDir val="col"/>
        <c:grouping val="clustered"/>
        <c:varyColors val="0"/>
        <c:ser>
          <c:idx val="0"/>
          <c:order val="0"/>
          <c:tx>
            <c:strRef>
              <c:f>label 0</c:f>
              <c:strCache>
                <c:ptCount val="1"/>
                <c:pt idx="0">
                  <c:v>2020</c:v>
                </c:pt>
              </c:strCache>
            </c:strRef>
          </c:tx>
          <c:spPr>
            <a:solidFill>
              <a:srgbClr val="0057B8"/>
            </a:solidFill>
            <a:ln w="0">
              <a:noFill/>
            </a:ln>
          </c:spPr>
          <c:invertIfNegative val="0"/>
          <c:dPt>
            <c:idx val="11"/>
            <c:invertIfNegative val="0"/>
            <c:bubble3D val="0"/>
            <c:extLst>
              <c:ext xmlns:c16="http://schemas.microsoft.com/office/drawing/2014/chart" uri="{C3380CC4-5D6E-409C-BE32-E72D297353CC}">
                <c16:uniqueId val="{00000001-AC12-4D25-8E43-442076417B72}"/>
              </c:ext>
            </c:extLst>
          </c:dPt>
          <c:dLbls>
            <c:dLbl>
              <c:idx val="11"/>
              <c:spPr/>
              <c:txPr>
                <a:bodyPr wrap="square"/>
                <a:lstStyle/>
                <a:p>
                  <a:pPr>
                    <a:defRPr sz="1000" b="0" strike="noStrike" spc="-1">
                      <a:solidFill>
                        <a:srgbClr val="000000"/>
                      </a:solidFill>
                      <a:latin typeface="Arial"/>
                    </a:defRPr>
                  </a:pPr>
                  <a:endParaRPr lang="lv-LV"/>
                </a:p>
              </c:txPr>
              <c:dLblPos val="outEnd"/>
              <c:showLegendKey val="0"/>
              <c:showVal val="0"/>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1-AC12-4D25-8E43-442076417B72}"/>
                </c:ext>
              </c:extLst>
            </c:dLbl>
            <c:spPr>
              <a:noFill/>
              <a:ln>
                <a:noFill/>
              </a:ln>
              <a:effectLst/>
            </c:spPr>
            <c:txPr>
              <a:bodyPr wrap="square"/>
              <a:lstStyle/>
              <a:p>
                <a:pPr>
                  <a:defRPr sz="1000" b="0" strike="noStrike" spc="-1">
                    <a:solidFill>
                      <a:srgbClr val="000000"/>
                    </a:solidFill>
                    <a:latin typeface="Arial"/>
                  </a:defRPr>
                </a:pPr>
                <a:endParaRPr lang="lv-LV"/>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2"/>
                <c:pt idx="0">
                  <c:v>janv</c:v>
                </c:pt>
                <c:pt idx="1">
                  <c:v>febr</c:v>
                </c:pt>
                <c:pt idx="2">
                  <c:v>marts</c:v>
                </c:pt>
                <c:pt idx="3">
                  <c:v>apr</c:v>
                </c:pt>
                <c:pt idx="4">
                  <c:v>maijs</c:v>
                </c:pt>
                <c:pt idx="5">
                  <c:v>jūn</c:v>
                </c:pt>
                <c:pt idx="6">
                  <c:v>jūl</c:v>
                </c:pt>
                <c:pt idx="7">
                  <c:v>aug</c:v>
                </c:pt>
                <c:pt idx="8">
                  <c:v>sept</c:v>
                </c:pt>
                <c:pt idx="9">
                  <c:v>okt</c:v>
                </c:pt>
                <c:pt idx="10">
                  <c:v>nov</c:v>
                </c:pt>
                <c:pt idx="11">
                  <c:v>dec</c:v>
                </c:pt>
              </c:strCache>
            </c:strRef>
          </c:cat>
          <c:val>
            <c:numRef>
              <c:f>0</c:f>
              <c:numCache>
                <c:formatCode>General</c:formatCode>
                <c:ptCount val="12"/>
                <c:pt idx="0">
                  <c:v>0.38145447515449998</c:v>
                </c:pt>
                <c:pt idx="1">
                  <c:v>0.73500547010220596</c:v>
                </c:pt>
                <c:pt idx="2">
                  <c:v>0.24310857119948301</c:v>
                </c:pt>
                <c:pt idx="3">
                  <c:v>-3.8553465118503299E-2</c:v>
                </c:pt>
                <c:pt idx="4">
                  <c:v>0.20020110790194301</c:v>
                </c:pt>
                <c:pt idx="5">
                  <c:v>-0.44789657763733898</c:v>
                </c:pt>
                <c:pt idx="6">
                  <c:v>2.10300816758562E-2</c:v>
                </c:pt>
                <c:pt idx="7">
                  <c:v>-0.13688826455467701</c:v>
                </c:pt>
                <c:pt idx="8">
                  <c:v>-0.57990114135118198</c:v>
                </c:pt>
                <c:pt idx="9">
                  <c:v>-1.3973396778700899</c:v>
                </c:pt>
                <c:pt idx="10">
                  <c:v>-1.8452957121025799</c:v>
                </c:pt>
                <c:pt idx="11">
                  <c:v>-3.9165939808285302</c:v>
                </c:pt>
              </c:numCache>
            </c:numRef>
          </c:val>
          <c:extLst>
            <c:ext xmlns:c16="http://schemas.microsoft.com/office/drawing/2014/chart" uri="{C3380CC4-5D6E-409C-BE32-E72D297353CC}">
              <c16:uniqueId val="{00000002-AC12-4D25-8E43-442076417B72}"/>
            </c:ext>
          </c:extLst>
        </c:ser>
        <c:ser>
          <c:idx val="1"/>
          <c:order val="1"/>
          <c:tx>
            <c:strRef>
              <c:f>label 1</c:f>
              <c:strCache>
                <c:ptCount val="1"/>
                <c:pt idx="0">
                  <c:v>2021</c:v>
                </c:pt>
              </c:strCache>
            </c:strRef>
          </c:tx>
          <c:spPr>
            <a:solidFill>
              <a:srgbClr val="1F2A44"/>
            </a:solidFill>
            <a:ln w="0">
              <a:noFill/>
            </a:ln>
          </c:spPr>
          <c:invertIfNegative val="0"/>
          <c:dLbls>
            <c:spPr>
              <a:noFill/>
              <a:ln>
                <a:noFill/>
              </a:ln>
              <a:effectLst/>
            </c:spPr>
            <c:txPr>
              <a:bodyPr wrap="square"/>
              <a:lstStyle/>
              <a:p>
                <a:pPr>
                  <a:defRPr sz="1000" b="0" strike="noStrike" spc="-1">
                    <a:solidFill>
                      <a:srgbClr val="000000"/>
                    </a:solidFill>
                    <a:latin typeface="Arial"/>
                  </a:defRPr>
                </a:pPr>
                <a:endParaRPr lang="lv-LV"/>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2"/>
                <c:pt idx="0">
                  <c:v>janv</c:v>
                </c:pt>
                <c:pt idx="1">
                  <c:v>febr</c:v>
                </c:pt>
                <c:pt idx="2">
                  <c:v>marts</c:v>
                </c:pt>
                <c:pt idx="3">
                  <c:v>apr</c:v>
                </c:pt>
                <c:pt idx="4">
                  <c:v>maijs</c:v>
                </c:pt>
                <c:pt idx="5">
                  <c:v>jūn</c:v>
                </c:pt>
                <c:pt idx="6">
                  <c:v>jūl</c:v>
                </c:pt>
                <c:pt idx="7">
                  <c:v>aug</c:v>
                </c:pt>
                <c:pt idx="8">
                  <c:v>sept</c:v>
                </c:pt>
                <c:pt idx="9">
                  <c:v>okt</c:v>
                </c:pt>
                <c:pt idx="10">
                  <c:v>nov</c:v>
                </c:pt>
                <c:pt idx="11">
                  <c:v>dec</c:v>
                </c:pt>
              </c:strCache>
            </c:strRef>
          </c:cat>
          <c:val>
            <c:numRef>
              <c:f>1</c:f>
              <c:numCache>
                <c:formatCode>General</c:formatCode>
                <c:ptCount val="12"/>
                <c:pt idx="0">
                  <c:v>0.55157066211581895</c:v>
                </c:pt>
                <c:pt idx="1">
                  <c:v>0.32454055685208599</c:v>
                </c:pt>
                <c:pt idx="2">
                  <c:v>-1.7179471031796301</c:v>
                </c:pt>
                <c:pt idx="3">
                  <c:v>-2.2005315691823499</c:v>
                </c:pt>
                <c:pt idx="4">
                  <c:v>-2.0578492054169102</c:v>
                </c:pt>
                <c:pt idx="5">
                  <c:v>-3.0402602217030501</c:v>
                </c:pt>
                <c:pt idx="6">
                  <c:v>-2.7831162295017902</c:v>
                </c:pt>
                <c:pt idx="7">
                  <c:v>-2.75691446171211</c:v>
                </c:pt>
                <c:pt idx="8">
                  <c:v>0</c:v>
                </c:pt>
                <c:pt idx="9">
                  <c:v>0</c:v>
                </c:pt>
                <c:pt idx="10">
                  <c:v>0</c:v>
                </c:pt>
                <c:pt idx="11">
                  <c:v>0</c:v>
                </c:pt>
              </c:numCache>
            </c:numRef>
          </c:val>
          <c:extLst>
            <c:ext xmlns:c16="http://schemas.microsoft.com/office/drawing/2014/chart" uri="{C3380CC4-5D6E-409C-BE32-E72D297353CC}">
              <c16:uniqueId val="{00000003-AC12-4D25-8E43-442076417B72}"/>
            </c:ext>
          </c:extLst>
        </c:ser>
        <c:dLbls>
          <c:showLegendKey val="0"/>
          <c:showVal val="0"/>
          <c:showCatName val="0"/>
          <c:showSerName val="0"/>
          <c:showPercent val="0"/>
          <c:showBubbleSize val="0"/>
        </c:dLbls>
        <c:gapWidth val="150"/>
        <c:axId val="36935294"/>
        <c:axId val="60061522"/>
      </c:barChart>
      <c:catAx>
        <c:axId val="36935294"/>
        <c:scaling>
          <c:orientation val="minMax"/>
        </c:scaling>
        <c:delete val="0"/>
        <c:axPos val="b"/>
        <c:majorGridlines>
          <c:spPr>
            <a:ln w="9360">
              <a:solidFill>
                <a:srgbClr val="415563"/>
              </a:solidFill>
              <a:round/>
            </a:ln>
          </c:spPr>
        </c:majorGridlines>
        <c:numFmt formatCode="General" sourceLinked="0"/>
        <c:majorTickMark val="none"/>
        <c:minorTickMark val="none"/>
        <c:tickLblPos val="low"/>
        <c:spPr>
          <a:ln w="9360">
            <a:solidFill>
              <a:srgbClr val="828992"/>
            </a:solidFill>
            <a:round/>
          </a:ln>
        </c:spPr>
        <c:txPr>
          <a:bodyPr/>
          <a:lstStyle/>
          <a:p>
            <a:pPr>
              <a:defRPr sz="700" b="0" strike="noStrike" spc="-1">
                <a:solidFill>
                  <a:srgbClr val="828992"/>
                </a:solidFill>
                <a:latin typeface="Verdana"/>
                <a:ea typeface="Verdana"/>
              </a:defRPr>
            </a:pPr>
            <a:endParaRPr lang="lv-LV"/>
          </a:p>
        </c:txPr>
        <c:crossAx val="60061522"/>
        <c:crosses val="autoZero"/>
        <c:auto val="1"/>
        <c:lblAlgn val="ctr"/>
        <c:lblOffset val="100"/>
        <c:noMultiLvlLbl val="0"/>
      </c:catAx>
      <c:valAx>
        <c:axId val="60061522"/>
        <c:scaling>
          <c:orientation val="minMax"/>
        </c:scaling>
        <c:delete val="0"/>
        <c:axPos val="l"/>
        <c:majorGridlines>
          <c:spPr>
            <a:ln w="9360">
              <a:solidFill>
                <a:srgbClr val="828992"/>
              </a:solidFill>
              <a:round/>
            </a:ln>
          </c:spPr>
        </c:majorGridlines>
        <c:numFmt formatCode="#,##0.0" sourceLinked="0"/>
        <c:majorTickMark val="none"/>
        <c:minorTickMark val="none"/>
        <c:tickLblPos val="nextTo"/>
        <c:spPr>
          <a:ln w="6480">
            <a:noFill/>
          </a:ln>
        </c:spPr>
        <c:txPr>
          <a:bodyPr/>
          <a:lstStyle/>
          <a:p>
            <a:pPr>
              <a:defRPr sz="700" b="0" strike="noStrike" spc="-1">
                <a:solidFill>
                  <a:srgbClr val="828992"/>
                </a:solidFill>
                <a:latin typeface="Verdana"/>
                <a:ea typeface="Verdana"/>
              </a:defRPr>
            </a:pPr>
            <a:endParaRPr lang="lv-LV"/>
          </a:p>
        </c:txPr>
        <c:crossAx val="36935294"/>
        <c:crosses val="autoZero"/>
        <c:crossBetween val="between"/>
      </c:valAx>
      <c:spPr>
        <a:noFill/>
        <a:ln w="0">
          <a:noFill/>
        </a:ln>
      </c:spPr>
    </c:plotArea>
    <c:legend>
      <c:legendPos val="b"/>
      <c:layout>
        <c:manualLayout>
          <c:xMode val="edge"/>
          <c:yMode val="edge"/>
          <c:x val="0.35281249999999997"/>
          <c:y val="0.92177777777777803"/>
          <c:w val="0.16207262953934601"/>
          <c:h val="7.7564173797088604E-2"/>
        </c:manualLayout>
      </c:layout>
      <c:overlay val="0"/>
      <c:spPr>
        <a:noFill/>
        <a:ln w="0">
          <a:noFill/>
        </a:ln>
      </c:spPr>
      <c:txPr>
        <a:bodyPr/>
        <a:lstStyle/>
        <a:p>
          <a:pPr>
            <a:defRPr sz="800" b="0" strike="noStrike" spc="-1">
              <a:solidFill>
                <a:srgbClr val="828992"/>
              </a:solidFill>
              <a:latin typeface="Verdana"/>
              <a:ea typeface="Verdana"/>
            </a:defRPr>
          </a:pPr>
          <a:endParaRPr lang="lv-LV"/>
        </a:p>
      </c:txPr>
    </c:legend>
    <c:plotVisOnly val="1"/>
    <c:dispBlanksAs val="gap"/>
    <c:showDLblsOverMax val="1"/>
  </c:chart>
  <c:spPr>
    <a:solidFill>
      <a:srgbClr val="FFFFFF"/>
    </a:solidFill>
    <a:ln w="9360">
      <a:noFill/>
    </a:ln>
  </c:spPr>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lv-LV"/>
  <c:roundedCorners val="0"/>
  <c:style val="2"/>
  <c:chart>
    <c:autoTitleDeleted val="1"/>
    <c:plotArea>
      <c:layout/>
      <c:barChart>
        <c:barDir val="col"/>
        <c:grouping val="clustered"/>
        <c:varyColors val="0"/>
        <c:ser>
          <c:idx val="0"/>
          <c:order val="0"/>
          <c:tx>
            <c:strRef>
              <c:f>label 0</c:f>
              <c:strCache>
                <c:ptCount val="1"/>
                <c:pt idx="0">
                  <c:v>Budžeta ieņēmumi</c:v>
                </c:pt>
              </c:strCache>
            </c:strRef>
          </c:tx>
          <c:spPr>
            <a:solidFill>
              <a:srgbClr val="0057B8"/>
            </a:solidFill>
            <a:ln w="0">
              <a:noFill/>
            </a:ln>
          </c:spPr>
          <c:invertIfNegative val="0"/>
          <c:dLbls>
            <c:spPr>
              <a:noFill/>
              <a:ln>
                <a:noFill/>
              </a:ln>
              <a:effectLst/>
            </c:spPr>
            <c:txPr>
              <a:bodyPr wrap="square"/>
              <a:lstStyle/>
              <a:p>
                <a:pPr>
                  <a:defRPr sz="1000" b="0" strike="noStrike" spc="-1">
                    <a:solidFill>
                      <a:srgbClr val="000000"/>
                    </a:solidFill>
                    <a:latin typeface="Arial"/>
                  </a:defRPr>
                </a:pPr>
                <a:endParaRPr lang="lv-LV"/>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6"/>
                <c:pt idx="0">
                  <c:v>2015</c:v>
                </c:pt>
                <c:pt idx="1">
                  <c:v>2016</c:v>
                </c:pt>
                <c:pt idx="2">
                  <c:v>2017</c:v>
                </c:pt>
                <c:pt idx="3">
                  <c:v>2018</c:v>
                </c:pt>
                <c:pt idx="4">
                  <c:v>2019</c:v>
                </c:pt>
                <c:pt idx="5">
                  <c:v>2020</c:v>
                </c:pt>
              </c:strCache>
            </c:strRef>
          </c:cat>
          <c:val>
            <c:numRef>
              <c:f>0</c:f>
              <c:numCache>
                <c:formatCode>General</c:formatCode>
                <c:ptCount val="6"/>
                <c:pt idx="0">
                  <c:v>7002.6140873200002</c:v>
                </c:pt>
                <c:pt idx="1">
                  <c:v>7419.5774879999999</c:v>
                </c:pt>
                <c:pt idx="2">
                  <c:v>8015.2805870000002</c:v>
                </c:pt>
                <c:pt idx="3">
                  <c:v>8657.7384529999999</c:v>
                </c:pt>
                <c:pt idx="4">
                  <c:v>9057.3271860000004</c:v>
                </c:pt>
                <c:pt idx="5">
                  <c:v>9006.5468110000002</c:v>
                </c:pt>
              </c:numCache>
            </c:numRef>
          </c:val>
          <c:extLst>
            <c:ext xmlns:c16="http://schemas.microsoft.com/office/drawing/2014/chart" uri="{C3380CC4-5D6E-409C-BE32-E72D297353CC}">
              <c16:uniqueId val="{00000000-2DEE-49E5-B7FA-533344189AE5}"/>
            </c:ext>
          </c:extLst>
        </c:ser>
        <c:ser>
          <c:idx val="1"/>
          <c:order val="1"/>
          <c:tx>
            <c:strRef>
              <c:f>label 1</c:f>
              <c:strCache>
                <c:ptCount val="1"/>
                <c:pt idx="0">
                  <c:v>Budžeta plāns</c:v>
                </c:pt>
              </c:strCache>
            </c:strRef>
          </c:tx>
          <c:spPr>
            <a:solidFill>
              <a:srgbClr val="415563"/>
            </a:solidFill>
            <a:ln w="0">
              <a:noFill/>
            </a:ln>
          </c:spPr>
          <c:invertIfNegative val="0"/>
          <c:dLbls>
            <c:spPr>
              <a:noFill/>
              <a:ln>
                <a:noFill/>
              </a:ln>
              <a:effectLst/>
            </c:spPr>
            <c:txPr>
              <a:bodyPr wrap="square"/>
              <a:lstStyle/>
              <a:p>
                <a:pPr>
                  <a:defRPr sz="1000" b="0" strike="noStrike" spc="-1">
                    <a:solidFill>
                      <a:srgbClr val="000000"/>
                    </a:solidFill>
                    <a:latin typeface="Arial"/>
                  </a:defRPr>
                </a:pPr>
                <a:endParaRPr lang="lv-LV"/>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6"/>
                <c:pt idx="0">
                  <c:v>2015</c:v>
                </c:pt>
                <c:pt idx="1">
                  <c:v>2016</c:v>
                </c:pt>
                <c:pt idx="2">
                  <c:v>2017</c:v>
                </c:pt>
                <c:pt idx="3">
                  <c:v>2018</c:v>
                </c:pt>
                <c:pt idx="4">
                  <c:v>2019</c:v>
                </c:pt>
                <c:pt idx="5">
                  <c:v>2020</c:v>
                </c:pt>
              </c:strCache>
            </c:strRef>
          </c:cat>
          <c:val>
            <c:numRef>
              <c:f>1</c:f>
              <c:numCache>
                <c:formatCode>General</c:formatCode>
                <c:ptCount val="6"/>
                <c:pt idx="0">
                  <c:v>6984.6439780000001</c:v>
                </c:pt>
                <c:pt idx="1">
                  <c:v>7363.0584799999997</c:v>
                </c:pt>
                <c:pt idx="2">
                  <c:v>7888.5780549999999</c:v>
                </c:pt>
                <c:pt idx="3">
                  <c:v>8581.0371099999993</c:v>
                </c:pt>
                <c:pt idx="4">
                  <c:v>9043.6692629999998</c:v>
                </c:pt>
                <c:pt idx="5">
                  <c:v>9681.9196940000002</c:v>
                </c:pt>
              </c:numCache>
            </c:numRef>
          </c:val>
          <c:extLst>
            <c:ext xmlns:c16="http://schemas.microsoft.com/office/drawing/2014/chart" uri="{C3380CC4-5D6E-409C-BE32-E72D297353CC}">
              <c16:uniqueId val="{00000001-2DEE-49E5-B7FA-533344189AE5}"/>
            </c:ext>
          </c:extLst>
        </c:ser>
        <c:dLbls>
          <c:showLegendKey val="0"/>
          <c:showVal val="0"/>
          <c:showCatName val="0"/>
          <c:showSerName val="0"/>
          <c:showPercent val="0"/>
          <c:showBubbleSize val="0"/>
        </c:dLbls>
        <c:gapWidth val="219"/>
        <c:overlap val="-27"/>
        <c:axId val="70209718"/>
        <c:axId val="53330629"/>
      </c:barChart>
      <c:lineChart>
        <c:grouping val="standard"/>
        <c:varyColors val="0"/>
        <c:ser>
          <c:idx val="2"/>
          <c:order val="2"/>
          <c:tx>
            <c:strRef>
              <c:f>label 2</c:f>
              <c:strCache>
                <c:ptCount val="1"/>
                <c:pt idx="0">
                  <c:v>Pārpilde</c:v>
                </c:pt>
              </c:strCache>
            </c:strRef>
          </c:tx>
          <c:spPr>
            <a:ln w="28440" cap="rnd">
              <a:solidFill>
                <a:srgbClr val="9D2234"/>
              </a:solidFill>
              <a:round/>
            </a:ln>
          </c:spPr>
          <c:marker>
            <c:symbol val="none"/>
          </c:marker>
          <c:dLbls>
            <c:spPr>
              <a:noFill/>
              <a:ln>
                <a:noFill/>
              </a:ln>
              <a:effectLst/>
            </c:spPr>
            <c:txPr>
              <a:bodyPr wrap="square"/>
              <a:lstStyle/>
              <a:p>
                <a:pPr>
                  <a:defRPr sz="1000" b="0" strike="noStrike" spc="-1">
                    <a:solidFill>
                      <a:srgbClr val="000000"/>
                    </a:solidFill>
                    <a:latin typeface="Arial"/>
                  </a:defRPr>
                </a:pPr>
                <a:endParaRPr lang="lv-LV"/>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6"/>
                <c:pt idx="0">
                  <c:v>2015</c:v>
                </c:pt>
                <c:pt idx="1">
                  <c:v>2016</c:v>
                </c:pt>
                <c:pt idx="2">
                  <c:v>2017</c:v>
                </c:pt>
                <c:pt idx="3">
                  <c:v>2018</c:v>
                </c:pt>
                <c:pt idx="4">
                  <c:v>2019</c:v>
                </c:pt>
                <c:pt idx="5">
                  <c:v>2020</c:v>
                </c:pt>
              </c:strCache>
            </c:strRef>
          </c:cat>
          <c:val>
            <c:numRef>
              <c:f>2</c:f>
              <c:numCache>
                <c:formatCode>General</c:formatCode>
                <c:ptCount val="6"/>
                <c:pt idx="0">
                  <c:v>2.5728024759175102E-3</c:v>
                </c:pt>
                <c:pt idx="1">
                  <c:v>7.6760232386472501E-3</c:v>
                </c:pt>
                <c:pt idx="2">
                  <c:v>1.6061517185558E-2</c:v>
                </c:pt>
                <c:pt idx="3">
                  <c:v>8.9384700260317605E-3</c:v>
                </c:pt>
                <c:pt idx="4">
                  <c:v>1.5102192044855699E-3</c:v>
                </c:pt>
                <c:pt idx="5">
                  <c:v>-6.9756092215734505E-2</c:v>
                </c:pt>
              </c:numCache>
            </c:numRef>
          </c:val>
          <c:smooth val="0"/>
          <c:extLst>
            <c:ext xmlns:c16="http://schemas.microsoft.com/office/drawing/2014/chart" uri="{C3380CC4-5D6E-409C-BE32-E72D297353CC}">
              <c16:uniqueId val="{00000002-2DEE-49E5-B7FA-533344189AE5}"/>
            </c:ext>
          </c:extLst>
        </c:ser>
        <c:dLbls>
          <c:showLegendKey val="0"/>
          <c:showVal val="0"/>
          <c:showCatName val="0"/>
          <c:showSerName val="0"/>
          <c:showPercent val="0"/>
          <c:showBubbleSize val="0"/>
        </c:dLbls>
        <c:hiLowLines>
          <c:spPr>
            <a:ln w="0">
              <a:noFill/>
            </a:ln>
          </c:spPr>
        </c:hiLowLines>
        <c:marker val="1"/>
        <c:smooth val="0"/>
        <c:axId val="57613432"/>
        <c:axId val="12104671"/>
      </c:lineChart>
      <c:catAx>
        <c:axId val="70209718"/>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700" b="0" strike="noStrike" spc="-1">
                <a:solidFill>
                  <a:srgbClr val="595959"/>
                </a:solidFill>
                <a:latin typeface="Verdana"/>
                <a:ea typeface="Verdana"/>
              </a:defRPr>
            </a:pPr>
            <a:endParaRPr lang="lv-LV"/>
          </a:p>
        </c:txPr>
        <c:crossAx val="53330629"/>
        <c:crosses val="autoZero"/>
        <c:auto val="1"/>
        <c:lblAlgn val="ctr"/>
        <c:lblOffset val="100"/>
        <c:noMultiLvlLbl val="0"/>
      </c:catAx>
      <c:valAx>
        <c:axId val="53330629"/>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700" b="0" strike="noStrike" spc="-1">
                <a:solidFill>
                  <a:srgbClr val="595959"/>
                </a:solidFill>
                <a:latin typeface="Verdana"/>
                <a:ea typeface="Verdana"/>
              </a:defRPr>
            </a:pPr>
            <a:endParaRPr lang="lv-LV"/>
          </a:p>
        </c:txPr>
        <c:crossAx val="70209718"/>
        <c:crosses val="autoZero"/>
        <c:crossBetween val="between"/>
      </c:valAx>
      <c:catAx>
        <c:axId val="57613432"/>
        <c:scaling>
          <c:orientation val="minMax"/>
        </c:scaling>
        <c:delete val="1"/>
        <c:axPos val="b"/>
        <c:numFmt formatCode="General" sourceLinked="1"/>
        <c:majorTickMark val="none"/>
        <c:minorTickMark val="none"/>
        <c:tickLblPos val="nextTo"/>
        <c:crossAx val="12104671"/>
        <c:crosses val="autoZero"/>
        <c:auto val="1"/>
        <c:lblAlgn val="ctr"/>
        <c:lblOffset val="100"/>
        <c:noMultiLvlLbl val="0"/>
      </c:catAx>
      <c:valAx>
        <c:axId val="12104671"/>
        <c:scaling>
          <c:orientation val="minMax"/>
        </c:scaling>
        <c:delete val="0"/>
        <c:axPos val="r"/>
        <c:numFmt formatCode="0.0%" sourceLinked="0"/>
        <c:majorTickMark val="none"/>
        <c:minorTickMark val="none"/>
        <c:tickLblPos val="nextTo"/>
        <c:spPr>
          <a:ln w="6480">
            <a:noFill/>
          </a:ln>
        </c:spPr>
        <c:txPr>
          <a:bodyPr/>
          <a:lstStyle/>
          <a:p>
            <a:pPr>
              <a:defRPr sz="700" b="0" strike="noStrike" spc="-1">
                <a:solidFill>
                  <a:srgbClr val="595959"/>
                </a:solidFill>
                <a:latin typeface="Verdana"/>
                <a:ea typeface="Verdana"/>
              </a:defRPr>
            </a:pPr>
            <a:endParaRPr lang="lv-LV"/>
          </a:p>
        </c:txPr>
        <c:crossAx val="57613432"/>
        <c:crosses val="max"/>
        <c:crossBetween val="between"/>
      </c:valAx>
      <c:spPr>
        <a:noFill/>
        <a:ln w="0">
          <a:noFill/>
        </a:ln>
      </c:spPr>
    </c:plotArea>
    <c:legend>
      <c:legendPos val="b"/>
      <c:overlay val="0"/>
      <c:spPr>
        <a:noFill/>
        <a:ln w="0">
          <a:noFill/>
        </a:ln>
      </c:spPr>
      <c:txPr>
        <a:bodyPr/>
        <a:lstStyle/>
        <a:p>
          <a:pPr>
            <a:defRPr sz="800" b="0" strike="noStrike" spc="-1">
              <a:solidFill>
                <a:srgbClr val="595959"/>
              </a:solidFill>
              <a:latin typeface="Verdana"/>
              <a:ea typeface="Verdana"/>
            </a:defRPr>
          </a:pPr>
          <a:endParaRPr lang="lv-LV"/>
        </a:p>
      </c:txPr>
    </c:legend>
    <c:plotVisOnly val="1"/>
    <c:dispBlanksAs val="gap"/>
    <c:showDLblsOverMax val="1"/>
  </c:chart>
  <c:spPr>
    <a:solidFill>
      <a:srgbClr val="FFFFFF"/>
    </a:solidFill>
    <a:ln w="9360">
      <a:solidFill>
        <a:srgbClr val="D9D9D9"/>
      </a:solidFill>
      <a:round/>
    </a:ln>
  </c:spPr>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lv-LV"/>
  <c:roundedCorners val="0"/>
  <c:style val="2"/>
  <c:chart>
    <c:autoTitleDeleted val="1"/>
    <c:plotArea>
      <c:layout>
        <c:manualLayout>
          <c:layoutTarget val="inner"/>
          <c:xMode val="edge"/>
          <c:yMode val="edge"/>
          <c:x val="7.3499999999999996E-2"/>
          <c:y val="6.0555555555555599E-2"/>
          <c:w val="0.89593750000000005"/>
          <c:h val="0.68066666666666698"/>
        </c:manualLayout>
      </c:layout>
      <c:barChart>
        <c:barDir val="col"/>
        <c:grouping val="clustered"/>
        <c:varyColors val="0"/>
        <c:ser>
          <c:idx val="0"/>
          <c:order val="0"/>
          <c:tx>
            <c:strRef>
              <c:f>label 0</c:f>
              <c:strCache>
                <c:ptCount val="1"/>
                <c:pt idx="0">
                  <c:v>ES (27 valstis)</c:v>
                </c:pt>
              </c:strCache>
            </c:strRef>
          </c:tx>
          <c:spPr>
            <a:solidFill>
              <a:srgbClr val="7DA538"/>
            </a:solidFill>
            <a:ln w="0">
              <a:noFill/>
            </a:ln>
          </c:spPr>
          <c:invertIfNegative val="0"/>
          <c:dLbls>
            <c:spPr>
              <a:noFill/>
              <a:ln>
                <a:noFill/>
              </a:ln>
              <a:effectLst/>
            </c:spPr>
            <c:txPr>
              <a:bodyPr wrap="square"/>
              <a:lstStyle/>
              <a:p>
                <a:pPr>
                  <a:defRPr sz="1000" b="0" strike="noStrike" spc="-1">
                    <a:solidFill>
                      <a:srgbClr val="000000"/>
                    </a:solidFill>
                    <a:latin typeface="Arial"/>
                  </a:defRPr>
                </a:pPr>
                <a:endParaRPr lang="lv-LV"/>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0"/>
                <c:pt idx="0">
                  <c:v>2016</c:v>
                </c:pt>
                <c:pt idx="2">
                  <c:v>2017</c:v>
                </c:pt>
                <c:pt idx="4">
                  <c:v>2018</c:v>
                </c:pt>
                <c:pt idx="6">
                  <c:v>2019</c:v>
                </c:pt>
                <c:pt idx="8">
                  <c:v>2020</c:v>
                </c:pt>
              </c:strCache>
            </c:strRef>
          </c:cat>
          <c:val>
            <c:numRef>
              <c:f>0</c:f>
              <c:numCache>
                <c:formatCode>General</c:formatCode>
                <c:ptCount val="10"/>
                <c:pt idx="0">
                  <c:v>-1.4</c:v>
                </c:pt>
                <c:pt idx="1">
                  <c:v>0</c:v>
                </c:pt>
                <c:pt idx="2">
                  <c:v>-0.8</c:v>
                </c:pt>
                <c:pt idx="3">
                  <c:v>0</c:v>
                </c:pt>
                <c:pt idx="4">
                  <c:v>-0.4</c:v>
                </c:pt>
                <c:pt idx="5">
                  <c:v>0</c:v>
                </c:pt>
                <c:pt idx="6">
                  <c:v>-0.5</c:v>
                </c:pt>
                <c:pt idx="7">
                  <c:v>0</c:v>
                </c:pt>
                <c:pt idx="8">
                  <c:v>-6.9</c:v>
                </c:pt>
                <c:pt idx="9">
                  <c:v>0</c:v>
                </c:pt>
              </c:numCache>
            </c:numRef>
          </c:val>
          <c:extLst>
            <c:ext xmlns:c16="http://schemas.microsoft.com/office/drawing/2014/chart" uri="{C3380CC4-5D6E-409C-BE32-E72D297353CC}">
              <c16:uniqueId val="{00000000-2718-48B4-9EA3-770185C35952}"/>
            </c:ext>
          </c:extLst>
        </c:ser>
        <c:ser>
          <c:idx val="1"/>
          <c:order val="1"/>
          <c:tx>
            <c:strRef>
              <c:f>label 1</c:f>
              <c:strCache>
                <c:ptCount val="1"/>
                <c:pt idx="0">
                  <c:v>Eurozona (19 valstis)</c:v>
                </c:pt>
              </c:strCache>
            </c:strRef>
          </c:tx>
          <c:spPr>
            <a:solidFill>
              <a:srgbClr val="9D2234"/>
            </a:solidFill>
            <a:ln w="0">
              <a:noFill/>
            </a:ln>
          </c:spPr>
          <c:invertIfNegative val="0"/>
          <c:dLbls>
            <c:spPr>
              <a:noFill/>
              <a:ln>
                <a:noFill/>
              </a:ln>
              <a:effectLst/>
            </c:spPr>
            <c:txPr>
              <a:bodyPr wrap="square"/>
              <a:lstStyle/>
              <a:p>
                <a:pPr>
                  <a:defRPr sz="1000" b="0" strike="noStrike" spc="-1">
                    <a:solidFill>
                      <a:srgbClr val="000000"/>
                    </a:solidFill>
                    <a:latin typeface="Arial"/>
                  </a:defRPr>
                </a:pPr>
                <a:endParaRPr lang="lv-LV"/>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0"/>
                <c:pt idx="0">
                  <c:v>2016</c:v>
                </c:pt>
                <c:pt idx="2">
                  <c:v>2017</c:v>
                </c:pt>
                <c:pt idx="4">
                  <c:v>2018</c:v>
                </c:pt>
                <c:pt idx="6">
                  <c:v>2019</c:v>
                </c:pt>
                <c:pt idx="8">
                  <c:v>2020</c:v>
                </c:pt>
              </c:strCache>
            </c:strRef>
          </c:cat>
          <c:val>
            <c:numRef>
              <c:f>1</c:f>
              <c:numCache>
                <c:formatCode>General</c:formatCode>
                <c:ptCount val="10"/>
                <c:pt idx="0">
                  <c:v>-1.5</c:v>
                </c:pt>
                <c:pt idx="1">
                  <c:v>0</c:v>
                </c:pt>
                <c:pt idx="2">
                  <c:v>-0.9</c:v>
                </c:pt>
                <c:pt idx="3">
                  <c:v>0</c:v>
                </c:pt>
                <c:pt idx="4">
                  <c:v>-0.5</c:v>
                </c:pt>
                <c:pt idx="5">
                  <c:v>0</c:v>
                </c:pt>
                <c:pt idx="6">
                  <c:v>-0.6</c:v>
                </c:pt>
                <c:pt idx="7">
                  <c:v>0</c:v>
                </c:pt>
                <c:pt idx="8">
                  <c:v>-7.2</c:v>
                </c:pt>
                <c:pt idx="9">
                  <c:v>0</c:v>
                </c:pt>
              </c:numCache>
            </c:numRef>
          </c:val>
          <c:extLst>
            <c:ext xmlns:c16="http://schemas.microsoft.com/office/drawing/2014/chart" uri="{C3380CC4-5D6E-409C-BE32-E72D297353CC}">
              <c16:uniqueId val="{00000001-2718-48B4-9EA3-770185C35952}"/>
            </c:ext>
          </c:extLst>
        </c:ser>
        <c:ser>
          <c:idx val="2"/>
          <c:order val="2"/>
          <c:tx>
            <c:strRef>
              <c:f>label 2</c:f>
              <c:strCache>
                <c:ptCount val="1"/>
                <c:pt idx="0">
                  <c:v>Igaunija</c:v>
                </c:pt>
              </c:strCache>
            </c:strRef>
          </c:tx>
          <c:spPr>
            <a:solidFill>
              <a:srgbClr val="828992"/>
            </a:solidFill>
            <a:ln w="0">
              <a:noFill/>
            </a:ln>
          </c:spPr>
          <c:invertIfNegative val="0"/>
          <c:dLbls>
            <c:spPr>
              <a:noFill/>
              <a:ln>
                <a:noFill/>
              </a:ln>
              <a:effectLst/>
            </c:spPr>
            <c:txPr>
              <a:bodyPr wrap="square"/>
              <a:lstStyle/>
              <a:p>
                <a:pPr>
                  <a:defRPr sz="1000" b="0" strike="noStrike" spc="-1">
                    <a:solidFill>
                      <a:srgbClr val="000000"/>
                    </a:solidFill>
                    <a:latin typeface="Arial"/>
                  </a:defRPr>
                </a:pPr>
                <a:endParaRPr lang="lv-LV"/>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0"/>
                <c:pt idx="0">
                  <c:v>2016</c:v>
                </c:pt>
                <c:pt idx="2">
                  <c:v>2017</c:v>
                </c:pt>
                <c:pt idx="4">
                  <c:v>2018</c:v>
                </c:pt>
                <c:pt idx="6">
                  <c:v>2019</c:v>
                </c:pt>
                <c:pt idx="8">
                  <c:v>2020</c:v>
                </c:pt>
              </c:strCache>
            </c:strRef>
          </c:cat>
          <c:val>
            <c:numRef>
              <c:f>2</c:f>
              <c:numCache>
                <c:formatCode>General</c:formatCode>
                <c:ptCount val="10"/>
                <c:pt idx="0">
                  <c:v>-0.4</c:v>
                </c:pt>
                <c:pt idx="1">
                  <c:v>0</c:v>
                </c:pt>
                <c:pt idx="2">
                  <c:v>-0.7</c:v>
                </c:pt>
                <c:pt idx="3">
                  <c:v>0</c:v>
                </c:pt>
                <c:pt idx="4">
                  <c:v>-0.6</c:v>
                </c:pt>
                <c:pt idx="5">
                  <c:v>0</c:v>
                </c:pt>
                <c:pt idx="6">
                  <c:v>0.1</c:v>
                </c:pt>
                <c:pt idx="7">
                  <c:v>0</c:v>
                </c:pt>
                <c:pt idx="8">
                  <c:v>-4.9000000000000004</c:v>
                </c:pt>
                <c:pt idx="9">
                  <c:v>0</c:v>
                </c:pt>
              </c:numCache>
            </c:numRef>
          </c:val>
          <c:extLst>
            <c:ext xmlns:c16="http://schemas.microsoft.com/office/drawing/2014/chart" uri="{C3380CC4-5D6E-409C-BE32-E72D297353CC}">
              <c16:uniqueId val="{00000002-2718-48B4-9EA3-770185C35952}"/>
            </c:ext>
          </c:extLst>
        </c:ser>
        <c:ser>
          <c:idx val="3"/>
          <c:order val="3"/>
          <c:tx>
            <c:strRef>
              <c:f>label 3</c:f>
              <c:strCache>
                <c:ptCount val="1"/>
                <c:pt idx="0">
                  <c:v>Latvija</c:v>
                </c:pt>
              </c:strCache>
            </c:strRef>
          </c:tx>
          <c:spPr>
            <a:solidFill>
              <a:srgbClr val="4B6322"/>
            </a:solidFill>
            <a:ln w="0">
              <a:noFill/>
            </a:ln>
          </c:spPr>
          <c:invertIfNegative val="0"/>
          <c:dLbls>
            <c:spPr>
              <a:noFill/>
              <a:ln>
                <a:noFill/>
              </a:ln>
              <a:effectLst/>
            </c:spPr>
            <c:txPr>
              <a:bodyPr wrap="square"/>
              <a:lstStyle/>
              <a:p>
                <a:pPr>
                  <a:defRPr sz="1000" b="0" strike="noStrike" spc="-1">
                    <a:solidFill>
                      <a:srgbClr val="000000"/>
                    </a:solidFill>
                    <a:latin typeface="Arial"/>
                  </a:defRPr>
                </a:pPr>
                <a:endParaRPr lang="lv-LV"/>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0"/>
                <c:pt idx="0">
                  <c:v>2016</c:v>
                </c:pt>
                <c:pt idx="2">
                  <c:v>2017</c:v>
                </c:pt>
                <c:pt idx="4">
                  <c:v>2018</c:v>
                </c:pt>
                <c:pt idx="6">
                  <c:v>2019</c:v>
                </c:pt>
                <c:pt idx="8">
                  <c:v>2020</c:v>
                </c:pt>
              </c:strCache>
            </c:strRef>
          </c:cat>
          <c:val>
            <c:numRef>
              <c:f>3</c:f>
              <c:numCache>
                <c:formatCode>General</c:formatCode>
                <c:ptCount val="10"/>
                <c:pt idx="0">
                  <c:v>0.2</c:v>
                </c:pt>
                <c:pt idx="1">
                  <c:v>0</c:v>
                </c:pt>
                <c:pt idx="2">
                  <c:v>-0.8</c:v>
                </c:pt>
                <c:pt idx="3">
                  <c:v>0</c:v>
                </c:pt>
                <c:pt idx="4">
                  <c:v>-0.8</c:v>
                </c:pt>
                <c:pt idx="5">
                  <c:v>0</c:v>
                </c:pt>
                <c:pt idx="6">
                  <c:v>-0.6</c:v>
                </c:pt>
                <c:pt idx="7">
                  <c:v>0</c:v>
                </c:pt>
                <c:pt idx="8">
                  <c:v>-4.5</c:v>
                </c:pt>
                <c:pt idx="9">
                  <c:v>0</c:v>
                </c:pt>
              </c:numCache>
            </c:numRef>
          </c:val>
          <c:extLst>
            <c:ext xmlns:c16="http://schemas.microsoft.com/office/drawing/2014/chart" uri="{C3380CC4-5D6E-409C-BE32-E72D297353CC}">
              <c16:uniqueId val="{00000003-2718-48B4-9EA3-770185C35952}"/>
            </c:ext>
          </c:extLst>
        </c:ser>
        <c:ser>
          <c:idx val="4"/>
          <c:order val="4"/>
          <c:tx>
            <c:strRef>
              <c:f>label 4</c:f>
              <c:strCache>
                <c:ptCount val="1"/>
                <c:pt idx="0">
                  <c:v>Lietuva</c:v>
                </c:pt>
              </c:strCache>
            </c:strRef>
          </c:tx>
          <c:spPr>
            <a:solidFill>
              <a:srgbClr val="5E141F"/>
            </a:solidFill>
            <a:ln w="0">
              <a:noFill/>
            </a:ln>
          </c:spPr>
          <c:invertIfNegative val="0"/>
          <c:dLbls>
            <c:spPr>
              <a:noFill/>
              <a:ln>
                <a:noFill/>
              </a:ln>
              <a:effectLst/>
            </c:spPr>
            <c:txPr>
              <a:bodyPr wrap="square"/>
              <a:lstStyle/>
              <a:p>
                <a:pPr>
                  <a:defRPr sz="1000" b="0" strike="noStrike" spc="-1">
                    <a:solidFill>
                      <a:srgbClr val="000000"/>
                    </a:solidFill>
                    <a:latin typeface="Arial"/>
                  </a:defRPr>
                </a:pPr>
                <a:endParaRPr lang="lv-LV"/>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0"/>
                <c:pt idx="0">
                  <c:v>2016</c:v>
                </c:pt>
                <c:pt idx="2">
                  <c:v>2017</c:v>
                </c:pt>
                <c:pt idx="4">
                  <c:v>2018</c:v>
                </c:pt>
                <c:pt idx="6">
                  <c:v>2019</c:v>
                </c:pt>
                <c:pt idx="8">
                  <c:v>2020</c:v>
                </c:pt>
              </c:strCache>
            </c:strRef>
          </c:cat>
          <c:val>
            <c:numRef>
              <c:f>4</c:f>
              <c:numCache>
                <c:formatCode>General</c:formatCode>
                <c:ptCount val="10"/>
                <c:pt idx="0">
                  <c:v>0.2</c:v>
                </c:pt>
                <c:pt idx="1">
                  <c:v>0</c:v>
                </c:pt>
                <c:pt idx="2">
                  <c:v>0.5</c:v>
                </c:pt>
                <c:pt idx="3">
                  <c:v>0</c:v>
                </c:pt>
                <c:pt idx="4">
                  <c:v>0.6</c:v>
                </c:pt>
                <c:pt idx="5">
                  <c:v>0</c:v>
                </c:pt>
                <c:pt idx="6">
                  <c:v>0.5</c:v>
                </c:pt>
                <c:pt idx="7">
                  <c:v>0</c:v>
                </c:pt>
                <c:pt idx="8">
                  <c:v>-7.4</c:v>
                </c:pt>
                <c:pt idx="9">
                  <c:v>0</c:v>
                </c:pt>
              </c:numCache>
            </c:numRef>
          </c:val>
          <c:extLst>
            <c:ext xmlns:c16="http://schemas.microsoft.com/office/drawing/2014/chart" uri="{C3380CC4-5D6E-409C-BE32-E72D297353CC}">
              <c16:uniqueId val="{00000004-2718-48B4-9EA3-770185C35952}"/>
            </c:ext>
          </c:extLst>
        </c:ser>
        <c:dLbls>
          <c:showLegendKey val="0"/>
          <c:showVal val="0"/>
          <c:showCatName val="0"/>
          <c:showSerName val="0"/>
          <c:showPercent val="0"/>
          <c:showBubbleSize val="0"/>
        </c:dLbls>
        <c:gapWidth val="219"/>
        <c:overlap val="-27"/>
        <c:axId val="87548237"/>
        <c:axId val="5035052"/>
      </c:barChart>
      <c:catAx>
        <c:axId val="87548237"/>
        <c:scaling>
          <c:orientation val="minMax"/>
        </c:scaling>
        <c:delete val="0"/>
        <c:axPos val="b"/>
        <c:numFmt formatCode="General" sourceLinked="0"/>
        <c:majorTickMark val="none"/>
        <c:minorTickMark val="none"/>
        <c:tickLblPos val="low"/>
        <c:spPr>
          <a:ln w="9360">
            <a:solidFill>
              <a:srgbClr val="D9D9D9"/>
            </a:solidFill>
            <a:round/>
          </a:ln>
        </c:spPr>
        <c:txPr>
          <a:bodyPr/>
          <a:lstStyle/>
          <a:p>
            <a:pPr>
              <a:defRPr sz="700" b="0" strike="noStrike" spc="-1">
                <a:solidFill>
                  <a:srgbClr val="595959"/>
                </a:solidFill>
                <a:latin typeface="Verdana"/>
                <a:ea typeface="Verdana"/>
              </a:defRPr>
            </a:pPr>
            <a:endParaRPr lang="lv-LV"/>
          </a:p>
        </c:txPr>
        <c:crossAx val="5035052"/>
        <c:crosses val="autoZero"/>
        <c:auto val="1"/>
        <c:lblAlgn val="ctr"/>
        <c:lblOffset val="100"/>
        <c:noMultiLvlLbl val="0"/>
      </c:catAx>
      <c:valAx>
        <c:axId val="5035052"/>
        <c:scaling>
          <c:orientation val="minMax"/>
        </c:scaling>
        <c:delete val="0"/>
        <c:axPos val="l"/>
        <c:majorGridlines>
          <c:spPr>
            <a:ln w="9360">
              <a:solidFill>
                <a:srgbClr val="D9D9D9"/>
              </a:solidFill>
              <a:round/>
            </a:ln>
          </c:spPr>
        </c:majorGridlines>
        <c:numFmt formatCode="#\ ##0.##########" sourceLinked="0"/>
        <c:majorTickMark val="none"/>
        <c:minorTickMark val="none"/>
        <c:tickLblPos val="nextTo"/>
        <c:spPr>
          <a:ln w="6480">
            <a:noFill/>
          </a:ln>
        </c:spPr>
        <c:txPr>
          <a:bodyPr/>
          <a:lstStyle/>
          <a:p>
            <a:pPr>
              <a:defRPr sz="700" b="0" strike="noStrike" spc="-1">
                <a:solidFill>
                  <a:srgbClr val="595959"/>
                </a:solidFill>
                <a:latin typeface="Verdana"/>
                <a:ea typeface="Verdana"/>
              </a:defRPr>
            </a:pPr>
            <a:endParaRPr lang="lv-LV"/>
          </a:p>
        </c:txPr>
        <c:crossAx val="87548237"/>
        <c:crosses val="autoZero"/>
        <c:crossBetween val="between"/>
      </c:valAx>
      <c:spPr>
        <a:noFill/>
        <a:ln w="0">
          <a:noFill/>
        </a:ln>
      </c:spPr>
    </c:plotArea>
    <c:legend>
      <c:legendPos val="b"/>
      <c:layout>
        <c:manualLayout>
          <c:xMode val="edge"/>
          <c:yMode val="edge"/>
          <c:x val="3.4625000000000003E-2"/>
          <c:y val="0.82455555555555604"/>
          <c:w val="0.94730920682542696"/>
          <c:h val="0.14757195243915999"/>
        </c:manualLayout>
      </c:layout>
      <c:overlay val="0"/>
      <c:spPr>
        <a:noFill/>
        <a:ln w="0">
          <a:noFill/>
        </a:ln>
      </c:spPr>
      <c:txPr>
        <a:bodyPr/>
        <a:lstStyle/>
        <a:p>
          <a:pPr>
            <a:defRPr sz="800" b="0" strike="noStrike" spc="-1">
              <a:solidFill>
                <a:srgbClr val="595959"/>
              </a:solidFill>
              <a:latin typeface="Verdana"/>
              <a:ea typeface="Verdana"/>
            </a:defRPr>
          </a:pPr>
          <a:endParaRPr lang="lv-LV"/>
        </a:p>
      </c:txPr>
    </c:legend>
    <c:plotVisOnly val="1"/>
    <c:dispBlanksAs val="gap"/>
    <c:showDLblsOverMax val="1"/>
  </c:chart>
  <c:spPr>
    <a:solidFill>
      <a:srgbClr val="FFFFFF"/>
    </a:solidFill>
    <a:ln w="9360">
      <a:solidFill>
        <a:srgbClr val="D9D9D9"/>
      </a:solidFill>
      <a:round/>
    </a:ln>
  </c:spPr>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lv-LV"/>
  <c:roundedCorners val="0"/>
  <c:style val="2"/>
  <c:chart>
    <c:autoTitleDeleted val="1"/>
    <c:plotArea>
      <c:layout/>
      <c:lineChart>
        <c:grouping val="standard"/>
        <c:varyColors val="0"/>
        <c:ser>
          <c:idx val="0"/>
          <c:order val="0"/>
          <c:tx>
            <c:strRef>
              <c:f>label 0</c:f>
              <c:strCache>
                <c:ptCount val="1"/>
                <c:pt idx="0">
                  <c:v>FDP Apstiprinātais IKP pieauguma bāzes scenārijs</c:v>
                </c:pt>
              </c:strCache>
            </c:strRef>
          </c:tx>
          <c:spPr>
            <a:ln w="28440" cap="rnd">
              <a:solidFill>
                <a:srgbClr val="0057B8"/>
              </a:solidFill>
              <a:round/>
            </a:ln>
          </c:spPr>
          <c:marker>
            <c:symbol val="none"/>
          </c:marker>
          <c:dLbls>
            <c:numFmt formatCode="0.0" sourceLinked="0"/>
            <c:spPr>
              <a:noFill/>
              <a:ln>
                <a:noFill/>
              </a:ln>
              <a:effectLst/>
            </c:spPr>
            <c:txPr>
              <a:bodyPr wrap="square"/>
              <a:lstStyle/>
              <a:p>
                <a:pPr>
                  <a:defRPr sz="900" b="0" strike="noStrike" spc="-1">
                    <a:solidFill>
                      <a:srgbClr val="404040"/>
                    </a:solidFill>
                    <a:latin typeface="Arial"/>
                  </a:defRPr>
                </a:pPr>
                <a:endParaRPr lang="lv-LV"/>
              </a:p>
            </c:txPr>
            <c:dLblPos val="t"/>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5"/>
                <c:pt idx="0">
                  <c:v>2020</c:v>
                </c:pt>
                <c:pt idx="1">
                  <c:v>2021</c:v>
                </c:pt>
                <c:pt idx="2">
                  <c:v>2022</c:v>
                </c:pt>
                <c:pt idx="3">
                  <c:v>2023</c:v>
                </c:pt>
                <c:pt idx="4">
                  <c:v>2024</c:v>
                </c:pt>
              </c:strCache>
            </c:strRef>
          </c:cat>
          <c:val>
            <c:numRef>
              <c:f>0</c:f>
              <c:numCache>
                <c:formatCode>General</c:formatCode>
                <c:ptCount val="5"/>
                <c:pt idx="0">
                  <c:v>-3.6236839156903198</c:v>
                </c:pt>
                <c:pt idx="1">
                  <c:v>3.68069822316586</c:v>
                </c:pt>
                <c:pt idx="2">
                  <c:v>4.9590161239075501</c:v>
                </c:pt>
                <c:pt idx="3">
                  <c:v>3.46254657149816</c:v>
                </c:pt>
                <c:pt idx="4">
                  <c:v>3.3612561454183298</c:v>
                </c:pt>
              </c:numCache>
            </c:numRef>
          </c:val>
          <c:smooth val="0"/>
          <c:extLst>
            <c:ext xmlns:c16="http://schemas.microsoft.com/office/drawing/2014/chart" uri="{C3380CC4-5D6E-409C-BE32-E72D297353CC}">
              <c16:uniqueId val="{00000000-AFF3-408A-AEA4-FAF092269A2D}"/>
            </c:ext>
          </c:extLst>
        </c:ser>
        <c:ser>
          <c:idx val="1"/>
          <c:order val="1"/>
          <c:tx>
            <c:strRef>
              <c:f>label 1</c:f>
              <c:strCache>
                <c:ptCount val="1"/>
                <c:pt idx="0">
                  <c:v>FM aprēķinātais IKP pieauguma pesimistiskais  scenārijs</c:v>
                </c:pt>
              </c:strCache>
            </c:strRef>
          </c:tx>
          <c:spPr>
            <a:ln w="28440" cap="rnd">
              <a:solidFill>
                <a:srgbClr val="1F2A44"/>
              </a:solidFill>
              <a:prstDash val="dash"/>
              <a:round/>
            </a:ln>
          </c:spPr>
          <c:marker>
            <c:symbol val="none"/>
          </c:marker>
          <c:dPt>
            <c:idx val="1"/>
            <c:bubble3D val="0"/>
            <c:extLst>
              <c:ext xmlns:c16="http://schemas.microsoft.com/office/drawing/2014/chart" uri="{C3380CC4-5D6E-409C-BE32-E72D297353CC}">
                <c16:uniqueId val="{00000001-AFF3-408A-AEA4-FAF092269A2D}"/>
              </c:ext>
            </c:extLst>
          </c:dPt>
          <c:dLbls>
            <c:dLbl>
              <c:idx val="1"/>
              <c:layout>
                <c:manualLayout>
                  <c:x val="-2.51068760574088E-2"/>
                  <c:y val="2.8576480023330401E-2"/>
                </c:manualLayout>
              </c:layout>
              <c:numFmt formatCode="0.0" sourceLinked="0"/>
              <c:spPr/>
              <c:txPr>
                <a:bodyPr wrap="square"/>
                <a:lstStyle/>
                <a:p>
                  <a:pPr>
                    <a:defRPr sz="900" b="0" strike="noStrike" spc="-1">
                      <a:solidFill>
                        <a:srgbClr val="404040"/>
                      </a:solidFill>
                      <a:latin typeface="Arial"/>
                    </a:defRPr>
                  </a:pPr>
                  <a:endParaRPr lang="lv-LV"/>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AFF3-408A-AEA4-FAF092269A2D}"/>
                </c:ext>
              </c:extLst>
            </c:dLbl>
            <c:numFmt formatCode="0.0" sourceLinked="0"/>
            <c:spPr>
              <a:noFill/>
              <a:ln>
                <a:noFill/>
              </a:ln>
              <a:effectLst/>
            </c:spPr>
            <c:txPr>
              <a:bodyPr wrap="square"/>
              <a:lstStyle/>
              <a:p>
                <a:pPr>
                  <a:defRPr sz="900" b="0" strike="noStrike" spc="-1">
                    <a:solidFill>
                      <a:srgbClr val="404040"/>
                    </a:solidFill>
                    <a:latin typeface="Arial"/>
                  </a:defRPr>
                </a:pPr>
                <a:endParaRPr lang="lv-LV"/>
              </a:p>
            </c:txPr>
            <c:dLblPos val="b"/>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5"/>
                <c:pt idx="0">
                  <c:v>2020</c:v>
                </c:pt>
                <c:pt idx="1">
                  <c:v>2021</c:v>
                </c:pt>
                <c:pt idx="2">
                  <c:v>2022</c:v>
                </c:pt>
                <c:pt idx="3">
                  <c:v>2023</c:v>
                </c:pt>
                <c:pt idx="4">
                  <c:v>2024</c:v>
                </c:pt>
              </c:strCache>
            </c:strRef>
          </c:cat>
          <c:val>
            <c:numRef>
              <c:f>1</c:f>
              <c:numCache>
                <c:formatCode>General</c:formatCode>
                <c:ptCount val="5"/>
                <c:pt idx="0">
                  <c:v>-3.6236839156903198</c:v>
                </c:pt>
                <c:pt idx="1">
                  <c:v>3</c:v>
                </c:pt>
                <c:pt idx="2">
                  <c:v>2.5</c:v>
                </c:pt>
                <c:pt idx="3">
                  <c:v>3.4</c:v>
                </c:pt>
                <c:pt idx="4">
                  <c:v>3.4</c:v>
                </c:pt>
              </c:numCache>
            </c:numRef>
          </c:val>
          <c:smooth val="0"/>
          <c:extLst>
            <c:ext xmlns:c16="http://schemas.microsoft.com/office/drawing/2014/chart" uri="{C3380CC4-5D6E-409C-BE32-E72D297353CC}">
              <c16:uniqueId val="{00000002-AFF3-408A-AEA4-FAF092269A2D}"/>
            </c:ext>
          </c:extLst>
        </c:ser>
        <c:ser>
          <c:idx val="2"/>
          <c:order val="2"/>
          <c:tx>
            <c:strRef>
              <c:f>label 2</c:f>
              <c:strCache>
                <c:ptCount val="1"/>
                <c:pt idx="0">
                  <c:v>2019. gada reālais IKP (pirmskrīzes mērķa vērtība)</c:v>
                </c:pt>
              </c:strCache>
            </c:strRef>
          </c:tx>
          <c:spPr>
            <a:ln w="28440" cap="rnd">
              <a:solidFill>
                <a:srgbClr val="9D2234"/>
              </a:solidFill>
              <a:round/>
            </a:ln>
          </c:spPr>
          <c:marker>
            <c:symbol val="none"/>
          </c:marker>
          <c:dLbls>
            <c:spPr>
              <a:noFill/>
              <a:ln>
                <a:noFill/>
              </a:ln>
              <a:effectLst/>
            </c:spPr>
            <c:txPr>
              <a:bodyPr wrap="none"/>
              <a:lstStyle/>
              <a:p>
                <a:pPr>
                  <a:defRPr sz="1000" b="0" strike="noStrike" spc="-1">
                    <a:solidFill>
                      <a:srgbClr val="000000"/>
                    </a:solidFill>
                    <a:latin typeface="Arial"/>
                  </a:defRPr>
                </a:pPr>
                <a:endParaRPr lang="lv-LV"/>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5"/>
                <c:pt idx="0">
                  <c:v>2020</c:v>
                </c:pt>
                <c:pt idx="1">
                  <c:v>2021</c:v>
                </c:pt>
                <c:pt idx="2">
                  <c:v>2022</c:v>
                </c:pt>
                <c:pt idx="3">
                  <c:v>2023</c:v>
                </c:pt>
                <c:pt idx="4">
                  <c:v>2024</c:v>
                </c:pt>
              </c:strCache>
            </c:strRef>
          </c:cat>
          <c:val>
            <c:numRef>
              <c:f>2</c:f>
              <c:numCache>
                <c:formatCode>General</c:formatCode>
                <c:ptCount val="5"/>
                <c:pt idx="0">
                  <c:v>2</c:v>
                </c:pt>
                <c:pt idx="1">
                  <c:v>2</c:v>
                </c:pt>
                <c:pt idx="2">
                  <c:v>2</c:v>
                </c:pt>
                <c:pt idx="3">
                  <c:v>2</c:v>
                </c:pt>
                <c:pt idx="4">
                  <c:v>2</c:v>
                </c:pt>
              </c:numCache>
            </c:numRef>
          </c:val>
          <c:smooth val="0"/>
          <c:extLst>
            <c:ext xmlns:c16="http://schemas.microsoft.com/office/drawing/2014/chart" uri="{C3380CC4-5D6E-409C-BE32-E72D297353CC}">
              <c16:uniqueId val="{00000003-AFF3-408A-AEA4-FAF092269A2D}"/>
            </c:ext>
          </c:extLst>
        </c:ser>
        <c:dLbls>
          <c:showLegendKey val="0"/>
          <c:showVal val="0"/>
          <c:showCatName val="0"/>
          <c:showSerName val="0"/>
          <c:showPercent val="0"/>
          <c:showBubbleSize val="0"/>
        </c:dLbls>
        <c:hiLowLines>
          <c:spPr>
            <a:ln w="0">
              <a:noFill/>
            </a:ln>
          </c:spPr>
        </c:hiLowLines>
        <c:smooth val="0"/>
        <c:axId val="67687221"/>
        <c:axId val="17486084"/>
      </c:lineChart>
      <c:catAx>
        <c:axId val="67687221"/>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Arial"/>
              </a:defRPr>
            </a:pPr>
            <a:endParaRPr lang="lv-LV"/>
          </a:p>
        </c:txPr>
        <c:crossAx val="17486084"/>
        <c:crosses val="autoZero"/>
        <c:auto val="1"/>
        <c:lblAlgn val="ctr"/>
        <c:lblOffset val="100"/>
        <c:noMultiLvlLbl val="0"/>
      </c:catAx>
      <c:valAx>
        <c:axId val="17486084"/>
        <c:scaling>
          <c:orientation val="minMax"/>
        </c:scaling>
        <c:delete val="0"/>
        <c:axPos val="l"/>
        <c:majorGridlines>
          <c:spPr>
            <a:ln w="9360">
              <a:solidFill>
                <a:srgbClr val="D9D9D9"/>
              </a:solidFill>
              <a:round/>
            </a:ln>
          </c:spPr>
        </c:majorGridlines>
        <c:title>
          <c:tx>
            <c:rich>
              <a:bodyPr rot="-5400000"/>
              <a:lstStyle/>
              <a:p>
                <a:pPr>
                  <a:defRPr lang="lv-LV" sz="1000" b="0" strike="noStrike" spc="-1">
                    <a:solidFill>
                      <a:srgbClr val="000000"/>
                    </a:solidFill>
                    <a:latin typeface="Arial"/>
                  </a:defRPr>
                </a:pPr>
                <a:r>
                  <a:rPr lang="lv-LV" sz="1000" b="0" strike="noStrike" spc="-1">
                    <a:solidFill>
                      <a:srgbClr val="000000"/>
                    </a:solidFill>
                    <a:latin typeface="Arial"/>
                  </a:rPr>
                  <a:t>%</a:t>
                </a:r>
              </a:p>
            </c:rich>
          </c:tx>
          <c:overlay val="0"/>
          <c:spPr>
            <a:noFill/>
            <a:ln w="0">
              <a:noFill/>
            </a:ln>
          </c:spPr>
        </c:title>
        <c:numFmt formatCode="0.0" sourceLinked="0"/>
        <c:majorTickMark val="none"/>
        <c:minorTickMark val="none"/>
        <c:tickLblPos val="nextTo"/>
        <c:spPr>
          <a:ln w="6480">
            <a:noFill/>
          </a:ln>
        </c:spPr>
        <c:txPr>
          <a:bodyPr/>
          <a:lstStyle/>
          <a:p>
            <a:pPr>
              <a:defRPr sz="900" b="0" strike="noStrike" spc="-1">
                <a:solidFill>
                  <a:srgbClr val="000000"/>
                </a:solidFill>
                <a:latin typeface="Arial"/>
              </a:defRPr>
            </a:pPr>
            <a:endParaRPr lang="lv-LV"/>
          </a:p>
        </c:txPr>
        <c:crossAx val="67687221"/>
        <c:crosses val="autoZero"/>
        <c:crossBetween val="between"/>
      </c:valAx>
      <c:spPr>
        <a:noFill/>
        <a:ln w="0">
          <a:noFill/>
        </a:ln>
      </c:spPr>
    </c:plotArea>
    <c:legend>
      <c:legendPos val="b"/>
      <c:overlay val="0"/>
      <c:spPr>
        <a:noFill/>
        <a:ln w="0">
          <a:noFill/>
        </a:ln>
      </c:spPr>
      <c:txPr>
        <a:bodyPr/>
        <a:lstStyle/>
        <a:p>
          <a:pPr>
            <a:defRPr sz="900" b="0" strike="noStrike" spc="-1">
              <a:solidFill>
                <a:srgbClr val="000000"/>
              </a:solidFill>
              <a:latin typeface="Arial"/>
            </a:defRPr>
          </a:pPr>
          <a:endParaRPr lang="lv-LV"/>
        </a:p>
      </c:txPr>
    </c:legend>
    <c:plotVisOnly val="1"/>
    <c:dispBlanksAs val="gap"/>
    <c:showDLblsOverMax val="1"/>
  </c:chart>
  <c:spPr>
    <a:solidFill>
      <a:srgbClr val="FFFFFF"/>
    </a:solidFill>
    <a:ln w="9360">
      <a:solidFill>
        <a:srgbClr val="D9D9D9"/>
      </a:solidFill>
      <a:round/>
    </a:ln>
  </c:spPr>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lv-LV"/>
  <c:roundedCorners val="0"/>
  <c:style val="2"/>
  <c:chart>
    <c:autoTitleDeleted val="1"/>
    <c:plotArea>
      <c:layout/>
      <c:lineChart>
        <c:grouping val="standard"/>
        <c:varyColors val="0"/>
        <c:ser>
          <c:idx val="0"/>
          <c:order val="0"/>
          <c:tx>
            <c:strRef>
              <c:f>label 0</c:f>
              <c:strCache>
                <c:ptCount val="1"/>
                <c:pt idx="0">
                  <c:v>Harmonizētais PCI</c:v>
                </c:pt>
              </c:strCache>
            </c:strRef>
          </c:tx>
          <c:spPr>
            <a:ln w="28440" cap="rnd">
              <a:solidFill>
                <a:srgbClr val="0057B8"/>
              </a:solidFill>
              <a:round/>
            </a:ln>
          </c:spPr>
          <c:marker>
            <c:symbol val="none"/>
          </c:marker>
          <c:dPt>
            <c:idx val="10"/>
            <c:bubble3D val="0"/>
            <c:extLst>
              <c:ext xmlns:c16="http://schemas.microsoft.com/office/drawing/2014/chart" uri="{C3380CC4-5D6E-409C-BE32-E72D297353CC}">
                <c16:uniqueId val="{00000000-7C02-4B9E-B8D4-DCE8A71959BB}"/>
              </c:ext>
            </c:extLst>
          </c:dPt>
          <c:dLbls>
            <c:dLbl>
              <c:idx val="10"/>
              <c:numFmt formatCode="#\ ##0.##########" sourceLinked="0"/>
              <c:spPr/>
              <c:txPr>
                <a:bodyPr wrap="square"/>
                <a:lstStyle/>
                <a:p>
                  <a:pPr>
                    <a:defRPr sz="900" b="0" strike="noStrike" spc="-1">
                      <a:solidFill>
                        <a:srgbClr val="404040"/>
                      </a:solidFill>
                      <a:latin typeface="Arial"/>
                    </a:defRPr>
                  </a:pPr>
                  <a:endParaRPr lang="lv-LV"/>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0-7C02-4B9E-B8D4-DCE8A71959BB}"/>
                </c:ext>
              </c:extLst>
            </c:dLbl>
            <c:spPr>
              <a:noFill/>
              <a:ln>
                <a:noFill/>
              </a:ln>
              <a:effectLst/>
            </c:spPr>
            <c:txPr>
              <a:bodyPr wrap="square"/>
              <a:lstStyle/>
              <a:p>
                <a:pPr>
                  <a:defRPr sz="900" b="0" strike="noStrike" spc="-1">
                    <a:solidFill>
                      <a:srgbClr val="404040"/>
                    </a:solidFill>
                    <a:latin typeface="Arial"/>
                  </a:defRPr>
                </a:pPr>
                <a:endParaRPr lang="lv-LV"/>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1"/>
                <c:pt idx="0">
                  <c:v>2020-11</c:v>
                </c:pt>
                <c:pt idx="1">
                  <c:v>2020-12</c:v>
                </c:pt>
                <c:pt idx="2">
                  <c:v>2021-01</c:v>
                </c:pt>
                <c:pt idx="3">
                  <c:v>2021-02</c:v>
                </c:pt>
                <c:pt idx="4">
                  <c:v>2021-03</c:v>
                </c:pt>
                <c:pt idx="5">
                  <c:v>2021-04</c:v>
                </c:pt>
                <c:pt idx="6">
                  <c:v>2021-05</c:v>
                </c:pt>
                <c:pt idx="7">
                  <c:v>2021-06</c:v>
                </c:pt>
                <c:pt idx="8">
                  <c:v>2021-07</c:v>
                </c:pt>
                <c:pt idx="9">
                  <c:v>2021-08</c:v>
                </c:pt>
                <c:pt idx="10">
                  <c:v>2021-09</c:v>
                </c:pt>
              </c:strCache>
            </c:strRef>
          </c:cat>
          <c:val>
            <c:numRef>
              <c:f>0</c:f>
              <c:numCache>
                <c:formatCode>General</c:formatCode>
                <c:ptCount val="11"/>
                <c:pt idx="0">
                  <c:v>-0.7</c:v>
                </c:pt>
                <c:pt idx="1">
                  <c:v>-0.5</c:v>
                </c:pt>
                <c:pt idx="2">
                  <c:v>-0.5</c:v>
                </c:pt>
                <c:pt idx="3">
                  <c:v>-0.2</c:v>
                </c:pt>
                <c:pt idx="4">
                  <c:v>0.3</c:v>
                </c:pt>
                <c:pt idx="5">
                  <c:v>1.7</c:v>
                </c:pt>
                <c:pt idx="6">
                  <c:v>2.6</c:v>
                </c:pt>
                <c:pt idx="7">
                  <c:v>2.7</c:v>
                </c:pt>
                <c:pt idx="8">
                  <c:v>2.8</c:v>
                </c:pt>
                <c:pt idx="9">
                  <c:v>3.6</c:v>
                </c:pt>
                <c:pt idx="10">
                  <c:v>4.5999999999999996</c:v>
                </c:pt>
              </c:numCache>
            </c:numRef>
          </c:val>
          <c:smooth val="0"/>
          <c:extLst>
            <c:ext xmlns:c16="http://schemas.microsoft.com/office/drawing/2014/chart" uri="{C3380CC4-5D6E-409C-BE32-E72D297353CC}">
              <c16:uniqueId val="{00000001-7C02-4B9E-B8D4-DCE8A71959BB}"/>
            </c:ext>
          </c:extLst>
        </c:ser>
        <c:ser>
          <c:idx val="1"/>
          <c:order val="1"/>
          <c:tx>
            <c:strRef>
              <c:f>label 1</c:f>
              <c:strCache>
                <c:ptCount val="1"/>
                <c:pt idx="0">
                  <c:v>Pārtika/alkohols/tabaka</c:v>
                </c:pt>
              </c:strCache>
            </c:strRef>
          </c:tx>
          <c:spPr>
            <a:ln w="28440" cap="rnd">
              <a:solidFill>
                <a:srgbClr val="1F2A44"/>
              </a:solidFill>
              <a:round/>
            </a:ln>
          </c:spPr>
          <c:marker>
            <c:symbol val="none"/>
          </c:marker>
          <c:dLbls>
            <c:spPr>
              <a:noFill/>
              <a:ln>
                <a:noFill/>
              </a:ln>
              <a:effectLst/>
            </c:spPr>
            <c:txPr>
              <a:bodyPr wrap="square"/>
              <a:lstStyle/>
              <a:p>
                <a:pPr>
                  <a:defRPr sz="1000" b="0" strike="noStrike" spc="-1">
                    <a:solidFill>
                      <a:srgbClr val="000000"/>
                    </a:solidFill>
                    <a:latin typeface="Arial"/>
                  </a:defRPr>
                </a:pPr>
                <a:endParaRPr lang="lv-LV"/>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1"/>
                <c:pt idx="0">
                  <c:v>2020-11</c:v>
                </c:pt>
                <c:pt idx="1">
                  <c:v>2020-12</c:v>
                </c:pt>
                <c:pt idx="2">
                  <c:v>2021-01</c:v>
                </c:pt>
                <c:pt idx="3">
                  <c:v>2021-02</c:v>
                </c:pt>
                <c:pt idx="4">
                  <c:v>2021-03</c:v>
                </c:pt>
                <c:pt idx="5">
                  <c:v>2021-04</c:v>
                </c:pt>
                <c:pt idx="6">
                  <c:v>2021-05</c:v>
                </c:pt>
                <c:pt idx="7">
                  <c:v>2021-06</c:v>
                </c:pt>
                <c:pt idx="8">
                  <c:v>2021-07</c:v>
                </c:pt>
                <c:pt idx="9">
                  <c:v>2021-08</c:v>
                </c:pt>
                <c:pt idx="10">
                  <c:v>2021-09</c:v>
                </c:pt>
              </c:strCache>
            </c:strRef>
          </c:cat>
          <c:val>
            <c:numRef>
              <c:f>1</c:f>
              <c:numCache>
                <c:formatCode>General</c:formatCode>
                <c:ptCount val="11"/>
                <c:pt idx="0">
                  <c:v>1.6</c:v>
                </c:pt>
                <c:pt idx="1">
                  <c:v>1.2</c:v>
                </c:pt>
                <c:pt idx="2">
                  <c:v>0.1</c:v>
                </c:pt>
                <c:pt idx="3">
                  <c:v>0</c:v>
                </c:pt>
                <c:pt idx="4">
                  <c:v>0.1</c:v>
                </c:pt>
                <c:pt idx="5">
                  <c:v>0.5</c:v>
                </c:pt>
                <c:pt idx="6">
                  <c:v>1.2</c:v>
                </c:pt>
                <c:pt idx="7">
                  <c:v>2</c:v>
                </c:pt>
                <c:pt idx="8">
                  <c:v>1.4</c:v>
                </c:pt>
                <c:pt idx="9">
                  <c:v>2.1</c:v>
                </c:pt>
              </c:numCache>
            </c:numRef>
          </c:val>
          <c:smooth val="0"/>
          <c:extLst>
            <c:ext xmlns:c16="http://schemas.microsoft.com/office/drawing/2014/chart" uri="{C3380CC4-5D6E-409C-BE32-E72D297353CC}">
              <c16:uniqueId val="{00000002-7C02-4B9E-B8D4-DCE8A71959BB}"/>
            </c:ext>
          </c:extLst>
        </c:ser>
        <c:ser>
          <c:idx val="2"/>
          <c:order val="2"/>
          <c:tx>
            <c:strRef>
              <c:f>label 2</c:f>
              <c:strCache>
                <c:ptCount val="1"/>
                <c:pt idx="0">
                  <c:v>Rūpniecības preces, kas nav saistītas ar enerģiju </c:v>
                </c:pt>
              </c:strCache>
            </c:strRef>
          </c:tx>
          <c:spPr>
            <a:ln w="28440" cap="rnd">
              <a:solidFill>
                <a:srgbClr val="415563"/>
              </a:solidFill>
              <a:round/>
            </a:ln>
          </c:spPr>
          <c:marker>
            <c:symbol val="none"/>
          </c:marker>
          <c:dLbls>
            <c:spPr>
              <a:noFill/>
              <a:ln>
                <a:noFill/>
              </a:ln>
              <a:effectLst/>
            </c:spPr>
            <c:txPr>
              <a:bodyPr wrap="square"/>
              <a:lstStyle/>
              <a:p>
                <a:pPr>
                  <a:defRPr sz="1000" b="0" strike="noStrike" spc="-1">
                    <a:solidFill>
                      <a:srgbClr val="000000"/>
                    </a:solidFill>
                    <a:latin typeface="Arial"/>
                  </a:defRPr>
                </a:pPr>
                <a:endParaRPr lang="lv-LV"/>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1"/>
                <c:pt idx="0">
                  <c:v>2020-11</c:v>
                </c:pt>
                <c:pt idx="1">
                  <c:v>2020-12</c:v>
                </c:pt>
                <c:pt idx="2">
                  <c:v>2021-01</c:v>
                </c:pt>
                <c:pt idx="3">
                  <c:v>2021-02</c:v>
                </c:pt>
                <c:pt idx="4">
                  <c:v>2021-03</c:v>
                </c:pt>
                <c:pt idx="5">
                  <c:v>2021-04</c:v>
                </c:pt>
                <c:pt idx="6">
                  <c:v>2021-05</c:v>
                </c:pt>
                <c:pt idx="7">
                  <c:v>2021-06</c:v>
                </c:pt>
                <c:pt idx="8">
                  <c:v>2021-07</c:v>
                </c:pt>
                <c:pt idx="9">
                  <c:v>2021-08</c:v>
                </c:pt>
                <c:pt idx="10">
                  <c:v>2021-09</c:v>
                </c:pt>
              </c:strCache>
            </c:strRef>
          </c:cat>
          <c:val>
            <c:numRef>
              <c:f>2</c:f>
              <c:numCache>
                <c:formatCode>General</c:formatCode>
                <c:ptCount val="11"/>
                <c:pt idx="0">
                  <c:v>-0.2</c:v>
                </c:pt>
                <c:pt idx="1">
                  <c:v>-0.3</c:v>
                </c:pt>
                <c:pt idx="2">
                  <c:v>0.7</c:v>
                </c:pt>
                <c:pt idx="3">
                  <c:v>0.6</c:v>
                </c:pt>
                <c:pt idx="4">
                  <c:v>0</c:v>
                </c:pt>
                <c:pt idx="5">
                  <c:v>0.7</c:v>
                </c:pt>
                <c:pt idx="6">
                  <c:v>1.9</c:v>
                </c:pt>
                <c:pt idx="7">
                  <c:v>2.2000000000000002</c:v>
                </c:pt>
                <c:pt idx="8">
                  <c:v>1.7</c:v>
                </c:pt>
                <c:pt idx="9">
                  <c:v>2.2999999999999998</c:v>
                </c:pt>
              </c:numCache>
            </c:numRef>
          </c:val>
          <c:smooth val="0"/>
          <c:extLst>
            <c:ext xmlns:c16="http://schemas.microsoft.com/office/drawing/2014/chart" uri="{C3380CC4-5D6E-409C-BE32-E72D297353CC}">
              <c16:uniqueId val="{00000003-7C02-4B9E-B8D4-DCE8A71959BB}"/>
            </c:ext>
          </c:extLst>
        </c:ser>
        <c:ser>
          <c:idx val="3"/>
          <c:order val="3"/>
          <c:tx>
            <c:strRef>
              <c:f>label 3</c:f>
              <c:strCache>
                <c:ptCount val="1"/>
                <c:pt idx="0">
                  <c:v>Elektroenerģija, gāze, cietais kurināmais un siltumenerģija </c:v>
                </c:pt>
              </c:strCache>
            </c:strRef>
          </c:tx>
          <c:spPr>
            <a:ln w="28440" cap="rnd">
              <a:solidFill>
                <a:srgbClr val="828992"/>
              </a:solidFill>
              <a:round/>
            </a:ln>
          </c:spPr>
          <c:marker>
            <c:symbol val="none"/>
          </c:marker>
          <c:dPt>
            <c:idx val="9"/>
            <c:bubble3D val="0"/>
            <c:extLst>
              <c:ext xmlns:c16="http://schemas.microsoft.com/office/drawing/2014/chart" uri="{C3380CC4-5D6E-409C-BE32-E72D297353CC}">
                <c16:uniqueId val="{00000004-7C02-4B9E-B8D4-DCE8A71959BB}"/>
              </c:ext>
            </c:extLst>
          </c:dPt>
          <c:dLbls>
            <c:dLbl>
              <c:idx val="9"/>
              <c:numFmt formatCode="#\ ##0.##########" sourceLinked="0"/>
              <c:spPr/>
              <c:txPr>
                <a:bodyPr wrap="square"/>
                <a:lstStyle/>
                <a:p>
                  <a:pPr>
                    <a:defRPr sz="900" b="0" strike="noStrike" spc="-1">
                      <a:solidFill>
                        <a:srgbClr val="404040"/>
                      </a:solidFill>
                      <a:latin typeface="Arial"/>
                    </a:defRPr>
                  </a:pPr>
                  <a:endParaRPr lang="lv-LV"/>
                </a:p>
              </c:txPr>
              <c:dLblPos val="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4-7C02-4B9E-B8D4-DCE8A71959BB}"/>
                </c:ext>
              </c:extLst>
            </c:dLbl>
            <c:spPr>
              <a:noFill/>
              <a:ln>
                <a:noFill/>
              </a:ln>
              <a:effectLst/>
            </c:spPr>
            <c:txPr>
              <a:bodyPr wrap="square"/>
              <a:lstStyle/>
              <a:p>
                <a:pPr>
                  <a:defRPr sz="900" b="0" strike="noStrike" spc="-1">
                    <a:solidFill>
                      <a:srgbClr val="404040"/>
                    </a:solidFill>
                    <a:latin typeface="Arial"/>
                  </a:defRPr>
                </a:pPr>
                <a:endParaRPr lang="lv-LV"/>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1"/>
                <c:pt idx="0">
                  <c:v>2020-11</c:v>
                </c:pt>
                <c:pt idx="1">
                  <c:v>2020-12</c:v>
                </c:pt>
                <c:pt idx="2">
                  <c:v>2021-01</c:v>
                </c:pt>
                <c:pt idx="3">
                  <c:v>2021-02</c:v>
                </c:pt>
                <c:pt idx="4">
                  <c:v>2021-03</c:v>
                </c:pt>
                <c:pt idx="5">
                  <c:v>2021-04</c:v>
                </c:pt>
                <c:pt idx="6">
                  <c:v>2021-05</c:v>
                </c:pt>
                <c:pt idx="7">
                  <c:v>2021-06</c:v>
                </c:pt>
                <c:pt idx="8">
                  <c:v>2021-07</c:v>
                </c:pt>
                <c:pt idx="9">
                  <c:v>2021-08</c:v>
                </c:pt>
                <c:pt idx="10">
                  <c:v>2021-09</c:v>
                </c:pt>
              </c:strCache>
            </c:strRef>
          </c:cat>
          <c:val>
            <c:numRef>
              <c:f>3</c:f>
              <c:numCache>
                <c:formatCode>General</c:formatCode>
                <c:ptCount val="11"/>
                <c:pt idx="0">
                  <c:v>-7.9</c:v>
                </c:pt>
                <c:pt idx="1">
                  <c:v>-6.4</c:v>
                </c:pt>
                <c:pt idx="2">
                  <c:v>-4.7</c:v>
                </c:pt>
                <c:pt idx="3">
                  <c:v>-4.4000000000000004</c:v>
                </c:pt>
                <c:pt idx="4">
                  <c:v>-4.4000000000000004</c:v>
                </c:pt>
                <c:pt idx="5">
                  <c:v>-2.7</c:v>
                </c:pt>
                <c:pt idx="6">
                  <c:v>-2.1</c:v>
                </c:pt>
                <c:pt idx="7">
                  <c:v>-0.9</c:v>
                </c:pt>
                <c:pt idx="8">
                  <c:v>5.0999999999999996</c:v>
                </c:pt>
                <c:pt idx="9">
                  <c:v>13.5</c:v>
                </c:pt>
              </c:numCache>
            </c:numRef>
          </c:val>
          <c:smooth val="0"/>
          <c:extLst>
            <c:ext xmlns:c16="http://schemas.microsoft.com/office/drawing/2014/chart" uri="{C3380CC4-5D6E-409C-BE32-E72D297353CC}">
              <c16:uniqueId val="{00000005-7C02-4B9E-B8D4-DCE8A71959BB}"/>
            </c:ext>
          </c:extLst>
        </c:ser>
        <c:dLbls>
          <c:showLegendKey val="0"/>
          <c:showVal val="0"/>
          <c:showCatName val="0"/>
          <c:showSerName val="0"/>
          <c:showPercent val="0"/>
          <c:showBubbleSize val="0"/>
        </c:dLbls>
        <c:hiLowLines>
          <c:spPr>
            <a:ln w="0">
              <a:noFill/>
            </a:ln>
          </c:spPr>
        </c:hiLowLines>
        <c:smooth val="0"/>
        <c:axId val="85997125"/>
        <c:axId val="44232307"/>
      </c:lineChart>
      <c:catAx>
        <c:axId val="85997125"/>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Arial"/>
              </a:defRPr>
            </a:pPr>
            <a:endParaRPr lang="lv-LV"/>
          </a:p>
        </c:txPr>
        <c:crossAx val="44232307"/>
        <c:crosses val="autoZero"/>
        <c:auto val="1"/>
        <c:lblAlgn val="ctr"/>
        <c:lblOffset val="100"/>
        <c:noMultiLvlLbl val="0"/>
      </c:catAx>
      <c:valAx>
        <c:axId val="44232307"/>
        <c:scaling>
          <c:orientation val="minMax"/>
        </c:scaling>
        <c:delete val="0"/>
        <c:axPos val="l"/>
        <c:majorGridlines>
          <c:spPr>
            <a:ln w="9360">
              <a:solidFill>
                <a:srgbClr val="D9D9D9"/>
              </a:solidFill>
              <a:round/>
            </a:ln>
          </c:spPr>
        </c:majorGridlines>
        <c:numFmt formatCode="#\ ##0.##########" sourceLinked="0"/>
        <c:majorTickMark val="none"/>
        <c:minorTickMark val="none"/>
        <c:tickLblPos val="nextTo"/>
        <c:spPr>
          <a:ln w="6480">
            <a:noFill/>
          </a:ln>
        </c:spPr>
        <c:txPr>
          <a:bodyPr/>
          <a:lstStyle/>
          <a:p>
            <a:pPr>
              <a:defRPr sz="900" b="0" strike="noStrike" spc="-1">
                <a:solidFill>
                  <a:srgbClr val="595959"/>
                </a:solidFill>
                <a:latin typeface="Arial"/>
              </a:defRPr>
            </a:pPr>
            <a:endParaRPr lang="lv-LV"/>
          </a:p>
        </c:txPr>
        <c:crossAx val="85997125"/>
        <c:crosses val="autoZero"/>
        <c:crossBetween val="between"/>
      </c:valAx>
      <c:spPr>
        <a:noFill/>
        <a:ln w="0">
          <a:noFill/>
        </a:ln>
      </c:spPr>
    </c:plotArea>
    <c:legend>
      <c:legendPos val="b"/>
      <c:layout>
        <c:manualLayout>
          <c:xMode val="edge"/>
          <c:yMode val="edge"/>
          <c:x val="1.91875E-2"/>
          <c:y val="0.67111111111111099"/>
          <c:w val="0.94843427714232098"/>
          <c:h val="0.29169907767529701"/>
        </c:manualLayout>
      </c:layout>
      <c:overlay val="0"/>
      <c:spPr>
        <a:noFill/>
        <a:ln w="0">
          <a:noFill/>
        </a:ln>
      </c:spPr>
      <c:txPr>
        <a:bodyPr/>
        <a:lstStyle/>
        <a:p>
          <a:pPr>
            <a:defRPr sz="900" b="0" strike="noStrike" spc="-1">
              <a:solidFill>
                <a:srgbClr val="595959"/>
              </a:solidFill>
              <a:latin typeface="Arial"/>
            </a:defRPr>
          </a:pPr>
          <a:endParaRPr lang="lv-LV"/>
        </a:p>
      </c:txPr>
    </c:legend>
    <c:plotVisOnly val="1"/>
    <c:dispBlanksAs val="gap"/>
    <c:showDLblsOverMax val="1"/>
  </c:chart>
  <c:spPr>
    <a:solidFill>
      <a:srgbClr val="FFFFFF"/>
    </a:solidFill>
    <a:ln w="9360">
      <a:solidFill>
        <a:srgbClr val="D9D9D9"/>
      </a:solidFill>
      <a:round/>
    </a:ln>
  </c:spPr>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lv-LV"/>
  <c:roundedCorners val="0"/>
  <c:style val="2"/>
  <c:chart>
    <c:autoTitleDeleted val="1"/>
    <c:plotArea>
      <c:layout>
        <c:manualLayout>
          <c:layoutTarget val="inner"/>
          <c:xMode val="edge"/>
          <c:yMode val="edge"/>
          <c:x val="8.8624999999999995E-2"/>
          <c:y val="3.12222222222222E-2"/>
          <c:w val="0.83443750000000005"/>
          <c:h val="0.69811111111111102"/>
        </c:manualLayout>
      </c:layout>
      <c:lineChart>
        <c:grouping val="standard"/>
        <c:varyColors val="0"/>
        <c:ser>
          <c:idx val="0"/>
          <c:order val="0"/>
          <c:tx>
            <c:strRef>
              <c:f>label 0</c:f>
              <c:strCache>
                <c:ptCount val="1"/>
                <c:pt idx="0">
                  <c:v>VTBI 2022/24VVB deficīts (fakts un VTBI prognoze)</c:v>
                </c:pt>
              </c:strCache>
            </c:strRef>
          </c:tx>
          <c:spPr>
            <a:ln w="28440" cap="rnd">
              <a:solidFill>
                <a:srgbClr val="0057B8"/>
              </a:solidFill>
              <a:round/>
            </a:ln>
          </c:spPr>
          <c:marker>
            <c:symbol val="none"/>
          </c:marker>
          <c:dPt>
            <c:idx val="9"/>
            <c:bubble3D val="0"/>
            <c:extLst>
              <c:ext xmlns:c16="http://schemas.microsoft.com/office/drawing/2014/chart" uri="{C3380CC4-5D6E-409C-BE32-E72D297353CC}">
                <c16:uniqueId val="{00000000-FE83-4CB7-9441-319913C18907}"/>
              </c:ext>
            </c:extLst>
          </c:dPt>
          <c:dPt>
            <c:idx val="10"/>
            <c:bubble3D val="0"/>
            <c:extLst>
              <c:ext xmlns:c16="http://schemas.microsoft.com/office/drawing/2014/chart" uri="{C3380CC4-5D6E-409C-BE32-E72D297353CC}">
                <c16:uniqueId val="{00000001-FE83-4CB7-9441-319913C18907}"/>
              </c:ext>
            </c:extLst>
          </c:dPt>
          <c:dPt>
            <c:idx val="11"/>
            <c:bubble3D val="0"/>
            <c:extLst>
              <c:ext xmlns:c16="http://schemas.microsoft.com/office/drawing/2014/chart" uri="{C3380CC4-5D6E-409C-BE32-E72D297353CC}">
                <c16:uniqueId val="{00000002-FE83-4CB7-9441-319913C18907}"/>
              </c:ext>
            </c:extLst>
          </c:dPt>
          <c:dPt>
            <c:idx val="12"/>
            <c:bubble3D val="0"/>
            <c:extLst>
              <c:ext xmlns:c16="http://schemas.microsoft.com/office/drawing/2014/chart" uri="{C3380CC4-5D6E-409C-BE32-E72D297353CC}">
                <c16:uniqueId val="{00000003-FE83-4CB7-9441-319913C18907}"/>
              </c:ext>
            </c:extLst>
          </c:dPt>
          <c:dLbls>
            <c:dLbl>
              <c:idx val="9"/>
              <c:spPr/>
              <c:txPr>
                <a:bodyPr wrap="square"/>
                <a:lstStyle/>
                <a:p>
                  <a:pPr>
                    <a:defRPr sz="1050" b="1" strike="noStrike" spc="-1">
                      <a:solidFill>
                        <a:srgbClr val="000000"/>
                      </a:solidFill>
                      <a:latin typeface="Arial"/>
                    </a:defRPr>
                  </a:pPr>
                  <a:endParaRPr lang="lv-LV"/>
                </a:p>
              </c:txPr>
              <c:dLblPos val="r"/>
              <c:showLegendKey val="0"/>
              <c:showVal val="0"/>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0-FE83-4CB7-9441-319913C18907}"/>
                </c:ext>
              </c:extLst>
            </c:dLbl>
            <c:dLbl>
              <c:idx val="10"/>
              <c:layout>
                <c:manualLayout>
                  <c:x val="-1.20395623400903E-2"/>
                  <c:y val="2.40789790512882E-2"/>
                </c:manualLayout>
              </c:layout>
              <c:numFmt formatCode="#\ ##0.0" sourceLinked="0"/>
              <c:spPr/>
              <c:txPr>
                <a:bodyPr wrap="square"/>
                <a:lstStyle/>
                <a:p>
                  <a:pPr>
                    <a:defRPr sz="1050" b="1" strike="noStrike" spc="-1">
                      <a:solidFill>
                        <a:srgbClr val="000000"/>
                      </a:solidFill>
                      <a:latin typeface="Arial"/>
                    </a:defRPr>
                  </a:pPr>
                  <a:endParaRPr lang="lv-LV"/>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FE83-4CB7-9441-319913C18907}"/>
                </c:ext>
              </c:extLst>
            </c:dLbl>
            <c:dLbl>
              <c:idx val="11"/>
              <c:layout>
                <c:manualLayout>
                  <c:x val="-1.20395623400903E-2"/>
                  <c:y val="2.40789790512882E-2"/>
                </c:manualLayout>
              </c:layout>
              <c:numFmt formatCode="#\ ##0.0" sourceLinked="0"/>
              <c:spPr/>
              <c:txPr>
                <a:bodyPr wrap="square"/>
                <a:lstStyle/>
                <a:p>
                  <a:pPr>
                    <a:defRPr sz="1050" b="1" strike="noStrike" spc="-1">
                      <a:solidFill>
                        <a:srgbClr val="000000"/>
                      </a:solidFill>
                      <a:latin typeface="Arial"/>
                    </a:defRPr>
                  </a:pPr>
                  <a:endParaRPr lang="lv-LV"/>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2-FE83-4CB7-9441-319913C18907}"/>
                </c:ext>
              </c:extLst>
            </c:dLbl>
            <c:dLbl>
              <c:idx val="12"/>
              <c:layout>
                <c:manualLayout>
                  <c:x val="-1.20395623400903E-2"/>
                  <c:y val="2.40789790512882E-2"/>
                </c:manualLayout>
              </c:layout>
              <c:numFmt formatCode="#\ ##0.0" sourceLinked="0"/>
              <c:spPr/>
              <c:txPr>
                <a:bodyPr wrap="square"/>
                <a:lstStyle/>
                <a:p>
                  <a:pPr>
                    <a:defRPr sz="1050" b="1" strike="noStrike" spc="-1">
                      <a:solidFill>
                        <a:srgbClr val="000000"/>
                      </a:solidFill>
                      <a:latin typeface="Arial"/>
                    </a:defRPr>
                  </a:pPr>
                  <a:endParaRPr lang="lv-LV"/>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3-FE83-4CB7-9441-319913C18907}"/>
                </c:ext>
              </c:extLst>
            </c:dLbl>
            <c:spPr>
              <a:noFill/>
              <a:ln>
                <a:noFill/>
              </a:ln>
              <a:effectLst/>
            </c:spPr>
            <c:txPr>
              <a:bodyPr wrap="square"/>
              <a:lstStyle/>
              <a:p>
                <a:pPr>
                  <a:defRPr sz="1050" b="1" strike="noStrike" spc="-1">
                    <a:solidFill>
                      <a:srgbClr val="000000"/>
                    </a:solidFill>
                    <a:latin typeface="Arial"/>
                  </a:defRPr>
                </a:pPr>
                <a:endParaRPr lang="lv-LV"/>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3"/>
                <c:pt idx="0">
                  <c:v>2012</c:v>
                </c:pt>
                <c:pt idx="1">
                  <c:v>2013</c:v>
                </c:pt>
                <c:pt idx="2">
                  <c:v>2014</c:v>
                </c:pt>
                <c:pt idx="3">
                  <c:v>2015</c:v>
                </c:pt>
                <c:pt idx="4">
                  <c:v>2016</c:v>
                </c:pt>
                <c:pt idx="5">
                  <c:v>2017</c:v>
                </c:pt>
                <c:pt idx="6">
                  <c:v>2018</c:v>
                </c:pt>
                <c:pt idx="7">
                  <c:v>2019</c:v>
                </c:pt>
                <c:pt idx="8">
                  <c:v>2020</c:v>
                </c:pt>
                <c:pt idx="9">
                  <c:v>2021 (P)</c:v>
                </c:pt>
                <c:pt idx="10">
                  <c:v>2022 (P)</c:v>
                </c:pt>
                <c:pt idx="11">
                  <c:v>2023 (P)</c:v>
                </c:pt>
                <c:pt idx="12">
                  <c:v>2024 (P)</c:v>
                </c:pt>
              </c:strCache>
            </c:strRef>
          </c:cat>
          <c:val>
            <c:numRef>
              <c:f>0</c:f>
              <c:numCache>
                <c:formatCode>General</c:formatCode>
                <c:ptCount val="13"/>
                <c:pt idx="0">
                  <c:v>-1.4</c:v>
                </c:pt>
                <c:pt idx="1">
                  <c:v>-1.2</c:v>
                </c:pt>
                <c:pt idx="2">
                  <c:v>-1.6</c:v>
                </c:pt>
                <c:pt idx="3">
                  <c:v>-1.4</c:v>
                </c:pt>
                <c:pt idx="4">
                  <c:v>0.2</c:v>
                </c:pt>
                <c:pt idx="5">
                  <c:v>-0.8</c:v>
                </c:pt>
                <c:pt idx="6">
                  <c:v>-0.8</c:v>
                </c:pt>
                <c:pt idx="7">
                  <c:v>-0.6</c:v>
                </c:pt>
                <c:pt idx="8">
                  <c:v>-4.5</c:v>
                </c:pt>
                <c:pt idx="9">
                  <c:v>-9.3000000000000007</c:v>
                </c:pt>
                <c:pt idx="10">
                  <c:v>-4.8643372217716001</c:v>
                </c:pt>
                <c:pt idx="11">
                  <c:v>-2.1722002732181398</c:v>
                </c:pt>
                <c:pt idx="12">
                  <c:v>-1.3571845446947399</c:v>
                </c:pt>
              </c:numCache>
            </c:numRef>
          </c:val>
          <c:smooth val="0"/>
          <c:extLst>
            <c:ext xmlns:c16="http://schemas.microsoft.com/office/drawing/2014/chart" uri="{C3380CC4-5D6E-409C-BE32-E72D297353CC}">
              <c16:uniqueId val="{00000004-FE83-4CB7-9441-319913C18907}"/>
            </c:ext>
          </c:extLst>
        </c:ser>
        <c:ser>
          <c:idx val="1"/>
          <c:order val="1"/>
          <c:tx>
            <c:strRef>
              <c:f>label 1</c:f>
              <c:strCache>
                <c:ptCount val="1"/>
                <c:pt idx="0">
                  <c:v>Stabilitātes Programma 2021/24</c:v>
                </c:pt>
              </c:strCache>
            </c:strRef>
          </c:tx>
          <c:spPr>
            <a:ln w="28440" cap="rnd">
              <a:solidFill>
                <a:srgbClr val="1F2A44"/>
              </a:solidFill>
              <a:prstDash val="dash"/>
              <a:round/>
            </a:ln>
          </c:spPr>
          <c:marker>
            <c:symbol val="none"/>
          </c:marker>
          <c:dPt>
            <c:idx val="9"/>
            <c:bubble3D val="0"/>
            <c:extLst>
              <c:ext xmlns:c16="http://schemas.microsoft.com/office/drawing/2014/chart" uri="{C3380CC4-5D6E-409C-BE32-E72D297353CC}">
                <c16:uniqueId val="{00000005-FE83-4CB7-9441-319913C18907}"/>
              </c:ext>
            </c:extLst>
          </c:dPt>
          <c:dLbls>
            <c:dLbl>
              <c:idx val="9"/>
              <c:numFmt formatCode="#,##0.0" sourceLinked="0"/>
              <c:spPr/>
              <c:txPr>
                <a:bodyPr wrap="square"/>
                <a:lstStyle/>
                <a:p>
                  <a:pPr>
                    <a:defRPr sz="1050" b="1" strike="noStrike" spc="-1">
                      <a:solidFill>
                        <a:srgbClr val="000000"/>
                      </a:solidFill>
                      <a:latin typeface="Arial"/>
                    </a:defRPr>
                  </a:pPr>
                  <a:endParaRPr lang="lv-LV"/>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5-FE83-4CB7-9441-319913C18907}"/>
                </c:ext>
              </c:extLst>
            </c:dLbl>
            <c:spPr>
              <a:noFill/>
              <a:ln>
                <a:noFill/>
              </a:ln>
              <a:effectLst/>
            </c:spPr>
            <c:txPr>
              <a:bodyPr wrap="square"/>
              <a:lstStyle/>
              <a:p>
                <a:pPr>
                  <a:defRPr sz="1050" b="1" strike="noStrike" spc="-1">
                    <a:solidFill>
                      <a:srgbClr val="000000"/>
                    </a:solidFill>
                    <a:latin typeface="Arial"/>
                  </a:defRPr>
                </a:pPr>
                <a:endParaRPr lang="lv-LV"/>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3"/>
                <c:pt idx="0">
                  <c:v>2012</c:v>
                </c:pt>
                <c:pt idx="1">
                  <c:v>2013</c:v>
                </c:pt>
                <c:pt idx="2">
                  <c:v>2014</c:v>
                </c:pt>
                <c:pt idx="3">
                  <c:v>2015</c:v>
                </c:pt>
                <c:pt idx="4">
                  <c:v>2016</c:v>
                </c:pt>
                <c:pt idx="5">
                  <c:v>2017</c:v>
                </c:pt>
                <c:pt idx="6">
                  <c:v>2018</c:v>
                </c:pt>
                <c:pt idx="7">
                  <c:v>2019</c:v>
                </c:pt>
                <c:pt idx="8">
                  <c:v>2020</c:v>
                </c:pt>
                <c:pt idx="9">
                  <c:v>2021 (P)</c:v>
                </c:pt>
                <c:pt idx="10">
                  <c:v>2022 (P)</c:v>
                </c:pt>
                <c:pt idx="11">
                  <c:v>2023 (P)</c:v>
                </c:pt>
                <c:pt idx="12">
                  <c:v>2024 (P)</c:v>
                </c:pt>
              </c:strCache>
            </c:strRef>
          </c:cat>
          <c:val>
            <c:numRef>
              <c:f>1</c:f>
              <c:numCache>
                <c:formatCode>General</c:formatCode>
                <c:ptCount val="13"/>
                <c:pt idx="9">
                  <c:v>-9.3144068949513308</c:v>
                </c:pt>
                <c:pt idx="10">
                  <c:v>-4.0335120111439204</c:v>
                </c:pt>
                <c:pt idx="11">
                  <c:v>-0.54899307636673</c:v>
                </c:pt>
                <c:pt idx="12">
                  <c:v>-0.51345734868217996</c:v>
                </c:pt>
              </c:numCache>
            </c:numRef>
          </c:val>
          <c:smooth val="0"/>
          <c:extLst>
            <c:ext xmlns:c16="http://schemas.microsoft.com/office/drawing/2014/chart" uri="{C3380CC4-5D6E-409C-BE32-E72D297353CC}">
              <c16:uniqueId val="{00000006-FE83-4CB7-9441-319913C18907}"/>
            </c:ext>
          </c:extLst>
        </c:ser>
        <c:dLbls>
          <c:showLegendKey val="0"/>
          <c:showVal val="0"/>
          <c:showCatName val="0"/>
          <c:showSerName val="0"/>
          <c:showPercent val="0"/>
          <c:showBubbleSize val="0"/>
        </c:dLbls>
        <c:hiLowLines>
          <c:spPr>
            <a:ln w="0">
              <a:noFill/>
            </a:ln>
          </c:spPr>
        </c:hiLowLines>
        <c:marker val="1"/>
        <c:smooth val="0"/>
        <c:axId val="48269935"/>
        <c:axId val="91188146"/>
      </c:lineChart>
      <c:lineChart>
        <c:grouping val="standard"/>
        <c:varyColors val="0"/>
        <c:ser>
          <c:idx val="2"/>
          <c:order val="2"/>
          <c:tx>
            <c:strRef>
              <c:f>label 2</c:f>
              <c:strCache>
                <c:ptCount val="1"/>
                <c:pt idx="0">
                  <c:v>IKP pieaugums salīdzināmajās cenās (fakts un FM prognoze (P))</c:v>
                </c:pt>
              </c:strCache>
            </c:strRef>
          </c:tx>
          <c:spPr>
            <a:ln w="28440" cap="rnd">
              <a:solidFill>
                <a:srgbClr val="415563"/>
              </a:solidFill>
              <a:round/>
            </a:ln>
          </c:spPr>
          <c:marker>
            <c:symbol val="none"/>
          </c:marker>
          <c:dPt>
            <c:idx val="9"/>
            <c:bubble3D val="0"/>
            <c:extLst>
              <c:ext xmlns:c16="http://schemas.microsoft.com/office/drawing/2014/chart" uri="{C3380CC4-5D6E-409C-BE32-E72D297353CC}">
                <c16:uniqueId val="{00000007-FE83-4CB7-9441-319913C18907}"/>
              </c:ext>
            </c:extLst>
          </c:dPt>
          <c:dPt>
            <c:idx val="10"/>
            <c:bubble3D val="0"/>
            <c:extLst>
              <c:ext xmlns:c16="http://schemas.microsoft.com/office/drawing/2014/chart" uri="{C3380CC4-5D6E-409C-BE32-E72D297353CC}">
                <c16:uniqueId val="{00000008-FE83-4CB7-9441-319913C18907}"/>
              </c:ext>
            </c:extLst>
          </c:dPt>
          <c:dPt>
            <c:idx val="11"/>
            <c:bubble3D val="0"/>
            <c:extLst>
              <c:ext xmlns:c16="http://schemas.microsoft.com/office/drawing/2014/chart" uri="{C3380CC4-5D6E-409C-BE32-E72D297353CC}">
                <c16:uniqueId val="{00000009-FE83-4CB7-9441-319913C18907}"/>
              </c:ext>
            </c:extLst>
          </c:dPt>
          <c:dPt>
            <c:idx val="12"/>
            <c:bubble3D val="0"/>
            <c:extLst>
              <c:ext xmlns:c16="http://schemas.microsoft.com/office/drawing/2014/chart" uri="{C3380CC4-5D6E-409C-BE32-E72D297353CC}">
                <c16:uniqueId val="{0000000A-FE83-4CB7-9441-319913C18907}"/>
              </c:ext>
            </c:extLst>
          </c:dPt>
          <c:dLbls>
            <c:dLbl>
              <c:idx val="9"/>
              <c:spPr/>
              <c:txPr>
                <a:bodyPr wrap="square"/>
                <a:lstStyle/>
                <a:p>
                  <a:pPr>
                    <a:defRPr sz="1000" b="0" strike="noStrike" spc="-1">
                      <a:solidFill>
                        <a:srgbClr val="000000"/>
                      </a:solidFill>
                      <a:latin typeface="Arial"/>
                    </a:defRPr>
                  </a:pPr>
                  <a:endParaRPr lang="lv-LV"/>
                </a:p>
              </c:txPr>
              <c:dLblPos val="r"/>
              <c:showLegendKey val="0"/>
              <c:showVal val="0"/>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7-FE83-4CB7-9441-319913C18907}"/>
                </c:ext>
              </c:extLst>
            </c:dLbl>
            <c:dLbl>
              <c:idx val="10"/>
              <c:spPr/>
              <c:txPr>
                <a:bodyPr wrap="square"/>
                <a:lstStyle/>
                <a:p>
                  <a:pPr>
                    <a:defRPr sz="1000" b="0" strike="noStrike" spc="-1">
                      <a:solidFill>
                        <a:srgbClr val="000000"/>
                      </a:solidFill>
                      <a:latin typeface="Arial"/>
                    </a:defRPr>
                  </a:pPr>
                  <a:endParaRPr lang="lv-LV"/>
                </a:p>
              </c:txPr>
              <c:dLblPos val="r"/>
              <c:showLegendKey val="0"/>
              <c:showVal val="0"/>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8-FE83-4CB7-9441-319913C18907}"/>
                </c:ext>
              </c:extLst>
            </c:dLbl>
            <c:dLbl>
              <c:idx val="11"/>
              <c:spPr/>
              <c:txPr>
                <a:bodyPr wrap="square"/>
                <a:lstStyle/>
                <a:p>
                  <a:pPr>
                    <a:defRPr sz="1000" b="0" strike="noStrike" spc="-1">
                      <a:solidFill>
                        <a:srgbClr val="000000"/>
                      </a:solidFill>
                      <a:latin typeface="Arial"/>
                    </a:defRPr>
                  </a:pPr>
                  <a:endParaRPr lang="lv-LV"/>
                </a:p>
              </c:txPr>
              <c:dLblPos val="r"/>
              <c:showLegendKey val="0"/>
              <c:showVal val="0"/>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9-FE83-4CB7-9441-319913C18907}"/>
                </c:ext>
              </c:extLst>
            </c:dLbl>
            <c:dLbl>
              <c:idx val="12"/>
              <c:spPr/>
              <c:txPr>
                <a:bodyPr wrap="square"/>
                <a:lstStyle/>
                <a:p>
                  <a:pPr>
                    <a:defRPr sz="1000" b="0" strike="noStrike" spc="-1">
                      <a:solidFill>
                        <a:srgbClr val="000000"/>
                      </a:solidFill>
                      <a:latin typeface="Arial"/>
                    </a:defRPr>
                  </a:pPr>
                  <a:endParaRPr lang="lv-LV"/>
                </a:p>
              </c:txPr>
              <c:dLblPos val="r"/>
              <c:showLegendKey val="0"/>
              <c:showVal val="0"/>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A-FE83-4CB7-9441-319913C18907}"/>
                </c:ext>
              </c:extLst>
            </c:dLbl>
            <c:spPr>
              <a:noFill/>
              <a:ln>
                <a:noFill/>
              </a:ln>
              <a:effectLst/>
            </c:spPr>
            <c:txPr>
              <a:bodyPr wrap="square"/>
              <a:lstStyle/>
              <a:p>
                <a:pPr>
                  <a:defRPr sz="1000" b="0" strike="noStrike" spc="-1">
                    <a:solidFill>
                      <a:srgbClr val="000000"/>
                    </a:solidFill>
                    <a:latin typeface="Arial"/>
                  </a:defRPr>
                </a:pPr>
                <a:endParaRPr lang="lv-LV"/>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3"/>
                <c:pt idx="0">
                  <c:v>2012</c:v>
                </c:pt>
                <c:pt idx="1">
                  <c:v>2013</c:v>
                </c:pt>
                <c:pt idx="2">
                  <c:v>2014</c:v>
                </c:pt>
                <c:pt idx="3">
                  <c:v>2015</c:v>
                </c:pt>
                <c:pt idx="4">
                  <c:v>2016</c:v>
                </c:pt>
                <c:pt idx="5">
                  <c:v>2017</c:v>
                </c:pt>
                <c:pt idx="6">
                  <c:v>2018</c:v>
                </c:pt>
                <c:pt idx="7">
                  <c:v>2019</c:v>
                </c:pt>
                <c:pt idx="8">
                  <c:v>2020</c:v>
                </c:pt>
                <c:pt idx="9">
                  <c:v>2021 (P)</c:v>
                </c:pt>
                <c:pt idx="10">
                  <c:v>2022 (P)</c:v>
                </c:pt>
                <c:pt idx="11">
                  <c:v>2023 (P)</c:v>
                </c:pt>
                <c:pt idx="12">
                  <c:v>2024 (P)</c:v>
                </c:pt>
              </c:strCache>
            </c:strRef>
          </c:cat>
          <c:val>
            <c:numRef>
              <c:f>2</c:f>
              <c:numCache>
                <c:formatCode>General</c:formatCode>
                <c:ptCount val="13"/>
                <c:pt idx="0">
                  <c:v>4.2516986694188201</c:v>
                </c:pt>
                <c:pt idx="1">
                  <c:v>2.3101845305654201</c:v>
                </c:pt>
                <c:pt idx="2">
                  <c:v>1.0736295772726601</c:v>
                </c:pt>
                <c:pt idx="3">
                  <c:v>4.0068606500230004</c:v>
                </c:pt>
                <c:pt idx="4">
                  <c:v>2.3729199594200199</c:v>
                </c:pt>
                <c:pt idx="5">
                  <c:v>3.2507202900894998</c:v>
                </c:pt>
                <c:pt idx="6">
                  <c:v>4.0243226003272499</c:v>
                </c:pt>
                <c:pt idx="7">
                  <c:v>2.0271018858322201</c:v>
                </c:pt>
                <c:pt idx="8">
                  <c:v>-3.6236839156903198</c:v>
                </c:pt>
                <c:pt idx="9">
                  <c:v>3.68069822316586</c:v>
                </c:pt>
                <c:pt idx="10">
                  <c:v>4.9590161239075501</c:v>
                </c:pt>
                <c:pt idx="11">
                  <c:v>3.4625465714981698</c:v>
                </c:pt>
                <c:pt idx="12">
                  <c:v>3.3612561454183401</c:v>
                </c:pt>
              </c:numCache>
            </c:numRef>
          </c:val>
          <c:smooth val="0"/>
          <c:extLst>
            <c:ext xmlns:c16="http://schemas.microsoft.com/office/drawing/2014/chart" uri="{C3380CC4-5D6E-409C-BE32-E72D297353CC}">
              <c16:uniqueId val="{0000000B-FE83-4CB7-9441-319913C18907}"/>
            </c:ext>
          </c:extLst>
        </c:ser>
        <c:dLbls>
          <c:showLegendKey val="0"/>
          <c:showVal val="0"/>
          <c:showCatName val="0"/>
          <c:showSerName val="0"/>
          <c:showPercent val="0"/>
          <c:showBubbleSize val="0"/>
        </c:dLbls>
        <c:hiLowLines>
          <c:spPr>
            <a:ln w="0">
              <a:noFill/>
            </a:ln>
          </c:spPr>
        </c:hiLowLines>
        <c:marker val="1"/>
        <c:smooth val="0"/>
        <c:axId val="65771253"/>
        <c:axId val="15394885"/>
      </c:lineChart>
      <c:catAx>
        <c:axId val="48269935"/>
        <c:scaling>
          <c:orientation val="minMax"/>
        </c:scaling>
        <c:delete val="0"/>
        <c:axPos val="b"/>
        <c:numFmt formatCode="General" sourceLinked="0"/>
        <c:majorTickMark val="none"/>
        <c:minorTickMark val="none"/>
        <c:tickLblPos val="high"/>
        <c:spPr>
          <a:ln w="9360">
            <a:solidFill>
              <a:srgbClr val="D9D9D9"/>
            </a:solidFill>
            <a:round/>
          </a:ln>
        </c:spPr>
        <c:txPr>
          <a:bodyPr/>
          <a:lstStyle/>
          <a:p>
            <a:pPr>
              <a:defRPr sz="900" b="0" strike="noStrike" spc="-1">
                <a:solidFill>
                  <a:srgbClr val="000000"/>
                </a:solidFill>
                <a:latin typeface="Arial"/>
              </a:defRPr>
            </a:pPr>
            <a:endParaRPr lang="lv-LV"/>
          </a:p>
        </c:txPr>
        <c:crossAx val="91188146"/>
        <c:crosses val="autoZero"/>
        <c:auto val="1"/>
        <c:lblAlgn val="ctr"/>
        <c:lblOffset val="100"/>
        <c:noMultiLvlLbl val="0"/>
      </c:catAx>
      <c:valAx>
        <c:axId val="91188146"/>
        <c:scaling>
          <c:orientation val="minMax"/>
        </c:scaling>
        <c:delete val="0"/>
        <c:axPos val="l"/>
        <c:majorGridlines>
          <c:spPr>
            <a:ln w="9360">
              <a:solidFill>
                <a:srgbClr val="D9D9D9"/>
              </a:solidFill>
              <a:round/>
            </a:ln>
          </c:spPr>
        </c:majorGridlines>
        <c:title>
          <c:tx>
            <c:rich>
              <a:bodyPr rot="-5400000"/>
              <a:lstStyle/>
              <a:p>
                <a:pPr>
                  <a:defRPr lang="lv-LV" sz="1000" b="0" strike="noStrike" spc="-1">
                    <a:solidFill>
                      <a:srgbClr val="000000"/>
                    </a:solidFill>
                    <a:latin typeface="Arial"/>
                  </a:defRPr>
                </a:pPr>
                <a:r>
                  <a:rPr lang="lv-LV" sz="1000" b="0" strike="noStrike" spc="-1">
                    <a:solidFill>
                      <a:srgbClr val="000000"/>
                    </a:solidFill>
                    <a:latin typeface="Arial"/>
                  </a:rPr>
                  <a:t>Deficīts % no IKP</a:t>
                </a:r>
              </a:p>
            </c:rich>
          </c:tx>
          <c:overlay val="0"/>
          <c:spPr>
            <a:noFill/>
            <a:ln w="0">
              <a:noFill/>
            </a:ln>
          </c:spPr>
        </c:title>
        <c:numFmt formatCode="#\ ##0.0" sourceLinked="0"/>
        <c:majorTickMark val="none"/>
        <c:minorTickMark val="none"/>
        <c:tickLblPos val="nextTo"/>
        <c:spPr>
          <a:ln w="6480">
            <a:noFill/>
          </a:ln>
        </c:spPr>
        <c:txPr>
          <a:bodyPr/>
          <a:lstStyle/>
          <a:p>
            <a:pPr>
              <a:defRPr sz="900" b="0" strike="noStrike" spc="-1">
                <a:solidFill>
                  <a:srgbClr val="000000"/>
                </a:solidFill>
                <a:latin typeface="Arial"/>
              </a:defRPr>
            </a:pPr>
            <a:endParaRPr lang="lv-LV"/>
          </a:p>
        </c:txPr>
        <c:crossAx val="48269935"/>
        <c:crosses val="autoZero"/>
        <c:crossBetween val="between"/>
      </c:valAx>
      <c:catAx>
        <c:axId val="65771253"/>
        <c:scaling>
          <c:orientation val="minMax"/>
        </c:scaling>
        <c:delete val="1"/>
        <c:axPos val="b"/>
        <c:numFmt formatCode="General" sourceLinked="1"/>
        <c:majorTickMark val="out"/>
        <c:minorTickMark val="none"/>
        <c:tickLblPos val="nextTo"/>
        <c:crossAx val="15394885"/>
        <c:crosses val="autoZero"/>
        <c:auto val="1"/>
        <c:lblAlgn val="ctr"/>
        <c:lblOffset val="100"/>
        <c:noMultiLvlLbl val="0"/>
      </c:catAx>
      <c:valAx>
        <c:axId val="15394885"/>
        <c:scaling>
          <c:orientation val="minMax"/>
        </c:scaling>
        <c:delete val="0"/>
        <c:axPos val="r"/>
        <c:title>
          <c:tx>
            <c:rich>
              <a:bodyPr rot="-5400000"/>
              <a:lstStyle/>
              <a:p>
                <a:pPr>
                  <a:defRPr lang="lv-LV" sz="1000" b="0" strike="noStrike" spc="-1">
                    <a:solidFill>
                      <a:srgbClr val="000000"/>
                    </a:solidFill>
                    <a:latin typeface="Arial"/>
                  </a:defRPr>
                </a:pPr>
                <a:r>
                  <a:rPr lang="lv-LV" sz="1000" b="0" strike="noStrike" spc="-1">
                    <a:solidFill>
                      <a:srgbClr val="000000"/>
                    </a:solidFill>
                    <a:latin typeface="Arial"/>
                  </a:rPr>
                  <a:t>Reālais IKP %</a:t>
                </a:r>
              </a:p>
            </c:rich>
          </c:tx>
          <c:overlay val="0"/>
          <c:spPr>
            <a:noFill/>
            <a:ln w="0">
              <a:noFill/>
            </a:ln>
          </c:spPr>
        </c:title>
        <c:numFmt formatCode="#\ ##0.0" sourceLinked="0"/>
        <c:majorTickMark val="out"/>
        <c:minorTickMark val="none"/>
        <c:tickLblPos val="nextTo"/>
        <c:spPr>
          <a:ln w="6480">
            <a:noFill/>
          </a:ln>
        </c:spPr>
        <c:txPr>
          <a:bodyPr/>
          <a:lstStyle/>
          <a:p>
            <a:pPr>
              <a:defRPr sz="700" b="0" strike="noStrike" spc="-1">
                <a:solidFill>
                  <a:srgbClr val="000000"/>
                </a:solidFill>
                <a:latin typeface="Arial"/>
              </a:defRPr>
            </a:pPr>
            <a:endParaRPr lang="lv-LV"/>
          </a:p>
        </c:txPr>
        <c:crossAx val="65771253"/>
        <c:crosses val="max"/>
        <c:crossBetween val="between"/>
      </c:valAx>
      <c:spPr>
        <a:noFill/>
        <a:ln w="0">
          <a:noFill/>
        </a:ln>
      </c:spPr>
    </c:plotArea>
    <c:legend>
      <c:legendPos val="b"/>
      <c:layout>
        <c:manualLayout>
          <c:xMode val="edge"/>
          <c:yMode val="edge"/>
          <c:x val="0"/>
          <c:y val="0.86766666666666703"/>
          <c:w val="0.99443715232202001"/>
          <c:h val="0.11912434714968299"/>
        </c:manualLayout>
      </c:layout>
      <c:overlay val="0"/>
      <c:spPr>
        <a:noFill/>
        <a:ln w="0">
          <a:noFill/>
        </a:ln>
      </c:spPr>
      <c:txPr>
        <a:bodyPr/>
        <a:lstStyle/>
        <a:p>
          <a:pPr>
            <a:defRPr sz="700" b="0" strike="noStrike" spc="-1">
              <a:solidFill>
                <a:srgbClr val="000000"/>
              </a:solidFill>
              <a:latin typeface="Arial"/>
            </a:defRPr>
          </a:pPr>
          <a:endParaRPr lang="lv-LV"/>
        </a:p>
      </c:txPr>
    </c:legend>
    <c:plotVisOnly val="1"/>
    <c:dispBlanksAs val="gap"/>
    <c:showDLblsOverMax val="1"/>
  </c:chart>
  <c:spPr>
    <a:solidFill>
      <a:srgbClr val="FFFFFF"/>
    </a:solidFill>
    <a:ln w="9360">
      <a:solidFill>
        <a:srgbClr val="D9D9D9"/>
      </a:solidFill>
      <a:round/>
    </a:ln>
  </c:spPr>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lv-LV"/>
  <c:roundedCorners val="0"/>
  <c:style val="2"/>
  <c:chart>
    <c:autoTitleDeleted val="1"/>
    <c:plotArea>
      <c:layout>
        <c:manualLayout>
          <c:layoutTarget val="inner"/>
          <c:xMode val="edge"/>
          <c:yMode val="edge"/>
          <c:x val="0.1215"/>
          <c:y val="4.67777777777778E-2"/>
          <c:w val="0.85199999999999998"/>
          <c:h val="0.74655555555555497"/>
        </c:manualLayout>
      </c:layout>
      <c:lineChart>
        <c:grouping val="standard"/>
        <c:varyColors val="0"/>
        <c:ser>
          <c:idx val="0"/>
          <c:order val="0"/>
          <c:tx>
            <c:strRef>
              <c:f>label 0</c:f>
              <c:strCache>
                <c:ptCount val="1"/>
                <c:pt idx="0">
                  <c:v>Faktiskais VV parāda līmenis (Eurostat)</c:v>
                </c:pt>
              </c:strCache>
            </c:strRef>
          </c:tx>
          <c:spPr>
            <a:ln w="28440" cap="rnd">
              <a:solidFill>
                <a:srgbClr val="0057B8"/>
              </a:solidFill>
              <a:round/>
            </a:ln>
          </c:spPr>
          <c:marker>
            <c:symbol val="none"/>
          </c:marker>
          <c:dLbls>
            <c:spPr>
              <a:noFill/>
              <a:ln>
                <a:noFill/>
              </a:ln>
              <a:effectLst/>
            </c:spPr>
            <c:txPr>
              <a:bodyPr wrap="square"/>
              <a:lstStyle/>
              <a:p>
                <a:pPr>
                  <a:defRPr sz="1000" b="0" strike="noStrike" spc="-1">
                    <a:solidFill>
                      <a:srgbClr val="000000"/>
                    </a:solidFill>
                    <a:latin typeface="Arial"/>
                  </a:defRPr>
                </a:pPr>
                <a:endParaRPr lang="lv-LV"/>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strCache>
            </c:strRef>
          </c:cat>
          <c:val>
            <c:numRef>
              <c:f>0</c:f>
              <c:numCache>
                <c:formatCode>General</c:formatCode>
                <c:ptCount val="12"/>
                <c:pt idx="0">
                  <c:v>40.2546628377575</c:v>
                </c:pt>
                <c:pt idx="1">
                  <c:v>41.554828016341801</c:v>
                </c:pt>
                <c:pt idx="2">
                  <c:v>37.1</c:v>
                </c:pt>
                <c:pt idx="3">
                  <c:v>40.4</c:v>
                </c:pt>
                <c:pt idx="4">
                  <c:v>39</c:v>
                </c:pt>
                <c:pt idx="5">
                  <c:v>37.1</c:v>
                </c:pt>
                <c:pt idx="6">
                  <c:v>37</c:v>
                </c:pt>
                <c:pt idx="7">
                  <c:v>43.5</c:v>
                </c:pt>
              </c:numCache>
            </c:numRef>
          </c:val>
          <c:smooth val="0"/>
          <c:extLst>
            <c:ext xmlns:c16="http://schemas.microsoft.com/office/drawing/2014/chart" uri="{C3380CC4-5D6E-409C-BE32-E72D297353CC}">
              <c16:uniqueId val="{00000000-8D0B-418C-A6B2-FEAE7161E5A0}"/>
            </c:ext>
          </c:extLst>
        </c:ser>
        <c:ser>
          <c:idx val="1"/>
          <c:order val="1"/>
          <c:tx>
            <c:strRef>
              <c:f>label 1</c:f>
              <c:strCache>
                <c:ptCount val="1"/>
                <c:pt idx="0">
                  <c:v>SP 2021/24</c:v>
                </c:pt>
              </c:strCache>
            </c:strRef>
          </c:tx>
          <c:spPr>
            <a:ln w="28440" cap="rnd">
              <a:solidFill>
                <a:srgbClr val="1F2A44"/>
              </a:solidFill>
              <a:prstDash val="dash"/>
              <a:round/>
            </a:ln>
          </c:spPr>
          <c:marker>
            <c:symbol val="none"/>
          </c:marker>
          <c:dLbls>
            <c:spPr>
              <a:noFill/>
              <a:ln>
                <a:noFill/>
              </a:ln>
              <a:effectLst/>
            </c:spPr>
            <c:txPr>
              <a:bodyPr wrap="square"/>
              <a:lstStyle/>
              <a:p>
                <a:pPr>
                  <a:defRPr sz="1000" b="0" strike="noStrike" spc="-1">
                    <a:solidFill>
                      <a:srgbClr val="000000"/>
                    </a:solidFill>
                    <a:latin typeface="Arial"/>
                  </a:defRPr>
                </a:pPr>
                <a:endParaRPr lang="lv-LV"/>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strCache>
            </c:strRef>
          </c:cat>
          <c:val>
            <c:numRef>
              <c:f>1</c:f>
              <c:numCache>
                <c:formatCode>General</c:formatCode>
                <c:ptCount val="12"/>
                <c:pt idx="7">
                  <c:v>43.5</c:v>
                </c:pt>
                <c:pt idx="8">
                  <c:v>48.9</c:v>
                </c:pt>
                <c:pt idx="9">
                  <c:v>50.3</c:v>
                </c:pt>
                <c:pt idx="10">
                  <c:v>49</c:v>
                </c:pt>
                <c:pt idx="11">
                  <c:v>48.5</c:v>
                </c:pt>
              </c:numCache>
            </c:numRef>
          </c:val>
          <c:smooth val="0"/>
          <c:extLst>
            <c:ext xmlns:c16="http://schemas.microsoft.com/office/drawing/2014/chart" uri="{C3380CC4-5D6E-409C-BE32-E72D297353CC}">
              <c16:uniqueId val="{00000001-8D0B-418C-A6B2-FEAE7161E5A0}"/>
            </c:ext>
          </c:extLst>
        </c:ser>
        <c:ser>
          <c:idx val="2"/>
          <c:order val="2"/>
          <c:tx>
            <c:strRef>
              <c:f>label 2</c:f>
              <c:strCache>
                <c:ptCount val="1"/>
                <c:pt idx="0">
                  <c:v>VTBI 2022/24</c:v>
                </c:pt>
              </c:strCache>
            </c:strRef>
          </c:tx>
          <c:spPr>
            <a:ln w="28440" cap="rnd">
              <a:solidFill>
                <a:srgbClr val="415563"/>
              </a:solidFill>
              <a:round/>
            </a:ln>
          </c:spPr>
          <c:marker>
            <c:symbol val="none"/>
          </c:marker>
          <c:dPt>
            <c:idx val="6"/>
            <c:bubble3D val="0"/>
            <c:extLst>
              <c:ext xmlns:c16="http://schemas.microsoft.com/office/drawing/2014/chart" uri="{C3380CC4-5D6E-409C-BE32-E72D297353CC}">
                <c16:uniqueId val="{00000002-8D0B-418C-A6B2-FEAE7161E5A0}"/>
              </c:ext>
            </c:extLst>
          </c:dPt>
          <c:dPt>
            <c:idx val="7"/>
            <c:bubble3D val="0"/>
            <c:extLst>
              <c:ext xmlns:c16="http://schemas.microsoft.com/office/drawing/2014/chart" uri="{C3380CC4-5D6E-409C-BE32-E72D297353CC}">
                <c16:uniqueId val="{00000003-8D0B-418C-A6B2-FEAE7161E5A0}"/>
              </c:ext>
            </c:extLst>
          </c:dPt>
          <c:dPt>
            <c:idx val="8"/>
            <c:bubble3D val="0"/>
            <c:extLst>
              <c:ext xmlns:c16="http://schemas.microsoft.com/office/drawing/2014/chart" uri="{C3380CC4-5D6E-409C-BE32-E72D297353CC}">
                <c16:uniqueId val="{00000004-8D0B-418C-A6B2-FEAE7161E5A0}"/>
              </c:ext>
            </c:extLst>
          </c:dPt>
          <c:dLbls>
            <c:dLbl>
              <c:idx val="6"/>
              <c:spPr/>
              <c:txPr>
                <a:bodyPr wrap="square"/>
                <a:lstStyle/>
                <a:p>
                  <a:pPr>
                    <a:defRPr sz="900" b="0" strike="noStrike" spc="-1">
                      <a:solidFill>
                        <a:srgbClr val="000000"/>
                      </a:solidFill>
                      <a:latin typeface="Arial"/>
                    </a:defRPr>
                  </a:pPr>
                  <a:endParaRPr lang="lv-LV"/>
                </a:p>
              </c:txPr>
              <c:dLblPos val="t"/>
              <c:showLegendKey val="0"/>
              <c:showVal val="0"/>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2-8D0B-418C-A6B2-FEAE7161E5A0}"/>
                </c:ext>
              </c:extLst>
            </c:dLbl>
            <c:dLbl>
              <c:idx val="7"/>
              <c:spPr/>
              <c:txPr>
                <a:bodyPr wrap="square"/>
                <a:lstStyle/>
                <a:p>
                  <a:pPr>
                    <a:defRPr sz="900" b="0" strike="noStrike" spc="-1">
                      <a:solidFill>
                        <a:srgbClr val="000000"/>
                      </a:solidFill>
                      <a:latin typeface="Arial"/>
                    </a:defRPr>
                  </a:pPr>
                  <a:endParaRPr lang="lv-LV"/>
                </a:p>
              </c:txPr>
              <c:dLblPos val="t"/>
              <c:showLegendKey val="0"/>
              <c:showVal val="0"/>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3-8D0B-418C-A6B2-FEAE7161E5A0}"/>
                </c:ext>
              </c:extLst>
            </c:dLbl>
            <c:dLbl>
              <c:idx val="8"/>
              <c:numFmt formatCode="General" sourceLinked="0"/>
              <c:spPr/>
              <c:txPr>
                <a:bodyPr wrap="square"/>
                <a:lstStyle/>
                <a:p>
                  <a:pPr>
                    <a:defRPr sz="900" b="0" strike="noStrike" spc="-1">
                      <a:solidFill>
                        <a:srgbClr val="000000"/>
                      </a:solidFill>
                      <a:latin typeface="Arial"/>
                    </a:defRPr>
                  </a:pPr>
                  <a:endParaRPr lang="lv-LV"/>
                </a:p>
              </c:txPr>
              <c:dLblPos val="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4-8D0B-418C-A6B2-FEAE7161E5A0}"/>
                </c:ext>
              </c:extLst>
            </c:dLbl>
            <c:numFmt formatCode="General" sourceLinked="0"/>
            <c:spPr>
              <a:noFill/>
              <a:ln>
                <a:noFill/>
              </a:ln>
              <a:effectLst/>
            </c:spPr>
            <c:txPr>
              <a:bodyPr wrap="square"/>
              <a:lstStyle/>
              <a:p>
                <a:pPr>
                  <a:defRPr sz="900" b="0" strike="noStrike" spc="-1">
                    <a:solidFill>
                      <a:srgbClr val="000000"/>
                    </a:solidFill>
                    <a:latin typeface="Arial"/>
                  </a:defRPr>
                </a:pPr>
                <a:endParaRPr lang="lv-LV"/>
              </a:p>
            </c:txPr>
            <c:dLblPos val="t"/>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strCache>
            </c:strRef>
          </c:cat>
          <c:val>
            <c:numRef>
              <c:f>2</c:f>
              <c:numCache>
                <c:formatCode>General</c:formatCode>
                <c:ptCount val="12"/>
                <c:pt idx="6">
                  <c:v>36.9</c:v>
                </c:pt>
                <c:pt idx="7">
                  <c:v>47.3</c:v>
                </c:pt>
                <c:pt idx="8">
                  <c:v>49</c:v>
                </c:pt>
                <c:pt idx="9">
                  <c:v>52</c:v>
                </c:pt>
                <c:pt idx="10">
                  <c:v>49</c:v>
                </c:pt>
                <c:pt idx="11">
                  <c:v>49</c:v>
                </c:pt>
              </c:numCache>
            </c:numRef>
          </c:val>
          <c:smooth val="0"/>
          <c:extLst>
            <c:ext xmlns:c16="http://schemas.microsoft.com/office/drawing/2014/chart" uri="{C3380CC4-5D6E-409C-BE32-E72D297353CC}">
              <c16:uniqueId val="{00000005-8D0B-418C-A6B2-FEAE7161E5A0}"/>
            </c:ext>
          </c:extLst>
        </c:ser>
        <c:ser>
          <c:idx val="3"/>
          <c:order val="3"/>
          <c:tx>
            <c:strRef>
              <c:f>label 3</c:f>
              <c:strCache>
                <c:ptCount val="1"/>
                <c:pt idx="0">
                  <c:v>VV parāda prognoze Covid 3. viļņa scenārijs (MK 24.08.2021)</c:v>
                </c:pt>
              </c:strCache>
            </c:strRef>
          </c:tx>
          <c:spPr>
            <a:ln w="28440" cap="rnd">
              <a:solidFill>
                <a:srgbClr val="828992"/>
              </a:solidFill>
              <a:prstDash val="dash"/>
              <a:round/>
            </a:ln>
          </c:spPr>
          <c:marker>
            <c:symbol val="none"/>
          </c:marker>
          <c:dLbls>
            <c:spPr>
              <a:noFill/>
              <a:ln>
                <a:noFill/>
              </a:ln>
              <a:effectLst/>
            </c:spPr>
            <c:txPr>
              <a:bodyPr wrap="square"/>
              <a:lstStyle/>
              <a:p>
                <a:pPr>
                  <a:defRPr sz="1000" b="0" strike="noStrike" spc="-1">
                    <a:solidFill>
                      <a:srgbClr val="000000"/>
                    </a:solidFill>
                    <a:latin typeface="Arial"/>
                  </a:defRPr>
                </a:pPr>
                <a:endParaRPr lang="lv-LV"/>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strCache>
            </c:strRef>
          </c:cat>
          <c:val>
            <c:numRef>
              <c:f>3</c:f>
              <c:numCache>
                <c:formatCode>General</c:formatCode>
                <c:ptCount val="12"/>
                <c:pt idx="8">
                  <c:v>50.1</c:v>
                </c:pt>
                <c:pt idx="9">
                  <c:v>52.5</c:v>
                </c:pt>
                <c:pt idx="10">
                  <c:v>51.3</c:v>
                </c:pt>
                <c:pt idx="11">
                  <c:v>51.5</c:v>
                </c:pt>
              </c:numCache>
            </c:numRef>
          </c:val>
          <c:smooth val="0"/>
          <c:extLst>
            <c:ext xmlns:c16="http://schemas.microsoft.com/office/drawing/2014/chart" uri="{C3380CC4-5D6E-409C-BE32-E72D297353CC}">
              <c16:uniqueId val="{00000006-8D0B-418C-A6B2-FEAE7161E5A0}"/>
            </c:ext>
          </c:extLst>
        </c:ser>
        <c:ser>
          <c:idx val="4"/>
          <c:order val="4"/>
          <c:tx>
            <c:strRef>
              <c:f>label 4</c:f>
              <c:strCache>
                <c:ptCount val="1"/>
                <c:pt idx="0">
                  <c:v>FDL robežvērtība 60% IKP</c:v>
                </c:pt>
              </c:strCache>
            </c:strRef>
          </c:tx>
          <c:spPr>
            <a:ln w="19080" cap="rnd">
              <a:solidFill>
                <a:srgbClr val="FF0000"/>
              </a:solidFill>
              <a:round/>
            </a:ln>
          </c:spPr>
          <c:marker>
            <c:symbol val="none"/>
          </c:marker>
          <c:dLbls>
            <c:spPr>
              <a:noFill/>
              <a:ln>
                <a:noFill/>
              </a:ln>
              <a:effectLst/>
            </c:spPr>
            <c:txPr>
              <a:bodyPr wrap="square"/>
              <a:lstStyle/>
              <a:p>
                <a:pPr>
                  <a:defRPr sz="1000" b="0" strike="noStrike" spc="-1">
                    <a:solidFill>
                      <a:srgbClr val="000000"/>
                    </a:solidFill>
                    <a:latin typeface="Arial"/>
                  </a:defRPr>
                </a:pPr>
                <a:endParaRPr lang="lv-LV"/>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strCache>
            </c:strRef>
          </c:cat>
          <c:val>
            <c:numRef>
              <c:f>4</c:f>
              <c:numCache>
                <c:formatCode>General</c:formatCode>
                <c:ptCount val="12"/>
                <c:pt idx="0">
                  <c:v>60</c:v>
                </c:pt>
                <c:pt idx="1">
                  <c:v>60</c:v>
                </c:pt>
                <c:pt idx="2">
                  <c:v>60</c:v>
                </c:pt>
                <c:pt idx="3">
                  <c:v>60</c:v>
                </c:pt>
                <c:pt idx="4">
                  <c:v>60</c:v>
                </c:pt>
                <c:pt idx="5">
                  <c:v>60</c:v>
                </c:pt>
                <c:pt idx="6">
                  <c:v>60</c:v>
                </c:pt>
                <c:pt idx="7">
                  <c:v>60</c:v>
                </c:pt>
                <c:pt idx="8">
                  <c:v>60</c:v>
                </c:pt>
                <c:pt idx="9">
                  <c:v>60</c:v>
                </c:pt>
                <c:pt idx="10">
                  <c:v>60</c:v>
                </c:pt>
                <c:pt idx="11">
                  <c:v>60</c:v>
                </c:pt>
              </c:numCache>
            </c:numRef>
          </c:val>
          <c:smooth val="0"/>
          <c:extLst>
            <c:ext xmlns:c16="http://schemas.microsoft.com/office/drawing/2014/chart" uri="{C3380CC4-5D6E-409C-BE32-E72D297353CC}">
              <c16:uniqueId val="{00000007-8D0B-418C-A6B2-FEAE7161E5A0}"/>
            </c:ext>
          </c:extLst>
        </c:ser>
        <c:dLbls>
          <c:showLegendKey val="0"/>
          <c:showVal val="0"/>
          <c:showCatName val="0"/>
          <c:showSerName val="0"/>
          <c:showPercent val="0"/>
          <c:showBubbleSize val="0"/>
        </c:dLbls>
        <c:hiLowLines>
          <c:spPr>
            <a:ln w="0">
              <a:noFill/>
            </a:ln>
          </c:spPr>
        </c:hiLowLines>
        <c:smooth val="0"/>
        <c:axId val="47772984"/>
        <c:axId val="10229304"/>
      </c:lineChart>
      <c:catAx>
        <c:axId val="47772984"/>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700" b="0" strike="noStrike" spc="-1">
                <a:solidFill>
                  <a:srgbClr val="000000"/>
                </a:solidFill>
                <a:latin typeface="Arial"/>
              </a:defRPr>
            </a:pPr>
            <a:endParaRPr lang="lv-LV"/>
          </a:p>
        </c:txPr>
        <c:crossAx val="10229304"/>
        <c:crosses val="autoZero"/>
        <c:auto val="1"/>
        <c:lblAlgn val="ctr"/>
        <c:lblOffset val="100"/>
        <c:noMultiLvlLbl val="0"/>
      </c:catAx>
      <c:valAx>
        <c:axId val="10229304"/>
        <c:scaling>
          <c:orientation val="minMax"/>
        </c:scaling>
        <c:delete val="0"/>
        <c:axPos val="l"/>
        <c:majorGridlines>
          <c:spPr>
            <a:ln w="9360">
              <a:solidFill>
                <a:srgbClr val="D9D9D9"/>
              </a:solidFill>
              <a:round/>
            </a:ln>
          </c:spPr>
        </c:majorGridlines>
        <c:title>
          <c:tx>
            <c:rich>
              <a:bodyPr rot="-5400000"/>
              <a:lstStyle/>
              <a:p>
                <a:pPr>
                  <a:defRPr lang="lv-LV" sz="500" b="0" strike="noStrike" spc="-1">
                    <a:solidFill>
                      <a:srgbClr val="000000"/>
                    </a:solidFill>
                    <a:latin typeface="Arial"/>
                  </a:defRPr>
                </a:pPr>
                <a:r>
                  <a:rPr lang="lv-LV" sz="500" b="0" strike="noStrike" spc="-1">
                    <a:solidFill>
                      <a:srgbClr val="000000"/>
                    </a:solidFill>
                    <a:latin typeface="Arial"/>
                  </a:rPr>
                  <a:t>% IKP</a:t>
                </a:r>
              </a:p>
            </c:rich>
          </c:tx>
          <c:overlay val="0"/>
          <c:spPr>
            <a:noFill/>
            <a:ln w="0">
              <a:noFill/>
            </a:ln>
          </c:spPr>
        </c:title>
        <c:numFmt formatCode="0.0" sourceLinked="0"/>
        <c:majorTickMark val="none"/>
        <c:minorTickMark val="none"/>
        <c:tickLblPos val="nextTo"/>
        <c:spPr>
          <a:ln w="6480">
            <a:noFill/>
          </a:ln>
        </c:spPr>
        <c:txPr>
          <a:bodyPr/>
          <a:lstStyle/>
          <a:p>
            <a:pPr>
              <a:defRPr sz="400" b="0" strike="noStrike" spc="-1">
                <a:solidFill>
                  <a:srgbClr val="000000"/>
                </a:solidFill>
                <a:latin typeface="Arial"/>
              </a:defRPr>
            </a:pPr>
            <a:endParaRPr lang="lv-LV"/>
          </a:p>
        </c:txPr>
        <c:crossAx val="47772984"/>
        <c:crosses val="autoZero"/>
        <c:crossBetween val="between"/>
      </c:valAx>
      <c:spPr>
        <a:noFill/>
        <a:ln w="0">
          <a:noFill/>
        </a:ln>
      </c:spPr>
    </c:plotArea>
    <c:legend>
      <c:legendPos val="b"/>
      <c:layout>
        <c:manualLayout>
          <c:xMode val="edge"/>
          <c:yMode val="edge"/>
          <c:x val="2.38125E-2"/>
          <c:y val="0.86188888888888904"/>
          <c:w val="0.96206012875804703"/>
          <c:h val="0.12768085342815899"/>
        </c:manualLayout>
      </c:layout>
      <c:overlay val="0"/>
      <c:spPr>
        <a:noFill/>
        <a:ln w="0">
          <a:noFill/>
        </a:ln>
      </c:spPr>
      <c:txPr>
        <a:bodyPr/>
        <a:lstStyle/>
        <a:p>
          <a:pPr>
            <a:defRPr sz="700" b="0" strike="noStrike" spc="-1">
              <a:solidFill>
                <a:srgbClr val="000000"/>
              </a:solidFill>
              <a:latin typeface="Arial"/>
            </a:defRPr>
          </a:pPr>
          <a:endParaRPr lang="lv-LV"/>
        </a:p>
      </c:txPr>
    </c:legend>
    <c:plotVisOnly val="1"/>
    <c:dispBlanksAs val="gap"/>
    <c:showDLblsOverMax val="1"/>
  </c:chart>
  <c:spPr>
    <a:solidFill>
      <a:srgbClr val="FFFFFF"/>
    </a:solidFill>
    <a:ln w="9360">
      <a:solidFill>
        <a:srgbClr val="D9D9D9"/>
      </a:solidFill>
      <a:round/>
    </a:ln>
  </c:spPr>
</c:chartSpace>
</file>

<file path=word/theme/theme1.xml><?xml version="1.0" encoding="utf-8"?>
<a:theme xmlns:a="http://schemas.openxmlformats.org/drawingml/2006/main" name="Office Theme">
  <a:themeElements>
    <a:clrScheme name="FDP">
      <a:dk1>
        <a:srgbClr val="000000"/>
      </a:dk1>
      <a:lt1>
        <a:srgbClr val="FFFFFF"/>
      </a:lt1>
      <a:dk2>
        <a:srgbClr val="012069"/>
      </a:dk2>
      <a:lt2>
        <a:srgbClr val="00859B"/>
      </a:lt2>
      <a:accent1>
        <a:srgbClr val="0057B8"/>
      </a:accent1>
      <a:accent2>
        <a:srgbClr val="1F2A44"/>
      </a:accent2>
      <a:accent3>
        <a:srgbClr val="415563"/>
      </a:accent3>
      <a:accent4>
        <a:srgbClr val="828992"/>
      </a:accent4>
      <a:accent5>
        <a:srgbClr val="9D2234"/>
      </a:accent5>
      <a:accent6>
        <a:srgbClr val="7DA538"/>
      </a:accent6>
      <a:hlink>
        <a:srgbClr val="68478D"/>
      </a:hlink>
      <a:folHlink>
        <a:srgbClr val="830B5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334BA3005092044E8D497CF5C2A74793" ma:contentTypeVersion="11" ma:contentTypeDescription="Izveidot jaunu dokumentu." ma:contentTypeScope="" ma:versionID="814ef1f3021ed731e805bac4c3850f4c">
  <xsd:schema xmlns:xsd="http://www.w3.org/2001/XMLSchema" xmlns:xs="http://www.w3.org/2001/XMLSchema" xmlns:p="http://schemas.microsoft.com/office/2006/metadata/properties" xmlns:ns2="9c70c90a-7b91-4514-9304-0bf9c3ca33df" xmlns:ns3="18cde31a-aed2-49ce-b570-e812b29b6342" targetNamespace="http://schemas.microsoft.com/office/2006/metadata/properties" ma:root="true" ma:fieldsID="8c9eba8827ab1ac9bafee20292cd0407" ns2:_="" ns3:_="">
    <xsd:import namespace="9c70c90a-7b91-4514-9304-0bf9c3ca33df"/>
    <xsd:import namespace="18cde31a-aed2-49ce-b570-e812b29b6342"/>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70c90a-7b91-4514-9304-0bf9c3ca33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cde31a-aed2-49ce-b570-e812b29b6342"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326466-0646-444F-881F-1CBE1B50DF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8A7F36-F3D3-4530-A6B9-77BA3E4FCF04}">
  <ds:schemaRefs>
    <ds:schemaRef ds:uri="http://schemas.microsoft.com/sharepoint/v3/contenttype/forms"/>
  </ds:schemaRefs>
</ds:datastoreItem>
</file>

<file path=customXml/itemProps3.xml><?xml version="1.0" encoding="utf-8"?>
<ds:datastoreItem xmlns:ds="http://schemas.openxmlformats.org/officeDocument/2006/customXml" ds:itemID="{8E464A79-DEF8-4B62-81D9-3C6212954BF3}">
  <ds:schemaRefs>
    <ds:schemaRef ds:uri="http://schemas.openxmlformats.org/officeDocument/2006/bibliography"/>
  </ds:schemaRefs>
</ds:datastoreItem>
</file>

<file path=customXml/itemProps4.xml><?xml version="1.0" encoding="utf-8"?>
<ds:datastoreItem xmlns:ds="http://schemas.openxmlformats.org/officeDocument/2006/customXml" ds:itemID="{B240A31F-3866-4E6A-BBE1-8D53FCAF8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70c90a-7b91-4514-9304-0bf9c3ca33df"/>
    <ds:schemaRef ds:uri="18cde31a-aed2-49ce-b570-e812b29b6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35</Pages>
  <Words>52273</Words>
  <Characters>29797</Characters>
  <Application>Microsoft Office Word</Application>
  <DocSecurity>0</DocSecurity>
  <Lines>248</Lines>
  <Paragraphs>163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Inga Jansone</cp:lastModifiedBy>
  <cp:revision>4</cp:revision>
  <cp:lastPrinted>2021-09-29T12:29:00Z</cp:lastPrinted>
  <dcterms:created xsi:type="dcterms:W3CDTF">2021-10-11T07:16:00Z</dcterms:created>
  <dcterms:modified xsi:type="dcterms:W3CDTF">2021-10-11T07:25:00Z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0x010100334BA3005092044E8D497CF5C2A74793</vt:lpwstr>
  </property>
</Properties>
</file>