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25-TA-134: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otrās projektu iesniegumu atlases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Taisnīgas pārkārtošanās fonda projekta (turpmāk – projekts) iesniedzējam (turpmāk – projekta iesniedzējs), finansējuma saņēmējam un sadarbības partneriem;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nav paredzētas prasības sadarbības partneriem, lūdzam precizēt noteikumu projekta 1.4. apakšpunktu. Tāpat norādām, ka Ministru kabineta 2009. gada 3. februāra noteikumu Nr. 108 "Normatīvo aktu projektu sagatavošanas noteikumi" 100. punkts noteic, ka noteikumu projekta pirmajā punktā secīgi raksta vārdus "noteikumi nosaka" un likumā noteikto pilnvarojumu Ministru kabinetam. Ievērojot minēto, lūdzam precizēt Ministru kabineta noteikumu projekta 1.3. un 1.5. apakšpunktu (kontekstā ar 1.6. apakšpunktu), precīzi pārrakstot Ministru kabinetam likumā doto pilnvarojumu. Proti, Eiropas Savienības fondu 2021.-2027. gada plānošanas perioda vadības likuma 19. panta 13. punkts paredz, ka Ministru kabinets noteic specifiskā atbalsta mērķa mērķi, </w:t>
            </w:r>
            <w:r w:rsidR="00000000" w:rsidRPr="00000000" w:rsidDel="00000000">
              <w:rPr>
                <w:u w:val="single"/>
                <w:rtl w:val="0"/>
              </w:rPr>
              <w:t xml:space="preserve">pieejamo finansējumu, nacionālā līdzfinansējuma likmi</w:t>
            </w:r>
            <w:r w:rsidR="00000000" w:rsidRPr="00000000" w:rsidDel="00000000">
              <w:rPr>
                <w:rtl w:val="0"/>
              </w:rPr>
              <w:t xml:space="preserve">, prasības projekta iesniedzējam, prasības projekta sadarbības partneriem (ja tos pieaicina), </w:t>
            </w:r>
            <w:r w:rsidR="00000000" w:rsidRPr="00000000" w:rsidDel="00000000">
              <w:rPr>
                <w:u w:val="single"/>
                <w:rtl w:val="0"/>
              </w:rPr>
              <w:t xml:space="preserve">atbalstāmo darbību un izmaksu attiecināmības nosacījumus, tostarp komercdarbības atbalsta piešķiršanas nosacījumus (ja attiecināms)</w:t>
            </w:r>
            <w:r w:rsidR="00000000" w:rsidRPr="00000000" w:rsidDel="00000000">
              <w:rPr>
                <w:rtl w:val="0"/>
              </w:rPr>
              <w:t xml:space="preserve">, un kārtību, kādā īsteno programmā norādīto Eiropas Savienības fonda specifiskā atbalsta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 punkta un tā apakšpunktu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Taisnīgas pārkārtošanās fonda projekta (turpmāk – projekts) iesniedzējam (turpmāk – projekta iesniedzējs) un finansējuma saņēmējam;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atlases otrās kārtas mērķis ir nomainīt vai pielāgot ar kūdru kurināmas siltumenerģijas ražošanas iekārtas, veicinot pāreju uz atjaunīgajiem energoresursiem vai bezemisiju tehnoloģijām (vai to kombināciju), pārtraucot kūdras kā kurināmā resursa izmantošanu pašvaldības autonomo funkciju īstenošanas infrastruktūras siltumapgādei un sabiedrisko siltumapgādes pakalpojumu 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siltumenerģijas ražošanas katlos, kuros izmanto kūdru, tehnoloģiski pāreja uz cietās biomasas izmantošanu nav finansiāli ietilpīga (to iespējams īstenot attiecīgi katlus pieregulējot, t.i. nav nepieciešama paša katla nomaiņa, izņemot, ja konkrētajos gadījumos tas ir sasniedzis vai ir tuvu ekspluatācijas beigām), tad, lai pēc iespējas lietderīgāk izmantotu pieejamos fonda līdzekļus un panāktu pēc iespējas augstāku pievienoto vērtību vides mērķiem, ierosinām izvirzīt nosacījumu, ka nomaiņas gadījumā atbalstāma ir nomaiņa uz vai nu pilnībā bezemisiju iekārtām vai uz hibrīdsistēmām (bezemisiju tehnoloģija, piemēram, siltumsūknis, kombinācijā ar cieto biomasu). Ja nomaiņa notiktu no viena tipa katla uz tāda paša tipa sadedzināšanas katlu, tikai ar augstāku efektivitāti, publisko investīciju lietderība ar tik augstu atbalsta proporciju ir apšaubāma.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kopumā nav atbalstāmas publiskās investīcijas jaunu 100% cietās (meža) biomasas katlu uzstādīšanā, saistībā ar nepieciešamību ilgtermiņā mazināt meža biomasas lomu siltumenerģijas ražošanā Latvijā, jo ZIZIMM sektora oglekļa emisiju/piesaistes izaicinājums nākotnē rada iespējamību meža biomasai vairs netikt atzītai par atjaunīgo energoresursu.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atlases otrās kārtas mērķis ir nomainīt vai pielāgot ar kūdru kurināmas siltumenerģijas ražošanas iekārtas, veicinot pāreju uz atjaunīgajiem energoresursiem un bezemisiju tehnoloģijām, pārtraucot kūdras kā kurināmā resursa izmantošanu pašvaldības autonomo funkciju īstenošanas infrastruktūras siltumapgādei un sabiedrisko siltumapgādes pakalpojumu 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redakcionāli papildinot Noteikumu projekta 2. punktu. Tādējādi paredzēts, ka atlases otrajā kārtā veicināma pāreja uz atjaunīgo energoresursu, bezemisiju un hibrīdām tehnoloģijām.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atlases otrās kārtas mērķis ir nomainīt vai pielāgot ar kūdru kurināmas siltumenerģijas ražošanas iekārtas, veicinot pāreju uz atjaunīgajiem energoresursiem un bezemisiju tehnoloģijām (vai to kombinācijām), pārtraucot kūdras kā kurināmā resursa izmantošanu sabiedrisko siltumapgādes pakalpojumu sniegšanai un kopējai siltumapgādes infrastruktūras efektivitātes uzlabošanai.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tādu siltumenerģijas ražošanas iekārtu, kurās kā kurināmais tiek izmantota kūdra, nomaiņa uz iekārtām, kurās kā kurināmais tiks izmantoti atjaunīgie energoresursi, vai uz bezemisiju tehnoloģijām, un, ja attiecināms, ar iekārtu nomaiņu saistītā jaudas palielināšana vai samazināšana;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siltumenerģijas ražošanas katlos, kuros izmanto kūdru, tehnoloģiski pāreja uz cietās biomasas izmantošanu nav finansiāli ietilpīga (to iespējams īstenot attiecīgi katlus pieregulējot, t.i. nav nepieciešama paša katla nomaiņa, izņemot, ja konkrētajos gadījumos tas ir sasniedzis vai ir tuvu ekspluatēšanas beigām), tad, lai pēc iespējas lietderīgāk izmantotu pieejamos fonda līdzekļus un panāktu pēc iespējas augstāku pievienoto vērtību vides mērķiem, ierosinām izvirzīt nosacījumu, ka nomaiņas gadījumā atbalstāma ir nomaiņa uz vai nu pilnībā bezemisiju iekārtām vai uz hibrīdsistēmām (bezemisiju tehnoloģija, piemēram, siltumsūknis, kombinācijā ar cieto biomasu). Ja nomaiņa notiktu no viena tipa katla uz tāda paša tipa sadedzināšanas katlu, tikai ar augstāku efektivitāti, publisko investīciju lietderība ar tik augstu atbalsta proporciju ir apšaubāma.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kopumā nav atbalstāmas publiskās investīcijas jaunu 100% cietās (meža) biomasas katlu uzstādīšanā, saistībā ar nepieciešamību ilgtermiņā mazināt meža biomasas lomu siltumenerģijas ražošanā Latvijā, jo ZIZIMM sektora oglekļa emisiju/piesaistes izaicinājums nākotnē rada iespējamību meža biomasai vairs netikt atzītai par atjaunīgo energoresursu.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arī ietvert gaisu piesārņojošo vielu emisiju attīrīšanas iekārtu iegādes un uzstādīšanas pienākumu gadījumos, kad paredzēts izmantot gaisu piesārņojošu tehnoloģiju.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tādu siltumenerģijas ražošanas iekārtu, kurās kā kurināmais tiek izmantota kūdra, nomaiņa uz atjaunīgos energoresursus izmantojošu bezemisiju siltumenerģijas ražošanas, tai skaitā siltumsūkņu (gaiss, ūdens, zeme) un hibrīdsistēmas ar cietās biomasas tehnoloģiju (tai skaitā gaisu piesārņojošo vielu emisiju attīrīšanas iekārtu iegāde un uzstādīšana) iekārtām, un, ja attiecināms, ar iekārtu nomaiņu saistītā jaudas palielināšana vai samazināšana;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Biedrība "Zaļā brīvība" atkārtotu atzinumu sniegusi 2025. gada 4. martā, saskaņojot noteikumu projektu ar priekšlikumiem, tas ir, izmaiņas noteikumu projekta redakcijā veiktas atbilstoši atkārtotajā atzinumā sniegtajiem priekšlikumiem, tas ir, norādot, ka investīcijas veicamas šo noteikumu 13. punktā minētajā nodevumā identificētajos objektos. Redakcionāli papildināts Noteikumu projekta 2. punkts, paredzot, ka atlases otrajā kārtā veicināma pāreja uz atjaunīgo energoresursu, bezemisiju un hibrīdām tehnoloģijām.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tādu siltumenerģijas ražošanas iekārtu, kurās kā kurināmais tiek izmantota kūdra, nomaiņa uz iekārtām, kurās kā kurināmais tiks izmantoti tikai atjaunīgie energoresursi, vai uz bezemisiju tehnoloģijām (vai to kombinācijām), un, ja attiecināms, ar iekārtu nomaiņu saistītā jaudas palielināšana vai samazināšana. Iekārtas un kūdras patēriņš identificēts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minētajā nodevumā;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tādu siltumenerģijas ražošanas iekārtu, kurās kā kurināmais tiek izmantota kūdra, pielāgošana atjaunīgo energoresursu vai bezemisiju tehnoloģiju izmantošanai, un, ja attiecināms, ar iekārtu nomaiņu saistītā jaudas palielināšana vai samazināšana;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siltumenerģijas ražošanas katlos, kuros izmanto kūdru, tehnoloģiski pāreja uz cietās biomasas izmantošanu nav finansiāli ietilpīga (to iespējams īstenot attiecīgi katlus pieregulējot, t.i. nav nepieciešama paša katla nomaiņa, izņemot, ja konkrētajos gadījumos tas ir sasniedzis vai ir tuvu ekspluatēšanas beigām), tad, lai pēc iespējas lietderīgāk izmantotu pieejamos fonda līdzekļus un panāktu pēc iespējas augstāku pievienoto vērtību vides mērķiem, ierosinām izvirzīt nosacījumu, ka nomaiņas gadījumā atbalstāma ir nomaiņa uz vai nu pilnībā bezemisiju iekārtām vai uz hibrīdsistēmām (bezemisiju tehnoloģija, piemēram, siltumsūknis, kombinācijā ar cieto biomasu). Ja nomaiņa notiktu no viena tipa katla uz tāda paša tipa sadedzināšanas katlu, tikai ar augstāku efektivitāti, publisko investīciju lietderība ar tik augstu atbalsta proporciju ir apšaubāma.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kopumā nav atbalstāmas publiskās investīcijas jaunu 100% cietās (meža) biomasas katlu uzstādīšanā, saistībā ar nepieciešamību ilgtermiņā mazināt meža biomasas lomu siltumenerģijas ražošanā Latvijā, jo ZIZIMM sektora oglekļa emisiju/piesaistes izaicinājums nākotnē rada iespējamību meža biomasai vairs netikt atzītai par atjaunīgo energoresursu.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arī ietvert gaisu piesārņojošo vielu emisiju attīrīšanas iekārtu iegādes un uzstādīšanas pienākumu gadījumos, kad paredzēts izmantot gaisu piesārņojošu tehnoloģiju.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tādu siltumenerģijas ražošanas iekārtu, kurās kā kurināmais tiek izmantota kūdra, pielāgošana atjaunīgos energoresursus izmantojošu bezemisiju siltumenerģijas ražošanas, tai skaitā siltumsūkņu (gaiss, ūdens, zeme) un hibrīdsistēmas ar cietās biomasas tehnoloģiju (tai skaitā gaisu piesārņojošo vielu emisiju attīrīšanas iekārtu iegāde un uzstādīšana) iekārtām, un, ja attiecināms, ar iekārtu nomaiņu saistītā jaudas palielināšana vai samazināšana;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Biedrība "Zaļā brīvība" atkārtotu atzinumu sniegusi 2025. gada 4. martā, saskaņojot noteikumu projektu ar priekšlikumiem, tas ir, izmaiņas noteikumu projekta redakcijā veiktas atbilstoši atkārtotajā atzinumā sniegtajiem priekšlikumiem, tas ir, norādot, ka investīcijas veicamas šo noteikumu 13. punktā minētajā nodevumā identificētajos objektos. Redakcionāli papildināts Noteikumu projekta 2. punkts, paredzot, ka atlases otrajā kārtā veicināma pāreja uz atjaunīgo energoresursu, bezemisiju un hibrīdām tehnoloģijām.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tādu siltumenerģijas ražošanas iekārtu, kurās kā kurināmais tiek izmantota kūdra, pielāgošana (tai skaitā pārbūve) tikai atjaunīgo energoresursu vai bezemisiju tehnoloģiju izmantošanai (vai to kombinācijai), un, ja attiecināms, ar iekārtu pielāgošan</w:t>
            </w:r>
            <w:r w:rsidR="00000000" w:rsidRPr="00000000" w:rsidDel="00000000">
              <w:rPr>
                <w:rtl w:val="0"/>
              </w:rPr>
              <w:t xml:space="preserve">u saistītā jaudas palielināšana vai samazināšana. Iekārtas un kūdras patēriņš identificēts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 minētajā nodevumā;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mehānismu un tehnoloģisko risinājumu, vai to kombinācijas, kas nodrošina pāreju no enerģētiskās kūdras izmantošanas uz atjaunīgo energoresursu izmantošanu vai uz bezemisiju tehnoloģiju, iegādes, uzstādīšanas vai pielāgošanas izmaksas, tai skaitā esošo iekārtu demontāžas izmaksas, jaunas infrastruktūras būvdarbu un esošās infrastruktūras atjaunošanas vai pārbūves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siltumenerģijas ražošanas katlos, kuros izmanto kūdru, tehnoloģiski pāreja uz cietās biomasas izmantošanu nav finansiāli ietilpīga (to iespējams īstenot attiecīgi katlus pieregulējot, t.i. nav nepieciešama paša katla nomaiņa, izņemot, ja konkrētajos gadījumos tas ir sasniedzis vai ir tuvu ekspluatēšanas beigām), tad, lai pēc iespējas lietderīgāk izmantotu pieejamos fonda līdzekļus un panāktu pēc iespējas augstāku pievienoto vērtību vides mērķiem, ierosinām izvirzīt nosacījumu, ka nomaiņas gadījumā atbalstāma ir nomaiņa uz vai nu pilnībā bezemisiju iekārtām vai uz hibrīdsistēmām (bezemisiju tehnoloģija, piemēram, siltumsūknis, kombinācijā ar cieto biomasu). Ja nomaiņa notiktu no viena tipa katla uz tāda paša tipa sadedzināšanas katlu, tikai ar augstāku efektivitāti, publisko investīciju lietderība ar tik augstu atbalsta proporciju ir apšaubāma.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kopumā nav atbalstāmas publiskās investīcijas jaunu 100% cietās (meža) biomasas katlu uzstādīšanā, saistībā ar nepieciešamību ilgtermiņā mazināt meža biomasas lomu siltumenerģijas ražošanā Latvijā, jo ZIZIMM sektora oglekļa emisiju/piesaistes izaicinājums nākotnē rada iespējamību meža biomasai vairs netikt atzītai par atjaunīgo energoresursu.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arī ietvert gaisu piesārņojošo vielu emisiju attīrīšanas iekārtu iegādes un uzstādīšanas pienākumu gadījumos, kad paredzēts izmantot gaisu piesārņojošu tehnoloģiju.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mehānismu un tehnoloģisko risinājumu, vai to kombinācijas, kas nodrošina pāreju no enerģētiskās kūdras izmantošanas uz atjaunīgo bezemisiju energoresursu izmantošanu vai uz hibrīdsistēmas ar cietās biomasas tehnoloģiju iekārtām, iegādes, uzstādīšanas vai pielāgošanas izmaksas, tai skaitā esošo iekārtu demontāžas izmaksas, jaunas infrastruktūras būvdarbu un esošās infrastruktūras atjaunošanas vai pārbūves izmaksas, un gaisu piesārņojošo vielu emisiju attīrīšanas iekārtu iegādes un uzstādīšanas izmaksas;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biedrībai "Zaļā brīvība" atkārtotu atzinumu sniedzot 2025. gada 4. martā, saskaņojot noteikumu projektu ar priekšlikumiem, tas ir, izmaiņas noteikumu projekta redakcijā veiktas atbilstoši atkārtotajā atzinumā sniegtajiem priekšlikumiem. Vienlaikus norādām, ka investīcijas papildus infrastruktūrā tiek atbalstītas, ja tās nepieciešamas energoefektivitātes uzlabošanai un siltumapgādes sistēmu efektivitātes un lietderības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mehānismu un tehnoloģisko risinājumu, vai to kombinācijas, kas nodrošina pāreju no kūdras izmantošanas uz atjaunīgo energoresursu izmantošanu vai uz bezemisiju tehnoloģiju, iegādes, uzstādīšanas vai pielāgošanas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 nodrošina, ka, ja projekta ietvaros plānota pāreja uz koksnes biomasas kā atjaunīgā energoresursa izmantošanu, projekta dzīves ciklā, kas iekļauj projekta īstenošanas laiku un pēcuzraudzības periodu un ir vismaz 15 gadi, par kurināmo izmantos mazvērtīgu biomasas kurināmo.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iebilst nosacījumam (pienākumam) komersantiem vismaz 15 gadus par kurināmo izmantot "mazvērtīgu biomasas kurināmo",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normatīvajā regulējumā nav definēts "mazvērtīgs biomasas kurināmais", bet šajā noteikumu projektā finansējuma saņēmējam jau būtu jābūt skaidri saprotamiem nosacījumiem, kādu kurināmo drīkstēs vai varēs izmantot pēc projekta realizācijas. Norādām, ka Latvijā tiek izmantoti standarti rūpniecisko apaļo kokmateriālu (vai rūpnieciskie apaļkoki) definēšanai. "Rūpnieciskie apaļkoki" ir definēti arī Eiropas Parlamenta un Padomes 2023.gada 18.oktobra direktīvas (ES) 2023/2413, ar ko attiecībā uz atjaunīgo energoresursu enerģijas izmantošanas veicināšanu groza Direktīvu (ES) 2018/2001, Regulu (ES) 2018/1999 un Direktīvu 98/70/EK un atceļ Padomes Direktīvu (ES) 2015/652, 2.panta 1a) punktā, kas pēc būtības tiks pārņemts ar likumprojektu "Grozījumi Enerģētikas likumā" (24-TA-1475). Tāpat Latvijā tiek izmantoti standarti tehniskās koksnes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Latvijas normatīvajā regulējumā nav definēts "mazvērtīgs biomasas kurināmais", tad šāda termina iekļaušanas noteikumu projektā dēļ šāds definējums vai standarts būtu izstrādājams, un pēc tam finansējuma saņēmējam būtu jāveic sertifikācija atbilstoši šai jaunajai definīcijai un standartam.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Latvijā jau šobrīd normatīvais regulējums veicina to, ka kā kurināmais tiek izmantotas ilgtspējīgi iegūtas izejvielas, jo kurināmā piegādātājiem ir spēkā ilgtspējas un emisiju ietaupījumu kritēriji - Ministru kabineta 2022.gada 2.novembra noteikumi Nr.686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likumprojektu "Grozījumi Enerģētikas likumā" (24-TA-1475) atbalsta programmu ietvaros tiek ieviests kaskadēšanas princips, kas noteic, ka primāri cietās biomasas izejvielas ir izmantojamas koksnes produktu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Klimata un enerģētikas ministrija uzskata, ka jau šobrīd ir pietiekams regulējums, lai nodrošinātu, ka kā kurināmais tiek izmantots tikai ilgtspējīgs cietais biomasas kurināmais.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ka, ja projekta ietvaros plānota pāreja uz koksnes biomasas kā atjaunīgā energoresursa izmantošanu, projekta dzīves ciklā, kas iekļauj projekta īstenošanas laiku un pēcuzraudzības periodu un ir vismaz 15 gadi, par kurināmo izmantos ilgtspējīgu biomasas kurināmo.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25.10. apakšpunkts, nosakot, ka kā kurināmais izmantojams ilgtspējīgs biomasas kurināmais, kas ietver šķeldu, kokskaidu briketes un kokskaidu granulas, respektīvi, šī Noteikumu projekta izpratnē ilgtspējīgs biomasas kurināmais ietver tādu koksni, kas nav lietderīgi izmantojama citā veidā, tādēļ vienlaikus uzskatāma par mazvērtīgu, tai nav cita ekonomiska pienesuma. Apakšpunkta ietvaros saprotams, ka finansējuma saņēmējs kā kurināmo nedrīkst izmantot rūpnieciskos apaļkokus, kas definēti Eiropas Parlamenta un Padomes 2023.gada 18.oktobra Direktīvas (ES) 2023/2413, ar ko attiecībā uz atjaunīgo energoresursu enerģijas izmantošanas veicināšanu groza Direktīvu (ES) 2018/2001, Regulu (ES) 2018/1999 un Direktīvu 98/70/EK un atceļ Padomes Direktīvu (ES) 2015/652, 2.panta 1a)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skaidrojums sniegts anotācijas 1.3. sadaļā, norādot, ka  ilgtspējīgs biomasas kurināmais šinī Noteikumu projektā saprotams atbilstoši Ministru kabineta noteikumu Nr. 686 “Noteikumi par ilgtspējas un siltumnīcefekta gāzu emisiju ietaupījuma kritērijiem, no biomasas kurināmā ražotās elektroenerģijas kritērijiem un kārtību, kādā pamatojama, apliecināma un uzraugāma atbilstība minētajiem kritērijiem” II un III nodaļas prasībām.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 nodrošina, ka, ja projekta ietvaros plānota pāreja uz koksnes biomasas kā atjaunīgā energoresursa izmantošanu, projekta dzīves ciklā, kas iekļauj projekta īstenošanas laiku un pēcuzraudzības periodu un ir vismaz 15 gadi, par kurināmo izmantos ilgtspējīgu biomasas kurināmo (šķeldu, kokskaidu briketes, kokskaidu granulas).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Šo noteikumu </w:t>
            </w:r>
            <w:r w:rsidR="00000000" w:rsidRPr="00000000" w:rsidDel="00000000">
              <w:rPr>
                <w:rtl w:val="0"/>
              </w:rPr>
              <w:t xml:space="preserve">17.3. </w:t>
            </w:r>
            <w:r w:rsidR="00000000" w:rsidRPr="00000000" w:rsidDel="00000000">
              <w:rPr>
                <w:rtl w:val="0"/>
              </w:rPr>
              <w:t xml:space="preserve">apakšpunktu</w:t>
            </w:r>
            <w:r w:rsidR="00000000" w:rsidRPr="00000000" w:rsidDel="00000000">
              <w:rPr>
                <w:rtl w:val="0"/>
              </w:rPr>
              <w:t xml:space="preserve"> un </w:t>
            </w:r>
            <w:r w:rsidR="00000000" w:rsidRPr="00000000" w:rsidDel="00000000">
              <w:rPr>
                <w:rtl w:val="0"/>
              </w:rPr>
              <w:t xml:space="preserve">17.4. </w:t>
            </w:r>
            <w:r w:rsidR="00000000" w:rsidRPr="00000000" w:rsidDel="00000000">
              <w:rPr>
                <w:rtl w:val="0"/>
              </w:rPr>
              <w:t xml:space="preserve">apakšpunktu</w:t>
            </w:r>
            <w:r w:rsidR="00000000" w:rsidRPr="00000000" w:rsidDel="00000000">
              <w:rPr>
                <w:rtl w:val="0"/>
              </w:rPr>
              <w:t xml:space="preserve"> piemēro no dienas, kad Eiropas Komisijā ir apstiprināti Eiropas Savienības kohēzijas politikas programmas 2021.–2027. gadam grozījumi, kas 6. politikas mērķa “Taisnīgas pārkārtošanās fonda investīcijas” ietvaros paredz ieguldījumus siltumenerģijas apgādes pielāgošanai alternatīviem atjaunīgo energoresursu kurināmajiem, veicinot siltumnīcefekta gāzu emisiju samazinājumu.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40. punktu vai arī sniegt izvērstāku pamatojumu šāda pārejas noteikuma nepieciešamībai un pieļaujamībai. Turklāt anotācijā norādīts, ka nav zināms, kad attiecīgie Eiropas Savienības kohēzijas politikas programmas 2021.–2027. gadam grozījumi tiks apstiprināti Eiropas Komisijā. Lūdzam izvērtēt iespēju tad, ja un kad attiecīgie grozījumi tiek apstiprināti, attiecīgi virzīt grozījumus šajos noteikumos. Papildus atgādinām, ka Eiropas Savienības kohēzijas politikas programma 2021.–2027. gadam ir apstiprināta ar Ministru kabineta 2021. gada 16. novembra rīkojumu Nr. 841 "Par Eiropas Savienības kohēzijas politikas programmu 2021.–2027. gadam". Attiecīgi arī tās grozījumi ir apstiprināmi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Norādām, ka Eiropas Savienības kohēzijas politikas programmā 2021.–2027. gadam (turpmāk - Programma) veicamais grozījums ir tehniska rakstura, Programmas ietvaros nosakot iespēju veikt papildu pasākumus siltumapgādē (tas ir, tehniski Programmā specificējot siltumapgādi, ne vien tā ražošanu), vienlaikus uzlabojot siltumapgādes efektivitāti, tostarp mazinot siltumenerģijas zudumus. Ņemot vērā grozījumu būtību un to faktisko saistību ar šobrīd Programmā iekļautajām darbībām, kā arī atlases kārtā atbalstāmo pašvaldību faktiskajiem apstākļiem plānotajos atbalstāmajos objektos, šādi grozījumi uzskatāmi par tehniskiem papildinājumiem, kas nemaina atlases kārtā atbalstāmo darbību loku pēc būtības, vienlaikus paredz atsevišķas papildu darbības, kuras iespējams veikt, ja Programmas grozījumi tiek apstiprināti.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ņemt vērā, ka šāds nosacījums attiecībā uz Programmas grozījumu saskaņojumu saņemšanu no Eiropas Komisijas ietverts citos VARAM izstrādātajos un jau spēkā stājušos Ministru kabineta noteikumos, kas tādējādi mazina administratīvo slogu, kas rastos atsevišķu grozījumu virzīšanas gadījumā, sekojoši paātrinot investīciju nonākšanas tautsaimniecībā tempu: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2024. gada 7. maija noteikumi Nr. 285 "Eiropas Savienības kohēzijas politikas programmas 2021.–2027. gadam 2.2.1. specifiskā atbalsta mērķa "Veicināt ilgtspējīgu ūdenssaimniecību"  2.2.1.1. pasākuma "Notekūdeņu un to dūņu apsaimniekošanas sistēmas attīstība piesārņojuma samazināšanai" pirmās projektu iesniegumu atlases kārtas īstenošanas noteikumi" (23-TA-3286);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2024. gada 7. maija noteikumi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 (23-TA-2118);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2024. gada 9. jūlija noteikumi Nr. 449 "Eiropas Savienības kohēzijas politikas programmas 2021.–2027. gadam 2.2.3. specifiskā atbalsta mērķa "Uzlabot dabas aizsardzību un bioloģisko daudzveidību, "zaļo" infrastruktūru, it īpaši pilsētvidē, un samazināt piesārņojumu" 2.2.3.2. pasākuma "Vides izglītību veicinoši pasākumi sabiedrības informētībai un prasmju attīstībai" īstenošanas noteikumi" (23-TA-2111).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nepieciešamie Programmas grozījumi netiks apstiprināti, netiek atbalstītas un projekta ietvaros īstenotas 17.3 un 17.4. apakšpunktā paredzētās darbības siltumapgādes sistēmas efektivitātes uzlabošanai. Ja projektu iesniegumu iesniegšanas termiņa laikā Eiropas Komisija nav pieņēmusi lēmumu par Programmas grozījumiem, 17.3. un 17.4. apakšpunktā minēto darbību īstenošana nav atbalstāma projekta ietvaros. Tas finansējuma saņēmējam neliedz īstenot darbības kūdras sadedzināšanas iekārtu nomaiņai vai pielāgošanai, tomēr projekta ietvaros kopējais enerģijas galapatēriņa ietaupījums būtu zemāks, salīdzinot ar situāciju, kad 17.3. un 17.4. apakšpunktā noteiktās darbības projekta ietvaros tiktu īstenotas, ņemot vērā, ka tās ietver energoefektivitāti veicinošus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Šo noteikumu </w:t>
            </w:r>
            <w:r w:rsidR="00000000" w:rsidRPr="00000000" w:rsidDel="00000000">
              <w:rPr>
                <w:rtl w:val="0"/>
              </w:rPr>
              <w:t xml:space="preserve">17.3. </w:t>
            </w:r>
            <w:r w:rsidR="00000000" w:rsidRPr="00000000" w:rsidDel="00000000">
              <w:rPr>
                <w:rtl w:val="0"/>
              </w:rPr>
              <w:t xml:space="preserve">apakšpunktu</w:t>
            </w:r>
            <w:r w:rsidR="00000000" w:rsidRPr="00000000" w:rsidDel="00000000">
              <w:rPr>
                <w:rtl w:val="0"/>
              </w:rPr>
              <w:t xml:space="preserve"> un </w:t>
            </w:r>
            <w:r w:rsidR="00000000" w:rsidRPr="00000000" w:rsidDel="00000000">
              <w:rPr>
                <w:rtl w:val="0"/>
              </w:rPr>
              <w:t xml:space="preserve">17.4. </w:t>
            </w:r>
            <w:r w:rsidR="00000000" w:rsidRPr="00000000" w:rsidDel="00000000">
              <w:rPr>
                <w:rtl w:val="0"/>
              </w:rPr>
              <w:t xml:space="preserve">apakšpunktu</w:t>
            </w:r>
            <w:r w:rsidR="00000000" w:rsidRPr="00000000" w:rsidDel="00000000">
              <w:rPr>
                <w:rtl w:val="0"/>
              </w:rPr>
              <w:t xml:space="preserve"> piemēro no dienas, kad Eiropas Komisijā ir apstiprināti Eiropas Savienības kohēzijas politikas programmas 2021.–2027. gadam grozījumi, kas 6. politikas mērķa “Taisnīgas pārkārtošanās fonda investīcijas” ietvaros paredz ieguldījumus siltumenerģijas apgādes pielāgošanai alternatīviem atjaunīgo energoresursu kurināmajiem, veicinot siltumnīcefekta gāzu emisiju samazinājumu.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otrās projektu iesniegumu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("Zaļā brīvība" - 04.03.2025.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pasākuma iepriekšējās kārtas ietvaros izstrādāto ziņojumu "Kūdras sadedzināšanas iekārtu enerģijas ieguvē apzināšana un alternatīvu izpēte", secināms, ka biedrības iepriekš iesniegtais iebildums attiecībā uz jaunu 100% cietās biomasas katlu uzstādīšanu (bez bezemisiju tehnoloģijas komponentes) nav šajā gadījumā pilnībā atbilstošs realitātei, jo ir atsevišķas vietas, kur ieguldījumi augstāka līmeņa/pievienotās vērtības siltumapgādes tehnoloģijās (siltumsūkņi vai saules enerģijas tehnoloģijas) var nebūt lietderīgi, ņemot vērā neskaidrību ar pieprasījumu pēc siltumenerģijas konkrētajā apdzīvotajā vietā nākotnē.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papildu norādīt uz 2 citiem potenciāliem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projektā trūkst nosacījums, ka iekārtās, kas iegādātas vai pārveidotas/pieregulētas atbalsta programmas ietvaros, piecus gadus būs pienākums izmantot tikai atjaunīgos energoresursus (respektīvi, nepāriet atpakaļ uz kūdras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15.1. un 15.2. punktos minēts, ka atbalstāma pāreja no iekārtām vai to pieregulēšana, "kurās kā kurināmais </w:t>
            </w:r>
            <w:r w:rsidR="00000000" w:rsidRPr="00000000" w:rsidDel="00000000">
              <w:rPr>
                <w:b w:val="1"/>
                <w:rtl w:val="0"/>
              </w:rPr>
              <w:t xml:space="preserve">tiek </w:t>
            </w:r>
            <w:r w:rsidR="00000000" w:rsidRPr="00000000" w:rsidDel="00000000">
              <w:rPr>
                <w:rtl w:val="0"/>
              </w:rPr>
              <w:t xml:space="preserve">izmantota kūdra", vienlaikus augstāk minētajā ziņojumā vairāki katli kūdru izmantoja 2022., 2023. gadā, taču, bija noprotams,ka ne 2024. gadā, vienlaikus šo katlu nomaiņai atbalsts tāpat būtu lietderīgs to zemās efektivitātes un nolietojuma dēļ. Attiecīgi lūdzam apsvērt, vai nav nepieciešams 15.1. un 15.2. punktos nomainīt formulējumu uz, piemēram, "kurās kā kurnāmais </w:t>
            </w:r>
            <w:r w:rsidR="00000000" w:rsidRPr="00000000" w:rsidDel="00000000">
              <w:rPr>
                <w:b w:val="1"/>
                <w:rtl w:val="0"/>
              </w:rPr>
              <w:t xml:space="preserve">tiek vai pēdējos 3 gadu laikā kopš šo noteikumu stāšanās spēkā tika izmantota</w:t>
            </w:r>
            <w:r w:rsidR="00000000" w:rsidRPr="00000000" w:rsidDel="00000000">
              <w:rPr>
                <w:rtl w:val="0"/>
              </w:rPr>
              <w:t xml:space="preserve"> kūdra".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Nacionālajā enerģētikas un klimata plānā noteiktos uzdevumus un mērķus, kas sasniedzami līdz 2030. gadam, kā arī rezultātu ilgtspēju un uzturēšanu turpmākajā dzīves ciklā, MK noteikumu projekta 25.10. apakšpunktā noteikta prasība projekta iesniedzējam tajos gadījumos, kad iekārta pielāgota vai nomainīta pret iekārtu ar biomasas kurināmo: “nodrošina, ka, ja projekta ietvaros plānota pāreja uz koksnes biomasas kā atjaunīgā energoresursa izmantošanu, projekta dzīves ciklā, kas iekļauj projekta īstenošanas laiku un pēcuzraudzības periodu un ir vismaz 15 gadi, par kurināmo izmantos mazvērtīgu biomasas kurināmo”.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vērtēšanā kā viens no HP NBK specifiskajiem atbilstības kritērijiem iekļauts projekta iesniedzēja apliecinājums par noteikumu 25.10. apakšpunktā noteikto prasību izpildi, tas ir, apliecinājums, ka kā kurināmo izmantos biomasas kurināmo no mazvērtīgās koksnes un koksnes atlikumiem.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Kūdras sadedzināšanas iekārtu inventarizācija veikta 2024. gadā, tādēļ tajā iekļauta tobrīd pieejamā informācija par patēriņu 2021., 2022. un 2023. gada laikā. Papildus, kā norādīts izvērtējumā, vētīts arī pašvaldību 2024. gadā iepirktais kūdras apjoms un cena. Rosinām 17.1. un 17.2. apakšpunktus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tādu siltumenerģijas ražošanas iekārtu, kurās kā kurināmais tiek izmantota kūdra, nomaiņa uz iekārtām, kurās kā kurināmais tiks izmantoti atjaunīgie energoresursi, vai uz bezemisiju tehnoloģijām, un, ja attiecināms, ar iekārtu nomaiņu saistītā jaudas palielināšana vai samazināšana. </w:t>
            </w:r>
            <w:r w:rsidR="00000000" w:rsidRPr="00000000" w:rsidDel="00000000">
              <w:rPr>
                <w:b w:val="1"/>
                <w:rtl w:val="0"/>
              </w:rPr>
              <w:t xml:space="preserve">Iekārtas un kūdras patēriņš identificēts šo noteikumu 13. punktā minētajā nodevumā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tādu siltumenerģijas ražošanas iekārtu, kurās kā kurināmais tiek izmantota kūdra, pielāgošana (tai skaitā pārbūve) atjaunīgo energoresursu vai bezemisiju tehnoloģiju izmantošanai, un, ja attiecināms, ar iekārtu pielāgošanu saistītā jaudas palielināšana vai samazināšana. </w:t>
            </w:r>
            <w:r w:rsidR="00000000" w:rsidRPr="00000000" w:rsidDel="00000000">
              <w:rPr>
                <w:b w:val="1"/>
                <w:rtl w:val="0"/>
              </w:rPr>
              <w:t xml:space="preserve">Iekārtas un kūdras patēriņš identificēts šo noteikumu 13. punktā minētajā nodevumā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otrās projektu iesniegumu atlases kārtas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mērķgrupa ir Latvijas Republikas pašvaldības, kurās pašvaldības autonomo funkciju īstenošanas infrastruktūras siltumapgādei un sabiedrisko siltumapgādes pakalpojumu sniegšanai kā kurināmo izmanto kūdru, un šo pašvaldību iedzīvotāji.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4. punktu, nosakot </w:t>
            </w:r>
            <w:r w:rsidR="00000000" w:rsidRPr="00000000" w:rsidDel="00000000">
              <w:rPr>
                <w:u w:val="single"/>
                <w:rtl w:val="0"/>
              </w:rPr>
              <w:t xml:space="preserve">pasākuma atlases otrās kārtas</w:t>
            </w:r>
            <w:r w:rsidR="00000000" w:rsidRPr="00000000" w:rsidDel="00000000">
              <w:rPr>
                <w:rtl w:val="0"/>
              </w:rPr>
              <w:t xml:space="preserve"> mērķa grupu, ņemot vērā arī noteikumu projekta 1. punktu. Alternatīvi aicinām sniegt pamatotu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punktā definēta atbalsta mērķa grupa, tas ir, Līvānu novada un Preiļu novada pašvaldības Latgales statistiskajā reģionā, kā arī pašvaldību iedzīvotāji.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atlases otrās kārtas mērķa grupa ir Latvijas Republikas Līvānu novada un Preiļu novada pašvaldības, kurās sabiedrisko siltumapgādes pakalpojumu sniegšanai kā kurināmo izmanto kūdru, un šo pašvaldību iedzīvotāji.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atlases otro kārtu īsteno līdz 2028. gada 31. decembrim, sasniedzot šādus nacionālos rādītājus: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2025. gada 21. februārī Ministru prezidentes Evikas Siliņas paziņotajām valdības 4x4 prioritātēm 2025. gadam, kā arī ikgadējā ziņojumā Saeimai iekļauto apņemšanos 2025. gadā turpināt darbu pie birokrātijas mazināšanas pasākumiem Eiropas Savienības fondu apguvē, t.sk.  paredzot atteikties no prasībām, kas nav noteiktas kā obligātas saskaņā ar ES un Latvijas tiesību aktiem, aicinām izvērtēt vai noteikumu projekta 5.punktā nepieciešams iekļaut visus šobrīd noteiktos nacionālos rādītājus.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ka nacionālo rādītāju sasniegšana ir būtiska, lai nodrošinātu Taisnīgas pārkārtošanās fonda investīciju atbilstību Taisnīgas pārkārtošanās teritoriālajā plānā noteiktajam, tas ir, projektu īstenošanas rezultātā panākta virzība uz klimatneitralitāti un klimatnoturību. Administratīvā sloga mazināšanai Noteikumu projektā nav iekļauts nacionālais rādītājs, kas paredz pāreju no kūdras uz atjaunīgo energoresursu izmantošanu siltumapgādē vismaz vienā statistiskajā reģionā, kas Taisnīgas pārkārtošanās teritoriālajā plānā identificēts kā atbalstāmais reģions atbilstoši 2022. gada 25. novembrī spēkā esošajai Statistiski teritoriālo vienību nomenklatūras 3. līmeņa (NUTS 3. līmenis) klasifikācijai.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6. politikas mērķa investīciju pasākumi mērķēti uz siltumnīcefekta gāzu emisiju samazināšanu tautsaimniecībā, paredzēta nacionālā rādītāja - kopējais sasniedzamais oglekļa dioksīda emisiju samazinājums - sasniegšana.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enerģijas galapatēriņa uzskaite piedāvātajā formātā ir būtiska, lai vienkāršotu 6.1.1.1. pasākuma ietvaros sasniegtā kopējā enerģijas galapatēriņa ietaupījuma uzskaiti un ziņošanu atbilstoši Energoefektivitātes likuma 15.panta trešās un ceturtās daļas prasībām. Galapatēriņa ietaupījumu aprēķinā ņem vērā 2022. gada 18. oktobra Ministru kabineta noteikumu Nr. 660 “Energoefektivitātes monitoringa noteikumi” nosacījumus.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atlases otro kārtu īsteno līdz 2028. gada 31. decembrim, sasniedzot šādus nacionālos rādītājus: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atlases otrās kārtas īstenošanai plānotais un pieejamais kopējais attiecināmais finansējums ir vismaz 1 150 000 </w:t>
            </w:r>
            <w:r w:rsidR="00000000" w:rsidRPr="00000000" w:rsidDel="00000000">
              <w:rPr>
                <w:i w:val="1"/>
                <w:rtl w:val="0"/>
              </w:rPr>
              <w:t xml:space="preserve">euro</w:t>
            </w:r>
            <w:r w:rsidR="00000000" w:rsidRPr="00000000" w:rsidDel="00000000">
              <w:rPr>
                <w:rtl w:val="0"/>
              </w:rPr>
              <w:t xml:space="preserve">, tai skaitā Taisnīgas pārkārtošanās fonda finansējums – 1 000 000 </w:t>
            </w:r>
            <w:r w:rsidR="00000000" w:rsidRPr="00000000" w:rsidDel="00000000">
              <w:rPr>
                <w:i w:val="1"/>
                <w:rtl w:val="0"/>
              </w:rPr>
              <w:t xml:space="preserve">euro</w:t>
            </w:r>
            <w:r w:rsidR="00000000" w:rsidRPr="00000000" w:rsidDel="00000000">
              <w:rPr>
                <w:rtl w:val="0"/>
              </w:rPr>
              <w:t xml:space="preserve">, un nacionālais līdzfinansējums, ko veido pašvaldības budžeta līdzfinansējums, – vismaz 150 000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7.punktā norādīto finansējumu, nodrošinot Taisnīgās pārkārtošanās fonda atbalsta intensitāti 85 % un līdzfinansējuma intensitāti 15% apmērā, atbilstoši noteikumu projekta 9.punktam, attiecīgi precizējot arī anotācijas 3.sadaļu.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punktā un anotācijas 1.3. un 3. sadaļā precizēts līdzfinansējuma apjoms, nodrošinot Taisnīgas pārkārtošanās fonda atbalsta intensitāti 85%, bet nacionālā līdzfinansējuma intensitāti 15% apmērā.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atlases otrās kārtas īstenošanai plānotais un pieejamais kopējais attiecināmais finansējums ir vismaz 1 176 471 </w:t>
            </w:r>
            <w:r w:rsidR="00000000" w:rsidRPr="00000000" w:rsidDel="00000000">
              <w:rPr>
                <w:i w:val="1"/>
                <w:rtl w:val="0"/>
              </w:rPr>
              <w:t xml:space="preserve">euro</w:t>
            </w:r>
            <w:r w:rsidR="00000000" w:rsidRPr="00000000" w:rsidDel="00000000">
              <w:rPr>
                <w:rtl w:val="0"/>
              </w:rPr>
              <w:t xml:space="preserve">, tai skaitā Taisnīgas pārkārtošanās fonda finansējums – 1 000 000 </w:t>
            </w:r>
            <w:r w:rsidR="00000000" w:rsidRPr="00000000" w:rsidDel="00000000">
              <w:rPr>
                <w:i w:val="1"/>
                <w:rtl w:val="0"/>
              </w:rPr>
              <w:t xml:space="preserve">euro</w:t>
            </w:r>
            <w:r w:rsidR="00000000" w:rsidRPr="00000000" w:rsidDel="00000000">
              <w:rPr>
                <w:rtl w:val="0"/>
              </w:rPr>
              <w:t xml:space="preserve">, un nacionālais līdzfinansējums, ko veido pašvaldības budžeta līdzfinansējums un, ja attiecināms, pašvaldības līdzfinansējums, kas ir brīvs no komercdarbības atbalsta, – vismaz 176 471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atlases otrās kārtas īstenošanai plānotais un pieejamais kopējais attiecināmais finansējums ir vismaz 5 000 000 </w:t>
            </w:r>
            <w:r w:rsidR="00000000" w:rsidRPr="00000000" w:rsidDel="00000000">
              <w:rPr>
                <w:i w:val="1"/>
                <w:rtl w:val="0"/>
              </w:rPr>
              <w:t xml:space="preserve">euro</w:t>
            </w:r>
            <w:r w:rsidR="00000000" w:rsidRPr="00000000" w:rsidDel="00000000">
              <w:rPr>
                <w:rtl w:val="0"/>
              </w:rPr>
              <w:t xml:space="preserve">, tai skaitā Taisnīgas pārkārtošanās fonda finansējums – 4 250 000 </w:t>
            </w:r>
            <w:r w:rsidR="00000000" w:rsidRPr="00000000" w:rsidDel="00000000">
              <w:rPr>
                <w:i w:val="1"/>
                <w:rtl w:val="0"/>
              </w:rPr>
              <w:t xml:space="preserve">euro </w:t>
            </w:r>
            <w:r w:rsidR="00000000" w:rsidRPr="00000000" w:rsidDel="00000000">
              <w:rPr>
                <w:rtl w:val="0"/>
              </w:rPr>
              <w:t xml:space="preserve">un nacionālais līdzfinansējums, ko veido pašvaldības budžeta vai privātais līdzfinansējums, – 750 000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kādas ir minimālās un maksimālās projekta iesniedzamās izmaksas vienam projektam.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atlases otro kārtu paredzēts īstenot ierobežotas projektu iesniegumu atlases veidā. Abiem finansējuma saņēmējiem jāīsteno projekti tādā finanšu apjomā, kas ir līdzvērtīgs Pasākuma pirmās kārtas ietvaros veiktā kūdras sadedzināšanas iekārtu inventarizācijā, kā arī alternatīvu izvērtējumā (pieejams Viedās administrācijas un reģionālās attīstības ministrijas tīmekļvietnē: https://www.varam.gov.lv/lv/atteiksanas-no-kudras-izmantosanas-energetika) norādītajam finanšu apjomam un nepārsniedz Noteikumu projekta 7. punktā norādīto atlases otrās kārtas īstenošanai paredzēto Taisnīgas pārkārtošanās fonda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ir saziņā ar abām pašvaldībām, un tās tiks aicinātas iesniegt projektu iesniegumus.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atlases otrās kārtas īstenošanai plānotais un pieejamais kopējais attiecināmais finansējums ir vismaz 1 176 471 </w:t>
            </w:r>
            <w:r w:rsidR="00000000" w:rsidRPr="00000000" w:rsidDel="00000000">
              <w:rPr>
                <w:i w:val="1"/>
                <w:rtl w:val="0"/>
              </w:rPr>
              <w:t xml:space="preserve">euro</w:t>
            </w:r>
            <w:r w:rsidR="00000000" w:rsidRPr="00000000" w:rsidDel="00000000">
              <w:rPr>
                <w:rtl w:val="0"/>
              </w:rPr>
              <w:t xml:space="preserve">, tai skaitā Taisnīgas pārkārtošanās fonda finansējums – 1 000 000 </w:t>
            </w:r>
            <w:r w:rsidR="00000000" w:rsidRPr="00000000" w:rsidDel="00000000">
              <w:rPr>
                <w:i w:val="1"/>
                <w:rtl w:val="0"/>
              </w:rPr>
              <w:t xml:space="preserve">euro</w:t>
            </w:r>
            <w:r w:rsidR="00000000" w:rsidRPr="00000000" w:rsidDel="00000000">
              <w:rPr>
                <w:rtl w:val="0"/>
              </w:rPr>
              <w:t xml:space="preserve">, un nacionālais līdzfinansējums, ko veido pašvaldības budžeta līdzfinansējums un, ja attiecināms, pašvaldības līdzfinansējums, kas ir brīvs no komercdarbības atbalsta, – vismaz 176 471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iesniedzējs atlases otrās kārtas ietvaros ir pašvaldība vai tās iestāde, kuras administratīvajā teritorijā siltumapgādes vajadzībām izmanto kūdru un kuras identificētas un kuras minētas pasākuma pirmās atlases kārtas atbildīgajai iestādei iesniegtajā nodevumā par pašvaldībām un to uzņēmumu īpašumā esošo kūdras sadedzināšanas iekārtu inventarizācijas rezultātiem un to sociālekonomisko novērtējumu, vai šādas tās pašvaldības kapitālsabiedrība, kurai ar attiecīgo pašvaldību ir noslēgts pakalpojuma līgums par sabiedrisko siltumapgādes pakalpojumu sniegšanu (turpmāk – pakalpojuma līgums). Projekta iesniedzējs, kura projekta iesniegums ir apstiprināts, ir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paredzēta ierobežota projektu iesniegumu atlase un plānoti divi projektu iesniedzēji, lūdzam 12.punktā norādīt konkrētus projektu iesniedzējus un papildināt MK noteikumu projektu ar pieejamā finansējuma sadalījumu starp abiem projektu iesniedzējiem.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atlases otro kārtu paredzēts īstenot ierobežotas projektu iesniegumu atlases veidā. Abiem finansējuma saņēmējiem jāīsteno projekti tādā finanšu apjomā, kas ir līdzvērtīgs Pasākuma pirmās kārtas ietvaros veiktā kūdras sadedzināšanas iekārtu inventarizācijā, kā arī alternatīvu izvērtējumā (pieejams Viedās administrācijas un reģionālās attīstības ministrijas tīmekļvietnē: https://www.varam.gov.lv/lv/atteiksanas-no-kudras-izmantosanas-energetika) norādītajam finanšu apjomam un nepārsniedz Noteikumu projekta 7. punktā un tā apakšpunktos norādīto atlases otrās kārtas īstenošanai paredzēto Taisnīgas pārkārtošanās fonda finansējumu. Finansējuma saņēmēji sadarbībā ar Vidzemes plānošanas reģionu veikuši nepieciešamā finansējuma aplēses, kas norādītas anotācijas 1.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ir saziņā ar abām pašvaldībām, un tās tiks aicinātas iesniegt projektu iesniegumus.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Projekta iesniedzējs, kas pēc projekta iesnieguma apstiprināšanas ir arī finansējuma saņēmējs, atlases otrās kārtas ietvaros ir pašvaldība, kura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minētajā administratīvajā teritorijā siltumapgādes vajadzībām izmanto kūdru un kura minēta pasākuma pirmās atlases kārtas atbildīgajai iestādei iesniegtajā nodevumā par pašvaldībām un to uzņēmumu īpašumā esošo kūdras sadedzināšanas iekārtu inventarizācijas rezultātiem un to sociālekonomisko novērtējumu.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iesniedzējs atlases otrās kārtas ietvaros ir pašvaldība vai tās iestāde, kuras administratīvajā teritorijā siltumapgādes vajadzībām izmanto kūdru un kuras identificētas un kuras minētas pasākuma pirmās atlases kārtas atbildīgajai iestādei iesniegtajā nodevumā par pašvaldībām un to uzņēmumu īpašumā esošo kūdras sadedzināšanas iekārtu inventarizācijas rezultātiem un to sociālekonomisko novērtējumu, vai šādas tās pašvaldības kapitālsabiedrība, kurai ar attiecīgo pašvaldību ir noslēgts pakalpojuma līgums par sabiedrisko siltumapgādes pakalpojumu sniegšanu (turpmāk – pakalpojuma līgums). Projekta iesniedzējs, kura projekta iesniegums ir apstiprināts, ir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sniegt izvērstāku skaidrojumu par noteikumu projekta 12. punktā paredzēto projekta iesniedzēju loku, skaidrojot, kādēļ citastarp izvēlēta tieši pašvaldību kapitālsabiedrība, kurai ar attiecīgo pašvaldību ir noslēgts pakalpojuma līgums par sabiedrisko siltumapgādes pakalpojumu sniegšanu, bet ne citi sabiedrisko pakalpojumu sniedzēji, kuriem noslēgts līgums ar pašvaldībām par siltumenerģijas nodrošināšanu (sk. anotācijā minēto par pasākuma atlases pirmo kārtu: "</w:t>
            </w:r>
            <w:r w:rsidR="00000000" w:rsidRPr="00000000" w:rsidDel="00000000">
              <w:rPr>
                <w:i w:val="1"/>
                <w:rtl w:val="0"/>
              </w:rPr>
              <w:t xml:space="preserve">Pasākuma pirmās atlases kārtas nodevuma ietvaros tika apzinātas Latvijas pašvaldības, to pakļautībā esošas iestādes, pašvaldību uzņēmumi </w:t>
            </w:r>
            <w:r w:rsidR="00000000" w:rsidRPr="00000000" w:rsidDel="00000000">
              <w:rPr>
                <w:i w:val="1"/>
                <w:u w:val="single"/>
                <w:rtl w:val="0"/>
              </w:rPr>
              <w:t xml:space="preserve">un sabiedriskā pakalpojuma sniedzēji</w:t>
            </w:r>
            <w:r w:rsidR="00000000" w:rsidRPr="00000000" w:rsidDel="00000000">
              <w:rPr>
                <w:i w:val="1"/>
                <w:rtl w:val="0"/>
              </w:rPr>
              <w:t xml:space="preserve">, kam ir noslēgts līgums ar pašvaldību par siltumenerģijas nodrošināšanu [..].</w:t>
            </w:r>
            <w:r w:rsidR="00000000" w:rsidRPr="00000000" w:rsidDel="00000000">
              <w:rPr>
                <w:rtl w:val="0"/>
              </w:rPr>
              <w:t xml:space="preserve">"). Papildus aicinām redakcionāli precizēt noteikumu projekta 12. punktu, aizvietojot vārdus "kuras identificētas un kuras minētas" ar vārdiem "kura minēta", kā arī pirms vārdiem "pašvaldības kapitālsabiedrība" svītrot vārdu "tās" kā lieku, </w:t>
            </w:r>
            <w:r w:rsidR="00000000" w:rsidRPr="00000000" w:rsidDel="00000000">
              <w:rPr>
                <w:rtl w:val="0"/>
              </w:rPr>
              <w:t xml:space="preserve">vai kā citādi atbilstoši precizēt </w:t>
            </w:r>
            <w:r w:rsidR="00000000" w:rsidRPr="00000000" w:rsidDel="00000000">
              <w:rPr>
                <w:rtl w:val="0"/>
              </w:rPr>
              <w:t xml:space="preserve">punk</w:t>
            </w:r>
            <w:r w:rsidR="00000000" w:rsidRPr="00000000" w:rsidDel="00000000">
              <w:rPr>
                <w:rtl w:val="0"/>
              </w:rPr>
              <w:t xml:space="preserve">tu</w:t>
            </w:r>
            <w:r w:rsidR="00000000" w:rsidRPr="00000000" w:rsidDel="00000000">
              <w:rPr>
                <w:rtl w:val="0"/>
              </w:rPr>
              <w:t xml:space="preserve">, veidojot loģisku un viegli uztveramu tiesību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redakcionāli precizējot šī Noteikumu projekta 13. punktu: "kura šo noteikumu 4. punktā minētajā administratīvajā teritorijā siltumapgādes vajadzībām izmanto kūdru un </w:t>
            </w:r>
            <w:r w:rsidR="00000000" w:rsidRPr="00000000" w:rsidDel="00000000">
              <w:rPr>
                <w:u w:val="single"/>
                <w:rtl w:val="0"/>
              </w:rPr>
              <w:t xml:space="preserve">kura minēta</w:t>
            </w:r>
            <w:r w:rsidR="00000000" w:rsidRPr="00000000" w:rsidDel="00000000">
              <w:rPr>
                <w:rtl w:val="0"/>
              </w:rPr>
              <w:t xml:space="preserve"> pasākuma pirmās atlases kārtas atbildīgajai iestādei iesniegtajā nodevumā".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projekta iesniedzējs un finansējuma saņēmējs var būt tikai pašvaldība, kas šo Noteikumu projekta ietvaros saprotama kā "sabiedrisko pakalpojumu sniedzējs". Šāds projektu iesniedzēju loks izvēlēts, balstoties informācijā par siltumapgādes organizēšanu identificētajos ieguldījumu objektos, tas ir, siltumapgāde tiek organizēta tādās pašvaldību struktūrvienībās kā pagastu pārvaldes, izglītības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Projekta iesniedzējs, kas pēc projekta iesnieguma apstiprināšanas ir arī finansējuma saņēmējs, atlases otrās kārtas ietvaros ir pašvaldība, kura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minētajā administratīvajā teritorijā siltumapgādes vajadzībām izmanto kūdru un kura minēta pasākuma pirmās atlases kārtas atbildīgajai iestādei iesniegtajā nodevumā par pašvaldībām un to uzņēmumu īpašumā esošo kūdras sadedzināšanas iekārtu inventarizācijas rezultātiem un to sociālekonomisko novērtējumu.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mehānismu un tehnoloģisko risinājumu, vai to kombinācijas, kas nodrošina pāreju no enerģētiskās kūdras izmantošanas uz atjaunīgo energoresursu izmantošanu vai uz bezemisiju tehnoloģiju, iegādes, uzstādīšanas vai pielāgošanas izmaksas, tai skaitā esošo iekārtu demontāžas izmaksas, jaunas infrastruktūras būvdarbu un esošās infrastruktūras atjaunošanas vai pārbūves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kādas atbalstāmās aktivitātes un tiešās izmaksas tiek attiecinātas pie infrastruktūras izbūves.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saņēmuši jautājumus no pašvaldībām, piemēram, vai infrastruktūras izbūve ietver novecojošo siltumtrases posmu nomaiņu, akumulācijas tvertnes uzstādīšanu? Vai, lai samazinātu saražotās siltumenerģijas patēriņu un kopējo enerģijas galapatēriņu apkurināmajās ēkās, uzstādot siltummezglus, kas kontrolēs siltumenerģijas padevi ēkā atkarībā no esošās ārējās temperatūras, ir pieskaitāma pie atbalstāmām darbībām un attiecināmām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Skaidrojam, ka Pasākuma pirmās kārtas ietvaros veikta kūdras sadedzināšanas iekārtu inventarizācija, kā arī alternatīvu izvērtējums (pieejams Viedās administrācijas un reģionālās attīstības ministrijas tīmekļvietnē: https://www.varam.gov.lv/lv/atteiksanas-no-kudras-izmantosanas-energetika), kur izskatītas sadedzināšanas iekārtu nomaiņas vai pielāgošanas alternatīvas. </w:t>
            </w:r>
            <w:r w:rsidR="00000000" w:rsidRPr="00000000" w:rsidDel="00000000">
              <w:rPr>
                <w:rtl w:val="0"/>
              </w:rPr>
              <w:t xml:space="preserve">Viedās administrācijas un reģionālās attīstības ministrija ir saziņā ar abām pašvaldībām, diskutējot par atbalstāmajām darbībām un finansējumu, iepriekš pārrunāta nepieciešamība noteikumu projektā ietvert nepieciešamās papildu attiecināmās izmaksas, respektīvi, tādas izmaksas, kas tieši saistītas ar objektā veicamajām tehniskajām vai tehnoloģiskajām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mehānismu un tehnoloģisko risinājumu, vai to kombinācijas, kas nodrošina pāreju no kūdras izmantošanas uz atjaunīgo energoresursu izmantošanu vai uz bezemisiju tehnoloģiju, iegādes, uzstādīšanas vai pielāgošanas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veiktas par aktīviem, kas ir jauni un iegādāti no trešajām personām par tirgus vērtību un kurus izmanto finansējuma saņēmēja vajadzībām un sabiedriskā siltumapgādes pakalpojuma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Efektīvas normas piemērošanas labad aicinām noteikumu projektā konkretizēt vai anotācijā skaidrot, par kādām finansējuma saņēmēja vajadzībām noteikumu projekta 20.2. apakšpunktā ir runa (it īpaši ņemot vērā, ka sabiedriskā siltumapgādes pakalpojuma nodrošināšana jau ir atsevišķi minēta), un kā šādu aktīvu izmantošana ir atbilstoša pasākuma atlases otrās kārtas mērķim, kas noteikts noteikumu projekta 2.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sniegts skaidrojums, norādot Noteikumu projekta izstrādē identificētos aktīvu piemērus. Papildus skaidrojam, ka finansējuma saņēmējs ir pašvaldība, kura nodrošina autonomo funkciju un pārvaldes uzdevumu izpildi tai piederošajās ēkās, tas ir, tiek izmantotas finansējuma saņēmēja vajadzībām, vienlaikus nodrošinot arī sabiedrisko siltumapgādes pakalpojumu citiem patērētājiem. Siltuma pārvades un telpu apsildīšanas efektivitātes paaugstināšanai pašvaldības īpašuma ēkās varēs tikt veikta siltuma novadīšanas un apsildes sistēmas modernizācija (aktīvu izmantošana finansējuma saņēmēja vajadzībām). Aicinām ņemt vērā, ka uz citiem siltumapgādes sabiedrisko pakalpojumu saņēmējiem, tas ir, ēkām, kas nav pašvaldības īpašumā, šis nosacījums netiek attiecināts, respektīvi, šīs atlases kārtas ietvaros netiek atbalstīta iekšējās siltumenerģijas pārvades sistēma aiz piederības robežas īpašumos (ēkās), kas nav finansējuma saņēmēja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veiktas par aktīviem, kas ir jauni un iegādāti no trešajām personām par tirgus vērtību un kurus izmanto finansējuma saņēmēja vajadzībām un sabiedriskā siltumapgādes pakalpojuma nodrošināšanai;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veiktas par aktīviem, kas ir jauni un iegādāti no trešajām personām par tirgus vērtību un kurus izmanto sabiedriskā siltumapgādes pakalpojuma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noteikumu projekta 18.2. apakšpunkts nav formulēts par šauru, ņemot vērā noteikumu projekta 2. punktā noteikto pasākuma atlases otrās kārtas mērķi ("</w:t>
            </w:r>
            <w:r w:rsidR="00000000" w:rsidRPr="00000000" w:rsidDel="00000000">
              <w:rPr>
                <w:i w:val="1"/>
                <w:rtl w:val="0"/>
              </w:rPr>
              <w:t xml:space="preserve">Pasākuma atlases otrās kārtas mērķis ir nomainīt vai pielāgot ar kūdru kurināmas siltumenerģijas ražošanas iekārtas, veicinot pāreju uz atjaunīgajiem energoresursiem vai bezemisiju tehnoloģijām (vai to kombināciju), pārtraucot kūdras kā kurināmā resursa izmantošanu </w:t>
            </w:r>
            <w:r w:rsidR="00000000" w:rsidRPr="00000000" w:rsidDel="00000000">
              <w:rPr>
                <w:i w:val="1"/>
                <w:u w:val="single"/>
                <w:rtl w:val="0"/>
              </w:rPr>
              <w:t xml:space="preserve">pašvaldības autonomo funkciju īstenošanas infrastruktūras siltumapgādei un sabiedrisko siltumapgādes pakalpojumu sniegšanai.</w:t>
            </w:r>
            <w:r w:rsidR="00000000" w:rsidRPr="00000000" w:rsidDel="00000000">
              <w:rPr>
                <w:rtl w:val="0"/>
              </w:rPr>
              <w:t xml:space="preserve">"). Ja nepieciešams, aicinām precizēt noteikumu projektu vai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noteikumu projektā. Ņemot vērā, ka investīciju objektos var tikt nodrošināta individuālā siltumapgāde finansējuma saņēmēja vajadzībām, 20.2. apakšpunkts precizēts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veiktas par aktīviem, kas ir jauni un iegādāti no trešajām personām par tirgus vērtību un kurus izmanto finansējuma saņēmēja vajadzībām un sabiedriskā siltumapgādes pakalpojuma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veiktas par aktīviem, kas ir jauni un iegādāti no trešajām personām par tirgus vērtību un kurus izmanto finansējuma saņēmēja vajadzībām un sabiedriskā siltumapgādes pakalpojuma nodrošināšanai;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un projekta īstenošanas un uzraudzības nosacījumi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iesniedzēji atlases otrās kārtas ietvaros ir paredzētas pašvaldības, tās iestādes vai pašvaldības kapitālsabiedrības, lūdzam izvērtēt nepieciešamību papildināt IV. sadaļu ar avansa saņemšanas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noteikumu projekta 26. punktā norādot avansa saņemšanas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Sadarbības iestāde, ja tai ir pieejami valsts budžeta līdzekļi, izvērtējot plānotā avansa apmēru un tā pamatojumu, pamatojoties uz finansējuma saņēmēja rakstisku avansa pieprasījumu, var piešķirt finansējuma saņēmējam avansu pēc vienošanās par projekta īstenošanu noslēgšanas. Finansējuma saņēmējs avansa pieprasījumu sagatavo un sadarbības iestāde apstiprina, ņemot vērā, ka plānotā avansa apmērs atbilst spējai to izlietot sešu mēnešu laikā saimnieciskā gada ietvaros. Finansējuma saņēmējam avansu var piešķirt līdz 50 procentiem no projektam piešķirtā Taisnīgas pārkārtošanās fonda finansējuma, ievērojot, ka avansu var izmaksāt vairākos maksājumos un avansa un starpposma maksājumu kopsumma nepārsniedz 90 procentus no projektam piešķirtā Taisnīgas pārkārtošanās fonda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Projekta īstenošanas un uzraudzības nosacījumi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projekta sadārdzinājumu sedz no saviem līdzekļiem, nodrošinot piemērojamo komercdarbības atbalsta regulējuma normu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vārdus "nodrošinot piemērojamo komercdarbības atbalsta regulējuma normu ievērošanu" svītrot kā liekus, jo ārējie normatīvie akti personai ir jāievēro neatkarīgi no tā, vai šāda norāde ir vai nav ietverta projektā. Vienlaikus aicinām noteikumu projektā atsauces uz normatīvajiem aktiem noteiktā jomā veidot atbilstoši Ministru kabineta 2009. gada 3. februāra noteikumu Nr. 108 "Normatīvo aktu projektu sagatavošanas noteikumi" 137.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 sniedzot skaidrojumu. Noteikumu projekta ietvaros piemērojams dažāda regulējuma komercdarbības atbalsts, kam piekritīgi šādi ES un nacionālie tiesību akti: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2014. gada 17. jūnija Regula (ES) Nr. 651/2014, ar ko noteiktas atbalsta kategorijas atzīst par saderīgām ar iekšējo tirgu, piemērojot Līguma 107. un 108. 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2023. gada 13. decembra Regula (ES) 2023/2831 par Līguma par Eiropas Savienības darbību 107. un 108. panta piemērošanu </w:t>
            </w:r>
            <w:r w:rsidR="00000000" w:rsidRPr="00000000" w:rsidDel="00000000">
              <w:rPr>
                <w:i w:val="1"/>
                <w:rtl w:val="0"/>
              </w:rPr>
              <w:t xml:space="preserve">de </w:t>
            </w:r>
            <w:r w:rsidR="00000000" w:rsidRPr="00000000" w:rsidDel="00000000">
              <w:rPr>
                <w:i w:val="1"/>
                <w:rtl w:val="0"/>
              </w:rPr>
              <w:t xml:space="preserve">minimi</w:t>
            </w:r>
            <w:r w:rsidR="00000000" w:rsidRPr="00000000" w:rsidDel="00000000">
              <w:rPr>
                <w:rtl w:val="0"/>
              </w:rPr>
              <w:t xml:space="preserve">s atbalstam;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2011. gada 20. decembra Lēmums par Līguma par Eiropas Savienības darbību 106. panta 2. punkta piemērošanu valsts atbalstam attiecībā uz kompensāciju par sabiedriskajiem pakalpojumiem dažiem uzņēmumiem, kuriem uzticēts sniegt pakalpojumus ar vispārēju tautsaimniecisku nozīmi;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paziņojums par Līguma par Eiropas Savienības darbību 107. panta 1. punktā minēto valsts atbalsta jēdzienu [1];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Komercdarbības atbalsta kontroles 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2018. gada 21. novembra noteikumi Nr. 715 "</w:t>
            </w:r>
            <w:r w:rsidR="00000000" w:rsidRPr="00000000" w:rsidDel="00000000">
              <w:rPr>
                <w:i w:val="1"/>
                <w:rtl w:val="0"/>
              </w:rPr>
              <w:t xml:space="preserve">De minimis</w:t>
            </w:r>
            <w:r w:rsidR="00000000" w:rsidRPr="00000000" w:rsidDel="00000000">
              <w:rPr>
                <w:rtl w:val="0"/>
              </w:rPr>
              <w:t xml:space="preserve"> atbalsta uzskaites un piešķiršanas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komercdarbības atbalsta piešķiršanas un kontroles normatīvais regulējums ir kompilējams no dažāda līmeņa ES normatīvajiem aktiem, EK valsts atbalsta regulējuma piemērošanas skaidrojumiem, ES tiesu judikatūras un nacionālā regulējuma, līdz ar to šis apakšpunkts tiek saglabāts esošajā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VTNP un </w:t>
            </w:r>
            <w:r w:rsidR="00000000" w:rsidRPr="00000000" w:rsidDel="00000000">
              <w:rPr>
                <w:i w:val="1"/>
                <w:rtl w:val="0"/>
              </w:rPr>
              <w:t xml:space="preserve">de minimis</w:t>
            </w:r>
            <w:r w:rsidR="00000000" w:rsidRPr="00000000" w:rsidDel="00000000">
              <w:rPr>
                <w:rtl w:val="0"/>
              </w:rPr>
              <w:t xml:space="preserve"> atbalsta piešķiršanai ir paredzēta izņēmuma iespēja – piešķirt papildu valsts atbalstu projekta īstenošanas procesā, taču ievērojot noteiktu procedūru, kas izvērstāk ir iekļauta citos noteikuma projekta punktos, bet 25.3. apakšpunkts skaidri norāda, ka šīs procesuālās darbības iniciators ir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https://eur-lex.europa.eu/legal-content/LV/TXT/?uri=celex%3A52016XC0719%2805%29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projekta sadārdzinājumu sedz no saviem līdzekļiem, nodrošinot piemērojamo komercdarbības atbalsta regulējuma normu ievērošanu;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ja projekta izmaksas pieaug, projekta sadārdzinājumu sedz no saviem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24.3. apakšpunktu tā, lai finansējuma saņēmējs sadārdzinājuma izmaksas, kas projekta īstenošanas gaitā varētu rasties, segtu no saviem līdzekļiem, ievērojot piemērojamā komercdarbības atbalsta regulējuma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ja atbalsts tiek piešķirts kā komercdarbības atbalsts, piemērojot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tad gadījumā, ja sadārdzinājums tiek segts no līdzekļiem, kas ir publiskie līdzekļi, arī uz sadārdzinājumu jāattiecina piemērojamā komercdarbības atbalsta regulējuma nosacījumi. Savukārt, ja "savi līdzekļi" ir ieņēmumi no saimnieciskās darbības vai citi privātie resursi, tad komercdarbības atbalsta regulējums jāpiemēro nebūtu. Ņemot vērā to, ka no noteikumu projekta nav skaidrs, ko ietver jēdziens "savi līdzekļi", aicinām papildināt noteikumu projekta 24.3.punktu ar tekstu: "nodrošinot piemērojamo komercdarbības atbalsta regulējuma normu ievērošanu".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25.3. apakšpunkts papildināts ar nosacījumu par komercdarbības atbalsta regulējuma normu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projekta sadārdzinājumu sedz no saviem līdzekļiem, nodrošinot piemērojamo komercdarbības atbalsta regulējuma normu ievērošanu;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 nodrošina, ka nekustamais īpašums, kurā tiks veiktas projektā paredzētās darbības, ir projekta iesniedzēja īpašumā vai valdījumā visā projekta īstenošanas laikā un šīs īpašuma vai valdījuma tiesības ir nostiprinātas zemesgrāmatā (ja attiecināms), un vismaz piecus gadus pēc noslēguma maksājuma veikšanas, tādējādi nodrošinot tam tiesības piekļūt zemesgabaliem, kur paredzēts īstenot projektu un veikt tajos infrastruktūras uzturēšanas darbus;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24.6. apakšpunkta interpretējams, ka ne visos gadījumos īpašuma vai valdījuma tiesības tiks nostiprinātas zemesgrāmatā, tādējādi lūdzam noteikumu projekta anotācijā skaidrot izņēmuma gadījumu, kad minētās tiesības netiks nostiprinātas zemesgrāmatā.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finansējuma saņēmējs ir pašvaldība, investīcijas plānojamas pašvaldības īpašumā esošajām ēkām, tas ir, pagastu pārvaldēs, izglītības iestādēs, sabiedriskajās ēkās, noteikumu projektā veikti precizējumi, tā otrajā redakcijā norādot, ka tiesības uz īpašumu bauda finansējuma saņēmējs - pašvaldība.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projektā (un kā norādīts anotācijā) valdījums saprotams kā uz īpašumu nodibināta apbūves tiesība, kas kā īpašumtiesību forma nodrošina, ka finansējuma saņēmējam ir tiesības celt un lietot uz sveša zemes gabala nedzīvojamu ēku vai inženierbūvi kā īpašniekam šīs tiesības spēkā esamības laikā, kā noteikts Civillikuma Trešās daļas (Lietu tiesības) Trešajā A nodaļā. Ja pašvaldības īpašums, kurā paredzēta infrastruktūras izveide, uz normatīvā akta, līguma vai pašvaldības lēmuma pamata ir nodots pašvaldības iestādes pārvaldīšanā, šīs tiesības nav nepieciešams nostiprināt zemesgrāmatā.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nodrošina, ka nekustamais īpašums, kurā tiks veiktas projektā paredzētās darbības, ir finansējuma saņēmēja īpašumā vai valdījumā projekta dzīves ciklā, kas iekļauj projekta īstenošanas laiku un pēcuzraudzības periodu un ir vismaz 15 gadi, un šīs īpašuma vai valdījuma tiesības ir nostiprinātas zemesgrāmatā (ja attiecināms), tādējādi nodrošinot tam tiesības piekļūt zemesgabaliem, kur paredzēts īstenot projektu un veikt tajos infrastruktūras uzturēšanas darbus;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24.8.4. vienlīdzība, iekļaušana, nediskriminācija un pamattiesību ievērošana;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24.8.4.apakšpunktu, jo 6.1.1.1.pasākums ir izteikti tehnisks un vērsts uz tehnoloģiju pilnveidošanu vai nomaiņu, līdz ar to tam nav ietekmes uz horizontālo principu “Vienlīdzība, iekļaušana, nediskriminācija un pamattiesību ievērošana”, kā tas arī ir noteikts MK noteikumu anotācijā (1.3.sadaļa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Vadlīnijām horizontālā principa “Vienlīdzība, iekļaušana, nediskriminācija un pamattiesību ievērošana” īstenošanai un uzraudzībai (2021-2027) [1] </w:t>
            </w:r>
            <w:r w:rsidR="00000000" w:rsidRPr="00000000" w:rsidDel="00000000">
              <w:rPr>
                <w:u w:val="single"/>
                <w:rtl w:val="0"/>
              </w:rPr>
              <w:t xml:space="preserve">pasākumiem, kuriem nav ietekmes uz HP VINPI, rādītāji nav jānosaka.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pieejamas šeit:https://www.lm.gov.lv/lv/vadlinijas-horizontala-principa-vienlidziba-ieklausana-nediskriminacija-un-pamattiesibu-ieverosana-istenosanai-un-uzraudzibai-2021-2027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Komercdarbības atbalsta piešķiršanas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11.punktā ir noteikts, ka komercdarbības atbalstu piešķir kā kompensāciju, ievērojot Eiropas Komisijas 2011. gada 20. decembra lēmumā Nr. 2012/21/ES par Līguma par Eiropas Savienības darbību 106. panta 2. punkta piemērošanu valsts atbalstam attiecībā uz kompensāciju par sabiedriskajiem pakalpojumiem dažiem uzņēmumiem, kuriem uzticēts sniegt pakalpojumus ar vispārēju tautsaimniecisku nozīmi (turpmāk  - lēmums Nr.2012/21) vai kā de minimis atbalstu ievērojot Komisijas 2023. gada 13. decembra Regulu (ES) 2023/2831 par Līguma par Eiropas Savienības darbību 107. un 108. panta piemērošanu de minimis atbalstam. Noteikumu projekta 17.pantā ir noteiktas pasākumā atbalstāmās darbības un noteikumu projekta 19.pantā ir noteiktas pasākumā attiecināmās izmaksas noteikumu 17. punktā minēto atbalstāmo darbību īstenošanai. Papildus noteikumu projekta 15.punkta apakšpunktos ir iekļauta informācija par ēkas, kurā plānots veikt ieguldījumu, izmantošanas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neatkarīgi no tā, kādiem mērķiem (saimnieciskiem vai nesaimnieciskiem) ēka tiek izmantota, pašvaldībai, ja tā sniedz sabiedrisko siltumapgādes pakalpojumu, atbalsts piešķirams, ievērojot komercdarbības atbalsta regulējumu. Ņemot vērā noteikumu projekta 33.punktā iekļauto nosacījumu, kas nosaka, ka noteikumu projekta 15.2. un 15.3. apakšpunktos noteiktos gadījumos, atbalsts tiktu piešķirts kā de minimis atbalsts, saprotam, ka gadījumos, kad ēka tiek izmantota tikai pašvaldības autonomo funkciju un pārvaldes uzdevumu izpildei (noteikumu projekta 15.1.apakšpunkts); atbalsts būtu piešķirams ievērojot lēmumā Nr.2012/21 iekļautās normas. Attiecīgi, lai nebūtu pārpratumu, lūdzam precizēt šo informāciju anotācijā un svītrot anotācijas sadaļā "Citi nosacījumi" esošo informāciju, ka komercdarbības atbalsts finansējuma saņēmējam nav piešķirams, jo de minimis atbalsts arī ir komercdarbības atbalsts. Ja pasākumā plānots piešķirt atbalstu, kas nekvalificējas kā komercdarbības atbalsts, lūdzam noteikumu projektu precizēt, lai būtu skaidri noteikts, kuros gadījumos atbalsts nekvalificējas kā komercdarbības atbalsts, attiecīgi papildinot arī anotāciju ar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precizēta informācija par finansējuma piešķiršanu, ievērojot aktivitātes nesaimniecisko vai saimniecisko raksturu, kuras īstenošanas nodrošināšanai ieguldījums paredzēts. Papildus skaidrojam, ka gadījumā, ja finansējuma saņēmējs nodrošina siltumenerģiju tādā ēkā, kur tiek veikta tikai pašvaldības autonomo funkciju un pārvaldes uzdevumu nodrošināšana, finansējums ēkas iekšējo inženiertīklu pielāgošanai vai pārbūvei piešķirams atbalsts ārpus komercdarbības atbalsta regulējuma.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Komercdarbības atbalsta piešķiršanas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Projekta iesniedzējs – sabiedrisko siltumapgādes pakalpojumu sniedzējs nevar būt tāds saimnieciskās darbības veicējs, attiecībā uz kuru uzņēmumu grupas līmenī konstatējama vismaz viena no Komisijas 2014. gada 17. jūnija Regulas Nr. 651/2014, ar ko noteiktas atbalsta kategorijas atzīst par saderīgām ar iekšējo tirgu, piemērojot Līguma 107. un 108. pantu, 2. panta 18. punktā paredzētajām pazīmēm. Grūtībās nonākuša uzņēmuma pazīmes vērtē projekta iesniedzējam individuāli un tā saistīto personu grupai.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projekta 2.3. apakšpunktu, termina „uzņēmums” vietā izmantojot terminu „komersants” vai „saimnieciskās darbības veicējs”.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termins “uzņēmums” šādā interpretācijā piemērots attiecināmajās Eiropas Komisijas regulās, direktīvās, kā arī lēmumos, tādēļ, lai novērstu no Eiropas Komisijas regulām un direktīvām atšķirīgu interpretāciju un izpratni, termins “uzņēmums” tieši pārnests noteikumu projektā un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Projekta iesniedzējs – pašvaldība, kas ir sabiedrisko siltumapgādes pakalpojumu sniedzējs – nevar būt tāds saimnieciskās darbības veicējs, attiecībā uz kuru uzņēmumu grupas līmenī konstatējama vismaz viena no Komisijas 2014. gada 17. jūnija Regulas Nr. 651/2014, ar ko noteiktas atbalsta kategorijas atzīst par saderīgām ar iekšējo tirgu, piemērojot Līguma 107. un 108. pantu, 2. panta 18. punktā paredzētajām pazīmēm. Grūtībās nonākuša uzņēmuma pazīmes vērtē projekta iesniedzējam individuāli un tā saistīto personu grupai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40.punktu, lūdzam papildināt noteikumu projekta anotāciju par Viedās administrācijas un reģionālās attīstības ministrijas rīcību gadījumā, ja Eiropas Komisijā neapstiprina Eiropas Savienības kohēzijas politikas programmas 2021.–2027. gadam grozījumus, kas 6. politikas mērķa “Taisnīgas pārkārtošanās fonda investīcijas” ietvaros paredz ieguldījumus siltumenerģijas apgādes pielāgošanai alternatīviem atjaunīgo energoresursu kurināmajiem, veicinot siltumnīcefekta gāzu emisiju samazinājumu.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6.1.1.1.pasākuma 2.atlases kārtas ES fondu finansējuma intervences kodiem.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un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pasākumā plānots piešķirt atbalstu Līvānu novada pašvaldībai un Preiļu novada pašvaldībai, vai pašvaldību iestādei, vai pašvaldības kapitālsabiedrībai saskaņā ar Eiropas Komisijas 2011. gada 20. decembra lēmumu Nr. 2012/21/ES vai saskaņā ar Eiropas Komisijas 2023. gada 13. decembra Regulu Nr. 2023/2831 par Līguma par Eiropas Savienības darbību 107. un 108. panta piemērošanu de minimis atbalstam, lūdzam anotācijas 1.3. sadaļu papildināt ar informāciju, kuros gadījumos tiks piemērots kurš no minētajiem komercdarbības atbalsta regulējumiem.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anotācijas 5.sadaļu arī ar noteikumu projekta izvērtējumu atbilstoši Eiropas Komisijas 2011. gada 20. decembra lēmumam Nr. 2012/21/ES.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un 5.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kā pielikumu anotācijai pievienot šī pasākuma 1.kārtas ietvaros veikto sociālekonomisko analīzi, kurā tika plānots pamatot šajā pasākumā plānoto ar kūdru kurināmu siltumenerģijas ražošanas iekārtu nomaiņu pret ar AER kurināmām ražošanas iekārtām, līdz ar to ievērojot Ministru kabineta 2023. gada 13. jūlija sēdes protokollēmumā (prot. Nr. 36 85. § 3. punkts) noteikto, ka ierobežotas projektu iesniegumu atlases specifiskā atbalsta mērķa (turpmāk - SAM) MK noteikumos ir jāparedz nepieciešamību finansējuma saņēmējam veikt projekta izmaksu un ieguvumu analīzi (IIA), ja projekta kopējās izmaksas ir lielākas par 1 miljonu, vai arī Atbildīgā iestāde SAM MK noteikumu anotācijā pamato kādēļ var nepiemērot minēto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precizējot iemeslu, kādēļ atbildīgās iestādes ieskatā nav veicama izmaksu un ieguvumu analīze. Norādām, ka Pasākuma pirmās kārtas ietvaros veiktā kūdras sadedzināšanas iekārtu inventarizācija, kā arī alternatīvu izvērtējums pieejams Viedās administrācijas un reģionālās attīstības ministrijas tīmekļvietnē: https://www.varam.gov.lv/lv/atteiksanas-no-kudras-izmantosanas-energetika.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izvērstāku novērtējumam par plānoto ietekmi uz tautsaimniecību , t.sk. norādot pēc iespējas izmērāmus faktiski sagaidāmos rezultātus/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anotācijas 2.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1.1.apakšpunktu, norādot tajā tikai Taisnīgas pārkārtošanās fonda finansējumu, ņemot vērā noteikumu projekta 7.punktā minēto, ka nacionālo līdzfinansējumu veido pašvaldības budžeta vai privātais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anotācijas 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punktā “Cita informācija” sniegto informāciju, norādot, ka tikai Taisnīgas pārkārtošanās fonda finansējumu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anotācijas 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7.punktā minēto, ka nacionālo līdzfinansējumu veido pašvaldības budžeta vai privātais līdzfinansējums, lūdzam precizēt anotācijas 3.sadaļu, kur 2.1. apakšpunktā jānorāda tikai Taisnīgas pārkārtošanās fonda finansējums, savukārt 2.3. apakšpunktā jānorāda pašvaldību līdzfinansējuma apmērs, vienlaikus attiecīgi nepieciešams aizpildīt arī 3.3. un 5.3.apakšpunktus.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anotācijas 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6.punktu, kur nepieciešams norādīt attiecināmo finansējumu sadalījumā gan pa gadiem, gan pa finansējuma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anotācijas 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Aicinām pirmajā rindkopā tekstu aiz vārda “jāiekļauj” papildināt ar vārdu “vismaz”.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Aicinām otro rindkopu izteikt citā redakcijā, lūdzu skatīt lauku “Piedāvātā redakcija”. Skaidrojam, ka KP VIS tiek veiktas izmaiņas un tiek precizētas HP darbību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Aicinām pielietot elastīgāku pieeju sociāli atbildīgā iepirkuma (turpmāk – SAPI) piemērošanai projektos, kā tas ir definēts MK noteikumu projekta 23.punktā, paredzot, ka SAPI īsteno, kur tas ir attiecināms un atbilstošs ieguldījumu specifikai.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Aicinām pēdējā rindkopā tekstu aiz vārda “vispārīgās” papildināt ar vārdiem “un specifiskās”, ņemot vērā, ka HP VINPI darbībām ir paredzētas izmaksas MK noteikumu projekta 17.4.apakšpunktā.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finansējuma saņēmēji aicināti nodrošināt projektos vienu vai vairākas vispārīgās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vai finansējuma saņēmēja tīmekļvietnē tiks izveidota sadaļa “Viegli lasīt”, kurā tiks iekļauta īsa aprakstoša informācija par projektu un citu lasītājiem nepieciešamu informāciju vieglajā valodā, lai plašākai sabiedrībai nodrošinātu iespēju uzzināt par ES fondu ieguldījumiem (skat. LM metodisko materiālu “Ceļvedis iekļaujošas vides veidošanai valsts un pašvaldību iestādēs (2020) https://www.lm.gov.lv/lv/celvedis-ieklaujosas-vides-veidosanai-valsts-un-pasvaldibu-iestades-2020 );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un vizuālās identitātes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 (pieejams: https://www.lm.gov.lv/lv/media/18838/download (“Ieteikumi diskrimināciju un stereotipus mazinošai komunikācijai ar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informācija projekta vai finansējuma saņēmēja tīmekļa vietnē ir piekļūstama cilvēkiem ar funkcionāliem ierobežojumiem, izmantojot vairākus sensoros (redze, dzirde, tauste) kanālus (skatīt VARAM vadlīnijas “Tīmekļvietnes izvērtējums atbilstoši digitālās vides piekļūstamības prasībām (WCAG 2.1 AA)” (pieejams: https://pieklustamiba.varam.gov.lv)).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un labota informācija anotācijas 8.2.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25-TA-134</w:t>
    </w:r>
    <w:r>
      <w:br/>
    </w:r>
    <w:r w:rsidR="00000000" w:rsidRPr="00000000" w:rsidDel="00000000">
      <w:rPr>
        <w:rtl w:val="0"/>
      </w:rPr>
      <w:t xml:space="preserve">23.05.2025. 14.30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25-TA-134</w:t>
    </w:r>
    <w:r>
      <w:br/>
    </w:r>
    <w:r w:rsidR="00000000" w:rsidRPr="00000000" w:rsidDel="00000000">
      <w:rPr>
        <w:rtl w:val="0"/>
      </w:rPr>
      <w:t xml:space="preserve">23.05.2025. 14.30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Izziņa_25-TA-134.docx</dc:title>
</cp:coreProperties>
</file>

<file path=docProps/custom.xml><?xml version="1.0" encoding="utf-8"?>
<Properties xmlns="http://schemas.openxmlformats.org/officeDocument/2006/custom-properties" xmlns:vt="http://schemas.openxmlformats.org/officeDocument/2006/docPropsVTypes"/>
</file>