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24.00.00 "Valsts aizsardzības un drošības fonds""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07.01.2026. 15:05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2025. gada 17. jūnija informatīvo ziņojumu “Par papildus kājinieku kaujas mašīnu iegādi NBS” (25-TA-16DV) kājinieku kaujas mašīnu iegādei 2026.gadā plānots 166 000 000 euro, 2027.gadā 166 000 000 euro un 2028.gadā 55 000 000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1. punkts neparedz nekādu uzdevumu vai tālāku rīcību, bet tajā iekļauta tikai atsauce uz iepriekš pieņemtu MK lēmumu,</w:t>
            </w:r>
            <w:r w:rsidR="00000000" w:rsidRPr="00000000" w:rsidDel="00000000">
              <w:rPr>
                <w:rtl w:val="0"/>
              </w:rPr>
              <w:t xml:space="preserve"> lūdzam to svītrot.</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MK rīkojuma projekta 1.punkts un precizēta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izstrādājot budžeta projektu 2027.gadam un ietvaru 2027., 2028. un 2029.gadam, precizēt budžeta bāzes izdevumus paredzot kājinieku kaujas mašīnu iegādei 2027.gadā 166 000 000 euro, 2028.gadā 55 000 000 euro budžeta apakšprogrammā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MK rīkojuma projekta 5. punktu un attiecīgi precizēt rīkojuma projekta anotāciju, ņemot vērā, ka apropriācijas pārdale no budžeta resora "74. Gadskārtējā valsts budžeta izpildes procesā pārdalāmais finansējums" programmas 24.00.00 "Valsts aizsardzības un drošības fonds" uz Aizsardzības ministrijas budžeta apakšprogrammu 22.12.00 "Nacionālo bruņoto spēku uzturēšana" šobrīd tiek paredzēta tikai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plānotais finansējums kaujas mašīnu iegādei 2027., 2028. gadā un kopsummā atšķiras no SAFE plānā paredzētā. Ņemot vērā, ka atbilstoši likuma "Par valsts budžetu 2026. gadam un budžeta ietvaru 2026., 2027. un 2028. gadam" 73. panta 2. daļai finanšu ministram ir tiesības ministrijai vai citai centrālajai valsts iestādei pārdalīto un noteiktajiem mērķiem neizmantoto finansējumu pārdalīt no ministrijas vai citas centrālās valsts iestādes budžeta atpakaļ uz budžeta resora "74. Gadskārtējā valsts budžeta izpildes procesā pārdalāmais finansējums" programmu 24.00.00 "Valsts aizsardzības un drošības fonds" un lai nodrošinātu paredzēto valsts budžeta līdzekļu maksimāli efektīvu izlietošanu, finansējums atbilstoši likuma "Par valsts budžetu 2026. gadam un budžeta ietvaru 2026., 2027.un 2028.gadam" 73. pantam ir pārdalāms atbilstoši faktiskai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Fiskālās disciplīnas likuma Pārejas noteikumi 10. punktam, sākot ar likumprojektu “Par valsts budžetu 2027. gadam un budžeta ietvaru 2027., 2028., 2029. un 2030. gadam” valsts budžeta likumu sagatavo četriem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MK rīkojuma 5.punkts un precizēta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kājinieku kaujas mašīnu iegādi ir uzskatāmi par vienreizējo pasākumu likuma “Par valsts budžetu 2026. gadam un budžeta ietvaru 2026., 2027. un 2028. gadam” 6.panta 1.punkta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MK protokollēmuma 3. punktu, jo kaujas mašīnu iegāde nav uzskatāma par vienreizējo pasākumu likuma “Par valsts budžetu 2026. gadam un budžeta ietvaru 2026., 2027. un 2028. gadam” 6.panta 1.punkta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MK protokollēmuma 3.punkts un precizēta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w:t>
    </w:r>
    <w:r>
      <w:br/>
    </w:r>
    <w:r w:rsidR="00000000" w:rsidRPr="00000000" w:rsidDel="00000000">
      <w:rPr>
        <w:rtl w:val="0"/>
      </w:rPr>
      <w:t xml:space="preserve">26.01.2026. 15.32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w:t>
    </w:r>
    <w:r>
      <w:br/>
    </w:r>
    <w:r w:rsidR="00000000" w:rsidRPr="00000000" w:rsidDel="00000000">
      <w:rPr>
        <w:rtl w:val="0"/>
      </w:rPr>
      <w:t xml:space="preserve">26.01.2026. 15.32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Izziņa_26-TA-6.docx</dc:title>
</cp:coreProperties>
</file>

<file path=docProps/custom.xml><?xml version="1.0" encoding="utf-8"?>
<Properties xmlns="http://schemas.openxmlformats.org/officeDocument/2006/custom-properties" xmlns:vt="http://schemas.openxmlformats.org/officeDocument/2006/docPropsVTypes"/>
</file>