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DEB1" w14:textId="77777777" w:rsidR="009F1F3B" w:rsidRPr="00250F2E" w:rsidRDefault="009F1F3B" w:rsidP="00297AF3">
      <w:pPr>
        <w:pStyle w:val="naisnod"/>
        <w:spacing w:before="0" w:after="60"/>
        <w:rPr>
          <w:b w:val="0"/>
        </w:rPr>
      </w:pPr>
      <w:r w:rsidRPr="00250F2E">
        <w:rPr>
          <w:b w:val="0"/>
        </w:rPr>
        <w:t>Izziņa par atzinumos sniegtajiem iebildumiem</w:t>
      </w:r>
    </w:p>
    <w:p w14:paraId="188110EF" w14:textId="278FC900" w:rsidR="009F1F3B" w:rsidRPr="000E729F" w:rsidRDefault="00EF767D" w:rsidP="00991406">
      <w:pPr>
        <w:pStyle w:val="naisc"/>
        <w:spacing w:before="0" w:after="0"/>
        <w:rPr>
          <w:b/>
          <w:sz w:val="26"/>
          <w:szCs w:val="26"/>
        </w:rPr>
      </w:pPr>
      <w:r w:rsidRPr="000E729F">
        <w:rPr>
          <w:b/>
          <w:sz w:val="26"/>
          <w:szCs w:val="26"/>
        </w:rPr>
        <w:t>Ministru kabineta rīkojums projekts “</w:t>
      </w:r>
      <w:r w:rsidR="00C63F54" w:rsidRPr="00C63F54">
        <w:rPr>
          <w:b/>
          <w:sz w:val="26"/>
          <w:szCs w:val="26"/>
        </w:rPr>
        <w:t xml:space="preserve">Par atšķirīgu dividendēs izmaksājamo valsts akciju sabiedrības “Valsts nekustamie īpašumi” peļņas daļu </w:t>
      </w:r>
      <w:r w:rsidR="00C63F54" w:rsidRPr="00D17B42">
        <w:rPr>
          <w:b/>
          <w:sz w:val="26"/>
          <w:szCs w:val="26"/>
        </w:rPr>
        <w:t>par 2020. gadu</w:t>
      </w:r>
      <w:r w:rsidRPr="00D17B42">
        <w:rPr>
          <w:b/>
          <w:sz w:val="26"/>
          <w:szCs w:val="26"/>
        </w:rPr>
        <w:t>”</w:t>
      </w:r>
    </w:p>
    <w:p w14:paraId="2A735221" w14:textId="77777777" w:rsidR="009F1F3B" w:rsidRPr="00250F2E" w:rsidRDefault="009F1F3B" w:rsidP="00297AF3">
      <w:pPr>
        <w:rPr>
          <w:vanish/>
        </w:rPr>
      </w:pPr>
    </w:p>
    <w:p w14:paraId="25228366" w14:textId="77777777" w:rsidR="009F1F3B" w:rsidRPr="00250F2E" w:rsidRDefault="009F1F3B" w:rsidP="00297AF3">
      <w:pPr>
        <w:jc w:val="center"/>
        <w:rPr>
          <w:color w:val="000000" w:themeColor="text1"/>
        </w:rPr>
      </w:pPr>
      <w:r w:rsidRPr="00250F2E">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250F2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250F2E" w:rsidRDefault="009F1F3B" w:rsidP="00297AF3">
            <w:pPr>
              <w:jc w:val="center"/>
              <w:rPr>
                <w:color w:val="000000" w:themeColor="text1"/>
                <w:sz w:val="23"/>
                <w:szCs w:val="23"/>
              </w:rPr>
            </w:pPr>
            <w:proofErr w:type="spellStart"/>
            <w:r w:rsidRPr="00250F2E">
              <w:rPr>
                <w:color w:val="000000" w:themeColor="text1"/>
                <w:sz w:val="23"/>
                <w:szCs w:val="23"/>
              </w:rPr>
              <w:t>Nr.p.k</w:t>
            </w:r>
            <w:proofErr w:type="spellEnd"/>
            <w:r w:rsidRPr="00250F2E">
              <w:rPr>
                <w:color w:val="000000" w:themeColor="text1"/>
                <w:sz w:val="23"/>
                <w:szCs w:val="23"/>
              </w:rPr>
              <w:t>.</w:t>
            </w:r>
          </w:p>
        </w:tc>
        <w:tc>
          <w:tcPr>
            <w:tcW w:w="2126" w:type="dxa"/>
            <w:shd w:val="clear" w:color="auto" w:fill="D9D9D9" w:themeFill="background1" w:themeFillShade="D9"/>
            <w:vAlign w:val="center"/>
          </w:tcPr>
          <w:p w14:paraId="7C1BF338" w14:textId="77777777" w:rsidR="009F1F3B" w:rsidRPr="00250F2E" w:rsidRDefault="009F1F3B" w:rsidP="00297AF3">
            <w:pPr>
              <w:jc w:val="center"/>
              <w:rPr>
                <w:color w:val="000000" w:themeColor="text1"/>
              </w:rPr>
            </w:pPr>
            <w:r w:rsidRPr="00250F2E">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250F2E" w:rsidRDefault="009F1F3B" w:rsidP="00297AF3">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250F2E" w:rsidRDefault="009F1F3B" w:rsidP="00297AF3">
            <w:pPr>
              <w:jc w:val="center"/>
              <w:rPr>
                <w:color w:val="000000" w:themeColor="text1"/>
              </w:rPr>
            </w:pPr>
            <w:r w:rsidRPr="00250F2E">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250F2E" w:rsidRDefault="009F1F3B" w:rsidP="00297AF3">
            <w:pPr>
              <w:jc w:val="center"/>
              <w:rPr>
                <w:color w:val="000000" w:themeColor="text1"/>
              </w:rPr>
            </w:pPr>
            <w:r w:rsidRPr="00250F2E">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250F2E" w:rsidRDefault="009F1F3B" w:rsidP="00297AF3">
            <w:pPr>
              <w:jc w:val="center"/>
              <w:rPr>
                <w:color w:val="000000" w:themeColor="text1"/>
              </w:rPr>
            </w:pPr>
            <w:r w:rsidRPr="00250F2E">
              <w:rPr>
                <w:color w:val="000000" w:themeColor="text1"/>
              </w:rPr>
              <w:t>Projekta attiecīgā punkta galīgā redakcija</w:t>
            </w:r>
          </w:p>
        </w:tc>
      </w:tr>
      <w:tr w:rsidR="009F1F3B" w:rsidRPr="00250F2E" w14:paraId="32180AE6" w14:textId="77777777" w:rsidTr="009F793E">
        <w:trPr>
          <w:trHeight w:val="260"/>
        </w:trPr>
        <w:tc>
          <w:tcPr>
            <w:tcW w:w="704" w:type="dxa"/>
            <w:shd w:val="clear" w:color="auto" w:fill="D9D9D9" w:themeFill="background1" w:themeFillShade="D9"/>
          </w:tcPr>
          <w:p w14:paraId="61593385"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1</w:t>
            </w:r>
          </w:p>
        </w:tc>
        <w:tc>
          <w:tcPr>
            <w:tcW w:w="2126" w:type="dxa"/>
            <w:shd w:val="clear" w:color="auto" w:fill="D9D9D9" w:themeFill="background1" w:themeFillShade="D9"/>
          </w:tcPr>
          <w:p w14:paraId="361A627D" w14:textId="77777777" w:rsidR="009F1F3B" w:rsidRPr="00250F2E" w:rsidRDefault="009F1F3B" w:rsidP="00297AF3">
            <w:pPr>
              <w:jc w:val="center"/>
              <w:rPr>
                <w:i/>
                <w:color w:val="000000" w:themeColor="text1"/>
                <w:sz w:val="20"/>
                <w:szCs w:val="20"/>
              </w:rPr>
            </w:pPr>
            <w:r w:rsidRPr="00250F2E">
              <w:rPr>
                <w:i/>
                <w:color w:val="000000" w:themeColor="text1"/>
                <w:sz w:val="20"/>
                <w:szCs w:val="20"/>
              </w:rPr>
              <w:t>2</w:t>
            </w:r>
          </w:p>
        </w:tc>
        <w:tc>
          <w:tcPr>
            <w:tcW w:w="3969" w:type="dxa"/>
            <w:shd w:val="clear" w:color="auto" w:fill="D9D9D9" w:themeFill="background1" w:themeFillShade="D9"/>
          </w:tcPr>
          <w:p w14:paraId="2D4121D7" w14:textId="77777777" w:rsidR="009F1F3B" w:rsidRPr="00250F2E" w:rsidRDefault="009F1F3B" w:rsidP="00297AF3">
            <w:pPr>
              <w:jc w:val="center"/>
              <w:rPr>
                <w:i/>
                <w:color w:val="000000" w:themeColor="text1"/>
                <w:sz w:val="20"/>
                <w:szCs w:val="20"/>
              </w:rPr>
            </w:pPr>
            <w:r w:rsidRPr="00250F2E">
              <w:rPr>
                <w:i/>
                <w:color w:val="000000" w:themeColor="text1"/>
                <w:sz w:val="20"/>
                <w:szCs w:val="20"/>
              </w:rPr>
              <w:t>3</w:t>
            </w:r>
          </w:p>
        </w:tc>
        <w:tc>
          <w:tcPr>
            <w:tcW w:w="3119" w:type="dxa"/>
            <w:shd w:val="clear" w:color="auto" w:fill="D9D9D9" w:themeFill="background1" w:themeFillShade="D9"/>
          </w:tcPr>
          <w:p w14:paraId="36BBF312" w14:textId="77777777" w:rsidR="009F1F3B" w:rsidRPr="00250F2E" w:rsidRDefault="009F1F3B" w:rsidP="00297AF3">
            <w:pPr>
              <w:ind w:left="150"/>
              <w:jc w:val="center"/>
              <w:rPr>
                <w:i/>
                <w:color w:val="000000" w:themeColor="text1"/>
                <w:sz w:val="20"/>
                <w:szCs w:val="20"/>
              </w:rPr>
            </w:pPr>
            <w:r w:rsidRPr="00250F2E">
              <w:rPr>
                <w:i/>
                <w:color w:val="000000" w:themeColor="text1"/>
                <w:sz w:val="20"/>
                <w:szCs w:val="20"/>
              </w:rPr>
              <w:t>4</w:t>
            </w:r>
          </w:p>
        </w:tc>
        <w:tc>
          <w:tcPr>
            <w:tcW w:w="2343" w:type="dxa"/>
            <w:shd w:val="clear" w:color="auto" w:fill="D9D9D9" w:themeFill="background1" w:themeFillShade="D9"/>
          </w:tcPr>
          <w:p w14:paraId="6368DBB1"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5</w:t>
            </w:r>
          </w:p>
        </w:tc>
        <w:tc>
          <w:tcPr>
            <w:tcW w:w="2481" w:type="dxa"/>
            <w:shd w:val="clear" w:color="auto" w:fill="D9D9D9" w:themeFill="background1" w:themeFillShade="D9"/>
          </w:tcPr>
          <w:p w14:paraId="48C1138E" w14:textId="77777777" w:rsidR="009F1F3B" w:rsidRPr="00250F2E" w:rsidRDefault="009F1F3B" w:rsidP="00297AF3">
            <w:pPr>
              <w:jc w:val="center"/>
              <w:rPr>
                <w:i/>
                <w:color w:val="000000" w:themeColor="text1"/>
                <w:sz w:val="20"/>
                <w:szCs w:val="20"/>
              </w:rPr>
            </w:pPr>
            <w:r w:rsidRPr="00250F2E">
              <w:rPr>
                <w:i/>
                <w:color w:val="000000" w:themeColor="text1"/>
                <w:sz w:val="20"/>
                <w:szCs w:val="20"/>
              </w:rPr>
              <w:t>6</w:t>
            </w:r>
          </w:p>
        </w:tc>
      </w:tr>
      <w:tr w:rsidR="002835B7" w:rsidRPr="00250F2E" w14:paraId="3907CBCF" w14:textId="77777777" w:rsidTr="009F793E">
        <w:trPr>
          <w:trHeight w:val="260"/>
        </w:trPr>
        <w:tc>
          <w:tcPr>
            <w:tcW w:w="704" w:type="dxa"/>
          </w:tcPr>
          <w:p w14:paraId="5F66EB00" w14:textId="77777777" w:rsidR="002835B7" w:rsidRPr="00250F2E" w:rsidRDefault="002835B7" w:rsidP="002835B7">
            <w:pPr>
              <w:jc w:val="center"/>
            </w:pPr>
            <w:r w:rsidRPr="00250F2E">
              <w:rPr>
                <w:color w:val="000000" w:themeColor="text1"/>
              </w:rPr>
              <w:t>–</w:t>
            </w:r>
          </w:p>
        </w:tc>
        <w:tc>
          <w:tcPr>
            <w:tcW w:w="2126" w:type="dxa"/>
          </w:tcPr>
          <w:p w14:paraId="0A5249DA" w14:textId="77777777" w:rsidR="002835B7" w:rsidRPr="00250F2E" w:rsidRDefault="002835B7" w:rsidP="002835B7">
            <w:pPr>
              <w:jc w:val="center"/>
            </w:pPr>
            <w:r w:rsidRPr="00250F2E">
              <w:rPr>
                <w:color w:val="000000" w:themeColor="text1"/>
              </w:rPr>
              <w:t>–</w:t>
            </w:r>
          </w:p>
        </w:tc>
        <w:tc>
          <w:tcPr>
            <w:tcW w:w="3969" w:type="dxa"/>
          </w:tcPr>
          <w:p w14:paraId="11E7E46C" w14:textId="77777777" w:rsidR="002835B7" w:rsidRPr="00250F2E" w:rsidRDefault="002835B7" w:rsidP="002835B7">
            <w:pPr>
              <w:jc w:val="center"/>
            </w:pPr>
            <w:r w:rsidRPr="00250F2E">
              <w:rPr>
                <w:color w:val="000000" w:themeColor="text1"/>
              </w:rPr>
              <w:t>–</w:t>
            </w:r>
          </w:p>
        </w:tc>
        <w:tc>
          <w:tcPr>
            <w:tcW w:w="3119" w:type="dxa"/>
          </w:tcPr>
          <w:p w14:paraId="0832CDDE" w14:textId="77777777" w:rsidR="002835B7" w:rsidRPr="00250F2E" w:rsidRDefault="002835B7" w:rsidP="002835B7">
            <w:pPr>
              <w:jc w:val="center"/>
            </w:pPr>
            <w:r w:rsidRPr="00250F2E">
              <w:rPr>
                <w:color w:val="000000" w:themeColor="text1"/>
              </w:rPr>
              <w:t>–</w:t>
            </w:r>
          </w:p>
        </w:tc>
        <w:tc>
          <w:tcPr>
            <w:tcW w:w="2343" w:type="dxa"/>
          </w:tcPr>
          <w:p w14:paraId="20106DD4" w14:textId="3666DF5C" w:rsidR="002835B7" w:rsidRPr="00250F2E" w:rsidRDefault="00801F0C" w:rsidP="00801F0C">
            <w:pPr>
              <w:jc w:val="center"/>
            </w:pPr>
            <w:r>
              <w:t>-</w:t>
            </w:r>
          </w:p>
        </w:tc>
        <w:tc>
          <w:tcPr>
            <w:tcW w:w="2481" w:type="dxa"/>
          </w:tcPr>
          <w:p w14:paraId="31522FFD" w14:textId="77777777" w:rsidR="002835B7" w:rsidRPr="00250F2E" w:rsidRDefault="002835B7" w:rsidP="002835B7">
            <w:pPr>
              <w:jc w:val="center"/>
            </w:pPr>
            <w:r w:rsidRPr="00250F2E">
              <w:rPr>
                <w:color w:val="000000" w:themeColor="text1"/>
              </w:rPr>
              <w:t>–</w:t>
            </w:r>
          </w:p>
        </w:tc>
      </w:tr>
    </w:tbl>
    <w:p w14:paraId="7B22A84D" w14:textId="5BE46A80" w:rsidR="009F1F3B" w:rsidRDefault="009F1F3B" w:rsidP="00297AF3">
      <w:pPr>
        <w:pStyle w:val="naisf"/>
        <w:spacing w:before="0" w:after="60"/>
        <w:ind w:firstLine="0"/>
        <w:jc w:val="left"/>
        <w:rPr>
          <w:b/>
          <w:bCs/>
        </w:rPr>
      </w:pPr>
    </w:p>
    <w:p w14:paraId="64D68DA2" w14:textId="77777777" w:rsidR="007119C9" w:rsidRPr="00250F2E" w:rsidRDefault="007119C9" w:rsidP="00297AF3">
      <w:pPr>
        <w:pStyle w:val="naisf"/>
        <w:spacing w:before="0" w:after="60"/>
        <w:ind w:firstLine="0"/>
        <w:jc w:val="left"/>
        <w:rPr>
          <w:b/>
          <w:bCs/>
        </w:rPr>
      </w:pPr>
    </w:p>
    <w:p w14:paraId="7B9F8595" w14:textId="77777777" w:rsidR="009F1F3B" w:rsidRPr="00250F2E" w:rsidRDefault="009F1F3B" w:rsidP="00297AF3">
      <w:pPr>
        <w:pStyle w:val="naisf"/>
        <w:spacing w:before="0" w:after="0"/>
        <w:ind w:firstLine="0"/>
      </w:pPr>
      <w:r w:rsidRPr="00250F2E">
        <w:rPr>
          <w:b/>
          <w:bCs/>
        </w:rPr>
        <w:t>Informācija par starpministriju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50F2E" w14:paraId="45C9E62D" w14:textId="77777777" w:rsidTr="00B13AEC">
        <w:trPr>
          <w:tblCellSpacing w:w="0" w:type="dxa"/>
        </w:trPr>
        <w:tc>
          <w:tcPr>
            <w:tcW w:w="4111" w:type="dxa"/>
            <w:gridSpan w:val="2"/>
            <w:hideMark/>
          </w:tcPr>
          <w:p w14:paraId="31D4AFD3" w14:textId="77777777" w:rsidR="009F1F3B" w:rsidRPr="00250F2E" w:rsidRDefault="009F1F3B" w:rsidP="00297AF3">
            <w:pPr>
              <w:pStyle w:val="naiskr"/>
              <w:spacing w:before="0" w:after="0"/>
            </w:pPr>
            <w:r w:rsidRPr="00250F2E">
              <w:t>Datums</w:t>
            </w:r>
          </w:p>
        </w:tc>
        <w:tc>
          <w:tcPr>
            <w:tcW w:w="9923" w:type="dxa"/>
            <w:gridSpan w:val="2"/>
          </w:tcPr>
          <w:p w14:paraId="48C49CC9" w14:textId="31944CBB" w:rsidR="00751C84" w:rsidRDefault="007E1A8F" w:rsidP="00E165AE">
            <w:pPr>
              <w:pStyle w:val="naisf"/>
              <w:spacing w:before="0" w:after="0"/>
              <w:ind w:firstLine="0"/>
            </w:pPr>
            <w:r>
              <w:t>30</w:t>
            </w:r>
            <w:r w:rsidR="009B44C2" w:rsidRPr="006131F2">
              <w:t>.09.2021 (elektroniskā saskaņošana),</w:t>
            </w:r>
            <w:r w:rsidR="009B44C2">
              <w:t xml:space="preserve"> </w:t>
            </w:r>
            <w:r w:rsidR="00E71307" w:rsidRPr="00E71307">
              <w:t>23</w:t>
            </w:r>
            <w:r w:rsidR="003D0AF3" w:rsidRPr="00E71307">
              <w:t>.09.2021.</w:t>
            </w:r>
            <w:r w:rsidR="003D0AF3">
              <w:t xml:space="preserve"> </w:t>
            </w:r>
            <w:r w:rsidR="00A476BE">
              <w:t>(</w:t>
            </w:r>
            <w:r w:rsidR="00A476BE" w:rsidRPr="00A476BE">
              <w:t>starpministriju (starpinstitūciju) sanāksm</w:t>
            </w:r>
            <w:r w:rsidR="00A476BE">
              <w:t>e)</w:t>
            </w:r>
            <w:r w:rsidR="00CF71C5">
              <w:t xml:space="preserve">, </w:t>
            </w:r>
            <w:r w:rsidR="003D0AF3">
              <w:t>(</w:t>
            </w:r>
            <w:r w:rsidR="00187FD6" w:rsidRPr="00187FD6">
              <w:t>0</w:t>
            </w:r>
            <w:r w:rsidR="00D217F0">
              <w:t>6</w:t>
            </w:r>
            <w:r w:rsidR="00187FD6" w:rsidRPr="00187FD6">
              <w:t>.09.</w:t>
            </w:r>
            <w:r w:rsidR="00A83F38" w:rsidRPr="00187FD6">
              <w:t>2021. (</w:t>
            </w:r>
            <w:r w:rsidR="00A83F38" w:rsidRPr="00187FD6">
              <w:rPr>
                <w:i/>
              </w:rPr>
              <w:t>elektroniskā saskaņošana),</w:t>
            </w:r>
            <w:r w:rsidR="00A83F38" w:rsidRPr="009F5BFE">
              <w:t xml:space="preserve"> 12.08.2021.</w:t>
            </w:r>
            <w:r w:rsidR="00A83F38">
              <w:t xml:space="preserve"> </w:t>
            </w:r>
            <w:r w:rsidR="00A83F38" w:rsidRPr="00E165AE">
              <w:t>(</w:t>
            </w:r>
            <w:r w:rsidR="00A83F38" w:rsidRPr="00E165AE">
              <w:rPr>
                <w:i/>
              </w:rPr>
              <w:t>elektroniskā saskaņošana</w:t>
            </w:r>
            <w:r w:rsidR="00A83F38">
              <w:rPr>
                <w:i/>
              </w:rPr>
              <w:t>)</w:t>
            </w:r>
            <w:r w:rsidR="00A83F38">
              <w:t>;</w:t>
            </w:r>
          </w:p>
          <w:p w14:paraId="4769ED85" w14:textId="015BEC6B" w:rsidR="00096939" w:rsidRPr="00087FF4" w:rsidRDefault="00096939" w:rsidP="00E165AE">
            <w:pPr>
              <w:pStyle w:val="naisf"/>
              <w:spacing w:before="0" w:after="0"/>
              <w:ind w:firstLine="0"/>
              <w:rPr>
                <w:b/>
                <w:bCs/>
              </w:rPr>
            </w:pPr>
          </w:p>
        </w:tc>
      </w:tr>
      <w:tr w:rsidR="009F1F3B" w:rsidRPr="00250F2E" w14:paraId="3BF6DEF8" w14:textId="77777777" w:rsidTr="00B13AEC">
        <w:trPr>
          <w:tblCellSpacing w:w="0" w:type="dxa"/>
        </w:trPr>
        <w:tc>
          <w:tcPr>
            <w:tcW w:w="4111" w:type="dxa"/>
            <w:gridSpan w:val="2"/>
          </w:tcPr>
          <w:p w14:paraId="6D902489" w14:textId="77777777" w:rsidR="009F1F3B" w:rsidRPr="00250F2E" w:rsidRDefault="009F1F3B" w:rsidP="00297AF3">
            <w:pPr>
              <w:pStyle w:val="naiskr"/>
              <w:spacing w:before="0" w:after="0"/>
              <w:rPr>
                <w:bCs/>
              </w:rPr>
            </w:pPr>
          </w:p>
        </w:tc>
        <w:tc>
          <w:tcPr>
            <w:tcW w:w="9923" w:type="dxa"/>
            <w:gridSpan w:val="2"/>
          </w:tcPr>
          <w:p w14:paraId="4DD693F4" w14:textId="77777777" w:rsidR="009F1F3B" w:rsidRPr="00250F2E" w:rsidRDefault="009F1F3B" w:rsidP="00297AF3">
            <w:pPr>
              <w:pStyle w:val="naisf"/>
              <w:spacing w:before="0" w:after="0"/>
              <w:ind w:firstLine="0"/>
            </w:pPr>
          </w:p>
        </w:tc>
      </w:tr>
      <w:tr w:rsidR="009F1F3B" w:rsidRPr="00250F2E" w14:paraId="01153F8A" w14:textId="77777777" w:rsidTr="008D1395">
        <w:trPr>
          <w:tblCellSpacing w:w="0" w:type="dxa"/>
        </w:trPr>
        <w:tc>
          <w:tcPr>
            <w:tcW w:w="2552" w:type="dxa"/>
            <w:hideMark/>
          </w:tcPr>
          <w:p w14:paraId="08D49615" w14:textId="77777777" w:rsidR="009F1F3B" w:rsidRPr="00250F2E" w:rsidRDefault="009F1F3B" w:rsidP="00297AF3">
            <w:pPr>
              <w:pStyle w:val="naiskr"/>
              <w:spacing w:before="0" w:after="0"/>
            </w:pPr>
            <w:r w:rsidRPr="00250F2E">
              <w:t>Saskaņošanas dalībnieki:</w:t>
            </w:r>
          </w:p>
        </w:tc>
        <w:tc>
          <w:tcPr>
            <w:tcW w:w="11482" w:type="dxa"/>
            <w:gridSpan w:val="3"/>
            <w:vAlign w:val="center"/>
          </w:tcPr>
          <w:p w14:paraId="13B0CF81" w14:textId="0B524ADE" w:rsidR="009F1F3B" w:rsidRPr="00250F2E" w:rsidRDefault="008D1395" w:rsidP="00297AF3">
            <w:pPr>
              <w:pStyle w:val="naisf"/>
              <w:spacing w:before="0" w:after="0"/>
              <w:ind w:firstLine="0"/>
            </w:pPr>
            <w:r>
              <w:t xml:space="preserve">Tieslietu ministrija, </w:t>
            </w:r>
            <w:proofErr w:type="spellStart"/>
            <w:r w:rsidR="00290094">
              <w:t>Pārresoru</w:t>
            </w:r>
            <w:proofErr w:type="spellEnd"/>
            <w:r w:rsidR="00290094">
              <w:t xml:space="preserve"> koordinācijas centrs</w:t>
            </w:r>
          </w:p>
        </w:tc>
      </w:tr>
      <w:tr w:rsidR="009F1F3B" w:rsidRPr="00250F2E" w14:paraId="40D21A93" w14:textId="77777777" w:rsidTr="00B13AEC">
        <w:trPr>
          <w:tblCellSpacing w:w="0" w:type="dxa"/>
        </w:trPr>
        <w:tc>
          <w:tcPr>
            <w:tcW w:w="4111" w:type="dxa"/>
            <w:gridSpan w:val="2"/>
          </w:tcPr>
          <w:p w14:paraId="27334309" w14:textId="77777777" w:rsidR="009F1F3B" w:rsidRPr="00250F2E" w:rsidRDefault="009F1F3B" w:rsidP="008D204B">
            <w:pPr>
              <w:pStyle w:val="naiskr"/>
              <w:spacing w:before="0" w:after="0"/>
            </w:pPr>
            <w:r w:rsidRPr="00250F2E">
              <w:t>Saskaņošanas dalībnieki izskatīja šādu ministriju (citu institūciju) iebildumus:</w:t>
            </w:r>
          </w:p>
        </w:tc>
        <w:tc>
          <w:tcPr>
            <w:tcW w:w="9923" w:type="dxa"/>
            <w:gridSpan w:val="2"/>
            <w:vAlign w:val="center"/>
          </w:tcPr>
          <w:p w14:paraId="780393E8" w14:textId="77777777" w:rsidR="005F47A1" w:rsidRDefault="005F47A1" w:rsidP="00297AF3">
            <w:pPr>
              <w:pStyle w:val="naisf"/>
              <w:spacing w:before="0" w:after="0"/>
              <w:ind w:firstLine="0"/>
            </w:pPr>
          </w:p>
          <w:p w14:paraId="60DD1168" w14:textId="0DCFC715" w:rsidR="00C60D02" w:rsidRDefault="00C60D02" w:rsidP="00AE2EEA">
            <w:pPr>
              <w:pStyle w:val="naisf"/>
              <w:spacing w:before="0" w:after="0"/>
              <w:ind w:firstLine="0"/>
            </w:pPr>
            <w:r>
              <w:t xml:space="preserve">Tieslietu ministrijas 13.09.2021. </w:t>
            </w:r>
            <w:r w:rsidR="00D378B7">
              <w:t>elektroniskās saskaņošanas atzinums</w:t>
            </w:r>
          </w:p>
          <w:p w14:paraId="5C417A9D" w14:textId="28690B23" w:rsidR="00A83F38" w:rsidRDefault="00290094" w:rsidP="00AE2EEA">
            <w:pPr>
              <w:pStyle w:val="naisf"/>
              <w:spacing w:before="0" w:after="0"/>
              <w:ind w:firstLine="0"/>
            </w:pPr>
            <w:proofErr w:type="spellStart"/>
            <w:r>
              <w:t>Pārresoru</w:t>
            </w:r>
            <w:proofErr w:type="spellEnd"/>
            <w:r>
              <w:t xml:space="preserve"> koordinācijas centra </w:t>
            </w:r>
            <w:r w:rsidR="00A83F38">
              <w:t xml:space="preserve">18.08.2021. atzinums </w:t>
            </w:r>
            <w:r w:rsidR="00A83F38" w:rsidRPr="00A83F38">
              <w:t>Nr. 1.2-5.1/115</w:t>
            </w:r>
          </w:p>
          <w:p w14:paraId="2759F328" w14:textId="6EEC8AC3" w:rsidR="007F2387" w:rsidRPr="00087FF4" w:rsidRDefault="00A83F38" w:rsidP="00AE2EEA">
            <w:pPr>
              <w:pStyle w:val="naisf"/>
              <w:spacing w:before="0" w:after="0"/>
              <w:ind w:firstLine="0"/>
              <w:rPr>
                <w:b/>
                <w:bCs/>
              </w:rPr>
            </w:pPr>
            <w:proofErr w:type="spellStart"/>
            <w:r>
              <w:t>Pārresoru</w:t>
            </w:r>
            <w:proofErr w:type="spellEnd"/>
            <w:r>
              <w:t xml:space="preserve"> koordinācijas centra </w:t>
            </w:r>
            <w:r w:rsidR="00226B67">
              <w:t xml:space="preserve">19.07.2021. atzinums </w:t>
            </w:r>
            <w:r w:rsidR="00226B67" w:rsidRPr="00226B67">
              <w:t>Nr. 1.2-5.1/87</w:t>
            </w:r>
            <w:r w:rsidR="00AE2EEA">
              <w:t>.</w:t>
            </w:r>
          </w:p>
        </w:tc>
      </w:tr>
      <w:tr w:rsidR="001E38A0" w:rsidRPr="00250F2E" w14:paraId="3F03037B" w14:textId="77777777" w:rsidTr="00B13AEC">
        <w:trPr>
          <w:tblCellSpacing w:w="0" w:type="dxa"/>
        </w:trPr>
        <w:tc>
          <w:tcPr>
            <w:tcW w:w="4111" w:type="dxa"/>
            <w:gridSpan w:val="2"/>
          </w:tcPr>
          <w:p w14:paraId="57525976" w14:textId="77777777" w:rsidR="001E38A0" w:rsidRPr="00250F2E" w:rsidRDefault="001E38A0" w:rsidP="00297AF3">
            <w:pPr>
              <w:pStyle w:val="naiskr"/>
              <w:spacing w:before="0" w:after="0"/>
            </w:pPr>
          </w:p>
        </w:tc>
        <w:tc>
          <w:tcPr>
            <w:tcW w:w="9923" w:type="dxa"/>
            <w:gridSpan w:val="2"/>
            <w:vAlign w:val="center"/>
          </w:tcPr>
          <w:p w14:paraId="0D3ED877" w14:textId="77777777" w:rsidR="001E38A0" w:rsidRPr="00250F2E" w:rsidRDefault="001E38A0" w:rsidP="00297AF3">
            <w:pPr>
              <w:pStyle w:val="naisf"/>
              <w:spacing w:before="0" w:after="0"/>
              <w:ind w:firstLine="0"/>
            </w:pPr>
          </w:p>
        </w:tc>
      </w:tr>
      <w:tr w:rsidR="009F1F3B" w:rsidRPr="00250F2E" w14:paraId="2B03080B" w14:textId="77777777" w:rsidTr="001E38A0">
        <w:trPr>
          <w:tblCellSpacing w:w="0" w:type="dxa"/>
        </w:trPr>
        <w:tc>
          <w:tcPr>
            <w:tcW w:w="5387" w:type="dxa"/>
            <w:gridSpan w:val="3"/>
          </w:tcPr>
          <w:p w14:paraId="71A94CA3" w14:textId="77777777" w:rsidR="009F1F3B" w:rsidRPr="00250F2E" w:rsidRDefault="009F1F3B" w:rsidP="00297AF3">
            <w:pPr>
              <w:pStyle w:val="naiskr"/>
              <w:spacing w:before="0" w:after="0"/>
            </w:pPr>
            <w:r w:rsidRPr="00250F2E">
              <w:t>Ministrijas (citas institūcijas), kuras nav ieradušās uz sanāksmi vai kuras nav atbildējušas uz uzaicinājumu piedalīties elektroniskajā saskaņošanā</w:t>
            </w:r>
          </w:p>
        </w:tc>
        <w:tc>
          <w:tcPr>
            <w:tcW w:w="8647" w:type="dxa"/>
            <w:vAlign w:val="center"/>
          </w:tcPr>
          <w:p w14:paraId="06EE09F2" w14:textId="77777777" w:rsidR="009F1F3B" w:rsidRPr="00250F2E" w:rsidRDefault="005352AB" w:rsidP="00297AF3">
            <w:pPr>
              <w:pStyle w:val="naisf"/>
              <w:spacing w:before="0" w:after="0"/>
              <w:ind w:firstLine="0"/>
            </w:pPr>
            <w:r w:rsidRPr="00250F2E">
              <w:rPr>
                <w:color w:val="000000" w:themeColor="text1"/>
              </w:rPr>
              <w:t>–</w:t>
            </w:r>
          </w:p>
          <w:p w14:paraId="75003EC9" w14:textId="77777777" w:rsidR="001E38A0" w:rsidRPr="00250F2E" w:rsidRDefault="001E38A0" w:rsidP="00297AF3">
            <w:pPr>
              <w:pStyle w:val="naisf"/>
              <w:spacing w:before="0" w:after="0"/>
              <w:ind w:firstLine="0"/>
            </w:pPr>
          </w:p>
          <w:p w14:paraId="257595DD" w14:textId="77777777" w:rsidR="001E38A0" w:rsidRPr="00250F2E" w:rsidRDefault="001E38A0" w:rsidP="00297AF3">
            <w:pPr>
              <w:pStyle w:val="naisf"/>
              <w:spacing w:before="0" w:after="0"/>
              <w:ind w:firstLine="0"/>
            </w:pPr>
          </w:p>
        </w:tc>
      </w:tr>
    </w:tbl>
    <w:p w14:paraId="2E584FC9" w14:textId="77777777" w:rsidR="009F1F3B" w:rsidRPr="00250F2E" w:rsidRDefault="009F1F3B" w:rsidP="006007A2">
      <w:pPr>
        <w:spacing w:before="360"/>
        <w:jc w:val="center"/>
        <w:rPr>
          <w:color w:val="000000" w:themeColor="text1"/>
        </w:rPr>
      </w:pPr>
      <w:r w:rsidRPr="00250F2E">
        <w:rPr>
          <w:b/>
          <w:color w:val="000000" w:themeColor="text1"/>
        </w:rPr>
        <w:t>II. Jautājumi, par kuriem saskaņošanā vienošanās ir panākta</w:t>
      </w:r>
    </w:p>
    <w:p w14:paraId="0CF997EE" w14:textId="77777777" w:rsidR="009F1F3B" w:rsidRPr="00250F2E"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2960"/>
        <w:gridCol w:w="223"/>
        <w:gridCol w:w="42"/>
        <w:gridCol w:w="3476"/>
        <w:gridCol w:w="844"/>
        <w:gridCol w:w="33"/>
        <w:gridCol w:w="3543"/>
        <w:gridCol w:w="24"/>
        <w:gridCol w:w="2817"/>
      </w:tblGrid>
      <w:tr w:rsidR="009F1F3B" w:rsidRPr="00250F2E" w14:paraId="222A7CE9" w14:textId="77777777" w:rsidTr="003E199E">
        <w:trPr>
          <w:jc w:val="center"/>
        </w:trPr>
        <w:tc>
          <w:tcPr>
            <w:tcW w:w="780" w:type="dxa"/>
            <w:shd w:val="clear" w:color="auto" w:fill="D9D9D9" w:themeFill="background1" w:themeFillShade="D9"/>
            <w:vAlign w:val="center"/>
          </w:tcPr>
          <w:p w14:paraId="5E464AFE" w14:textId="77777777" w:rsidR="009F1F3B" w:rsidRPr="00250F2E" w:rsidRDefault="009F1F3B" w:rsidP="00574917">
            <w:pPr>
              <w:jc w:val="center"/>
              <w:rPr>
                <w:color w:val="000000" w:themeColor="text1"/>
              </w:rPr>
            </w:pPr>
            <w:r w:rsidRPr="00250F2E">
              <w:rPr>
                <w:color w:val="000000" w:themeColor="text1"/>
              </w:rPr>
              <w:lastRenderedPageBreak/>
              <w:t>Nr.</w:t>
            </w:r>
          </w:p>
          <w:p w14:paraId="49B7E1B1" w14:textId="77777777" w:rsidR="009F1F3B" w:rsidRPr="00250F2E" w:rsidRDefault="009F1F3B" w:rsidP="00574917">
            <w:pPr>
              <w:jc w:val="center"/>
              <w:rPr>
                <w:color w:val="000000" w:themeColor="text1"/>
              </w:rPr>
            </w:pPr>
            <w:r w:rsidRPr="00250F2E">
              <w:rPr>
                <w:color w:val="000000" w:themeColor="text1"/>
              </w:rPr>
              <w:t>p.k.</w:t>
            </w:r>
          </w:p>
        </w:tc>
        <w:tc>
          <w:tcPr>
            <w:tcW w:w="3183" w:type="dxa"/>
            <w:gridSpan w:val="2"/>
            <w:shd w:val="clear" w:color="auto" w:fill="D9D9D9" w:themeFill="background1" w:themeFillShade="D9"/>
            <w:vAlign w:val="center"/>
          </w:tcPr>
          <w:p w14:paraId="2E5A20F6" w14:textId="77777777" w:rsidR="009F1F3B" w:rsidRPr="00250F2E" w:rsidRDefault="009F1F3B" w:rsidP="00574917">
            <w:pPr>
              <w:jc w:val="center"/>
              <w:rPr>
                <w:color w:val="000000" w:themeColor="text1"/>
              </w:rPr>
            </w:pPr>
            <w:r w:rsidRPr="00250F2E">
              <w:rPr>
                <w:color w:val="000000" w:themeColor="text1"/>
              </w:rPr>
              <w:t>Saskaņošanai nosūtītā projekta redakcija (konkrēta punkta redakcija)</w:t>
            </w:r>
          </w:p>
        </w:tc>
        <w:tc>
          <w:tcPr>
            <w:tcW w:w="4395" w:type="dxa"/>
            <w:gridSpan w:val="4"/>
            <w:shd w:val="clear" w:color="auto" w:fill="D9D9D9" w:themeFill="background1" w:themeFillShade="D9"/>
            <w:vAlign w:val="center"/>
          </w:tcPr>
          <w:p w14:paraId="52AF5927" w14:textId="77777777" w:rsidR="009F1F3B" w:rsidRPr="00250F2E" w:rsidRDefault="009F1F3B" w:rsidP="00574917">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543" w:type="dxa"/>
            <w:shd w:val="clear" w:color="auto" w:fill="D9D9D9" w:themeFill="background1" w:themeFillShade="D9"/>
            <w:vAlign w:val="center"/>
          </w:tcPr>
          <w:p w14:paraId="2BFC1A91" w14:textId="77777777" w:rsidR="009F1F3B" w:rsidRPr="00250F2E" w:rsidRDefault="009F1F3B" w:rsidP="00574917">
            <w:pPr>
              <w:jc w:val="center"/>
              <w:rPr>
                <w:color w:val="000000" w:themeColor="text1"/>
              </w:rPr>
            </w:pPr>
            <w:r w:rsidRPr="00250F2E">
              <w:rPr>
                <w:color w:val="000000" w:themeColor="text1"/>
              </w:rPr>
              <w:t>Atbildīgās ministrijas norāde par to, ka iebildums ir ņemts vērā, vai informācija par saskaņošanā panākto alternatīvo risinājumu</w:t>
            </w:r>
          </w:p>
        </w:tc>
        <w:tc>
          <w:tcPr>
            <w:tcW w:w="2841" w:type="dxa"/>
            <w:gridSpan w:val="2"/>
            <w:shd w:val="clear" w:color="auto" w:fill="D9D9D9" w:themeFill="background1" w:themeFillShade="D9"/>
            <w:vAlign w:val="center"/>
          </w:tcPr>
          <w:p w14:paraId="0193E7A6" w14:textId="77777777" w:rsidR="009F1F3B" w:rsidRPr="00250F2E" w:rsidRDefault="009F1F3B" w:rsidP="00574917">
            <w:pPr>
              <w:jc w:val="center"/>
              <w:rPr>
                <w:color w:val="000000" w:themeColor="text1"/>
              </w:rPr>
            </w:pPr>
            <w:r w:rsidRPr="00250F2E">
              <w:rPr>
                <w:color w:val="000000" w:themeColor="text1"/>
              </w:rPr>
              <w:t>Projekta attiecīgā punkta galīgā redakcija</w:t>
            </w:r>
          </w:p>
        </w:tc>
      </w:tr>
      <w:tr w:rsidR="009F1F3B" w:rsidRPr="00250F2E" w14:paraId="79A820F4" w14:textId="77777777" w:rsidTr="003E199E">
        <w:trPr>
          <w:jc w:val="center"/>
        </w:trPr>
        <w:tc>
          <w:tcPr>
            <w:tcW w:w="780" w:type="dxa"/>
            <w:shd w:val="clear" w:color="auto" w:fill="D9D9D9" w:themeFill="background1" w:themeFillShade="D9"/>
          </w:tcPr>
          <w:p w14:paraId="5306B390" w14:textId="77777777" w:rsidR="009F1F3B" w:rsidRPr="00250F2E" w:rsidRDefault="009F1F3B" w:rsidP="00574917">
            <w:pPr>
              <w:jc w:val="center"/>
              <w:rPr>
                <w:i/>
                <w:color w:val="000000" w:themeColor="text1"/>
                <w:sz w:val="20"/>
                <w:szCs w:val="20"/>
              </w:rPr>
            </w:pPr>
            <w:r w:rsidRPr="00250F2E">
              <w:rPr>
                <w:i/>
                <w:color w:val="000000" w:themeColor="text1"/>
                <w:sz w:val="20"/>
                <w:szCs w:val="20"/>
              </w:rPr>
              <w:t>1</w:t>
            </w:r>
          </w:p>
        </w:tc>
        <w:tc>
          <w:tcPr>
            <w:tcW w:w="3183" w:type="dxa"/>
            <w:gridSpan w:val="2"/>
            <w:shd w:val="clear" w:color="auto" w:fill="D9D9D9" w:themeFill="background1" w:themeFillShade="D9"/>
          </w:tcPr>
          <w:p w14:paraId="43237424" w14:textId="77777777" w:rsidR="009F1F3B" w:rsidRPr="00250F2E" w:rsidRDefault="009F1F3B" w:rsidP="00574917">
            <w:pPr>
              <w:jc w:val="center"/>
              <w:rPr>
                <w:i/>
                <w:color w:val="000000" w:themeColor="text1"/>
                <w:sz w:val="20"/>
                <w:szCs w:val="20"/>
              </w:rPr>
            </w:pPr>
            <w:r w:rsidRPr="00250F2E">
              <w:rPr>
                <w:i/>
                <w:color w:val="000000" w:themeColor="text1"/>
                <w:sz w:val="20"/>
                <w:szCs w:val="20"/>
              </w:rPr>
              <w:t>2</w:t>
            </w:r>
          </w:p>
        </w:tc>
        <w:tc>
          <w:tcPr>
            <w:tcW w:w="4395" w:type="dxa"/>
            <w:gridSpan w:val="4"/>
            <w:shd w:val="clear" w:color="auto" w:fill="D9D9D9" w:themeFill="background1" w:themeFillShade="D9"/>
            <w:vAlign w:val="center"/>
          </w:tcPr>
          <w:p w14:paraId="422B5C8C" w14:textId="77777777" w:rsidR="009F1F3B" w:rsidRPr="00250F2E" w:rsidRDefault="009F1F3B" w:rsidP="00574917">
            <w:pPr>
              <w:jc w:val="center"/>
              <w:rPr>
                <w:i/>
                <w:color w:val="000000" w:themeColor="text1"/>
                <w:sz w:val="20"/>
                <w:szCs w:val="20"/>
              </w:rPr>
            </w:pPr>
            <w:r w:rsidRPr="00250F2E">
              <w:rPr>
                <w:i/>
                <w:color w:val="000000" w:themeColor="text1"/>
                <w:sz w:val="20"/>
                <w:szCs w:val="20"/>
              </w:rPr>
              <w:t>3</w:t>
            </w:r>
          </w:p>
        </w:tc>
        <w:tc>
          <w:tcPr>
            <w:tcW w:w="3543" w:type="dxa"/>
            <w:shd w:val="clear" w:color="auto" w:fill="D9D9D9" w:themeFill="background1" w:themeFillShade="D9"/>
          </w:tcPr>
          <w:p w14:paraId="148A4E0A" w14:textId="77777777" w:rsidR="009F1F3B" w:rsidRPr="00250F2E" w:rsidRDefault="009F1F3B" w:rsidP="00574917">
            <w:pPr>
              <w:jc w:val="center"/>
              <w:rPr>
                <w:i/>
                <w:color w:val="000000" w:themeColor="text1"/>
                <w:sz w:val="20"/>
                <w:szCs w:val="20"/>
              </w:rPr>
            </w:pPr>
            <w:r w:rsidRPr="00250F2E">
              <w:rPr>
                <w:i/>
                <w:color w:val="000000" w:themeColor="text1"/>
                <w:sz w:val="20"/>
                <w:szCs w:val="20"/>
              </w:rPr>
              <w:t>4</w:t>
            </w:r>
          </w:p>
        </w:tc>
        <w:tc>
          <w:tcPr>
            <w:tcW w:w="2841" w:type="dxa"/>
            <w:gridSpan w:val="2"/>
            <w:shd w:val="clear" w:color="auto" w:fill="D9D9D9" w:themeFill="background1" w:themeFillShade="D9"/>
            <w:vAlign w:val="center"/>
          </w:tcPr>
          <w:p w14:paraId="18E08DAF" w14:textId="77777777" w:rsidR="009F1F3B" w:rsidRPr="00250F2E" w:rsidRDefault="009F1F3B" w:rsidP="00574917">
            <w:pPr>
              <w:jc w:val="center"/>
              <w:rPr>
                <w:i/>
                <w:color w:val="000000" w:themeColor="text1"/>
                <w:sz w:val="20"/>
                <w:szCs w:val="20"/>
              </w:rPr>
            </w:pPr>
            <w:r w:rsidRPr="00250F2E">
              <w:rPr>
                <w:i/>
                <w:color w:val="000000" w:themeColor="text1"/>
                <w:sz w:val="20"/>
                <w:szCs w:val="20"/>
              </w:rPr>
              <w:t>5</w:t>
            </w:r>
          </w:p>
        </w:tc>
      </w:tr>
      <w:tr w:rsidR="00170F27" w:rsidRPr="00250F2E" w14:paraId="34E4E225" w14:textId="77777777" w:rsidTr="004A0505">
        <w:trPr>
          <w:jc w:val="center"/>
        </w:trPr>
        <w:tc>
          <w:tcPr>
            <w:tcW w:w="14742" w:type="dxa"/>
            <w:gridSpan w:val="10"/>
          </w:tcPr>
          <w:p w14:paraId="63A465DE" w14:textId="3BD07951" w:rsidR="00170F27" w:rsidRDefault="00D85128" w:rsidP="008055E2">
            <w:pPr>
              <w:spacing w:before="120" w:after="120"/>
              <w:jc w:val="center"/>
              <w:rPr>
                <w:b/>
                <w:bCs/>
                <w:color w:val="000000"/>
              </w:rPr>
            </w:pPr>
            <w:r>
              <w:rPr>
                <w:b/>
                <w:bCs/>
                <w:color w:val="000000"/>
              </w:rPr>
              <w:t xml:space="preserve">Pēc </w:t>
            </w:r>
            <w:proofErr w:type="spellStart"/>
            <w:r>
              <w:rPr>
                <w:b/>
                <w:bCs/>
                <w:color w:val="000000"/>
              </w:rPr>
              <w:t>starministriju</w:t>
            </w:r>
            <w:proofErr w:type="spellEnd"/>
            <w:r>
              <w:rPr>
                <w:b/>
                <w:bCs/>
                <w:color w:val="000000"/>
              </w:rPr>
              <w:t xml:space="preserve"> (starpinstitūciju) 23.09.2021. sanāksmes 30.09.2021.  elektroniskā saskaņošana</w:t>
            </w:r>
          </w:p>
        </w:tc>
      </w:tr>
      <w:tr w:rsidR="003E199E" w:rsidRPr="00250F2E" w14:paraId="4C6ABDCB" w14:textId="488F8278" w:rsidTr="003E199E">
        <w:trPr>
          <w:jc w:val="center"/>
        </w:trPr>
        <w:tc>
          <w:tcPr>
            <w:tcW w:w="780" w:type="dxa"/>
            <w:tcBorders>
              <w:right w:val="single" w:sz="4" w:space="0" w:color="auto"/>
            </w:tcBorders>
          </w:tcPr>
          <w:p w14:paraId="4BC47FE1" w14:textId="3CEB0185" w:rsidR="003E199E" w:rsidRPr="00CF282D" w:rsidRDefault="00CF282D" w:rsidP="008055E2">
            <w:pPr>
              <w:spacing w:before="120" w:after="120"/>
              <w:jc w:val="center"/>
              <w:rPr>
                <w:color w:val="000000"/>
              </w:rPr>
            </w:pPr>
            <w:r w:rsidRPr="00CF282D">
              <w:rPr>
                <w:color w:val="000000"/>
              </w:rPr>
              <w:t>1.</w:t>
            </w:r>
          </w:p>
        </w:tc>
        <w:tc>
          <w:tcPr>
            <w:tcW w:w="3225" w:type="dxa"/>
            <w:gridSpan w:val="3"/>
            <w:tcBorders>
              <w:left w:val="single" w:sz="4" w:space="0" w:color="auto"/>
              <w:right w:val="single" w:sz="4" w:space="0" w:color="auto"/>
            </w:tcBorders>
          </w:tcPr>
          <w:p w14:paraId="7753BDE6" w14:textId="21CBCC16" w:rsidR="005233D8" w:rsidRDefault="005233D8" w:rsidP="005233D8">
            <w:pPr>
              <w:jc w:val="both"/>
              <w:rPr>
                <w:color w:val="000000"/>
              </w:rPr>
            </w:pPr>
            <w:r>
              <w:rPr>
                <w:color w:val="000000"/>
              </w:rPr>
              <w:t>Rīkojuma projekts:</w:t>
            </w:r>
          </w:p>
          <w:p w14:paraId="62A909E7" w14:textId="244746B3" w:rsidR="005233D8" w:rsidRPr="009218A4" w:rsidRDefault="008D204B" w:rsidP="005233D8">
            <w:pPr>
              <w:jc w:val="both"/>
              <w:rPr>
                <w:color w:val="000000"/>
              </w:rPr>
            </w:pPr>
            <w:r>
              <w:rPr>
                <w:color w:val="000000"/>
              </w:rPr>
              <w:t>“</w:t>
            </w:r>
            <w:r w:rsidR="005233D8" w:rsidRPr="009218A4">
              <w:rPr>
                <w:color w:val="000000"/>
              </w:rPr>
              <w:t xml:space="preserve">1. 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11.2.4.apakšpunktu samazināt valsts akciju sabiedrības “Valsts nekustamie īpašumi” (vienotais reģistrācijas numurs 40003294758) dividendēs izmaksājamo  peļņas daļu par 2020.gadu un noteikt to 1 435 408 </w:t>
            </w:r>
            <w:proofErr w:type="spellStart"/>
            <w:r w:rsidR="005233D8" w:rsidRPr="00514AB7">
              <w:rPr>
                <w:i/>
                <w:iCs/>
                <w:color w:val="000000"/>
              </w:rPr>
              <w:t>euro</w:t>
            </w:r>
            <w:proofErr w:type="spellEnd"/>
            <w:r w:rsidR="005233D8" w:rsidRPr="00514AB7">
              <w:rPr>
                <w:i/>
                <w:iCs/>
                <w:color w:val="000000"/>
              </w:rPr>
              <w:t xml:space="preserve"> </w:t>
            </w:r>
            <w:r w:rsidR="005233D8" w:rsidRPr="009218A4">
              <w:rPr>
                <w:color w:val="000000"/>
              </w:rPr>
              <w:t>apmērā (48 % no peļņas par 2020.gadu).</w:t>
            </w:r>
          </w:p>
          <w:p w14:paraId="09EDCBBF" w14:textId="77777777" w:rsidR="005233D8" w:rsidRPr="009218A4" w:rsidRDefault="005233D8" w:rsidP="005233D8">
            <w:pPr>
              <w:jc w:val="both"/>
              <w:rPr>
                <w:color w:val="000000"/>
              </w:rPr>
            </w:pPr>
            <w:r w:rsidRPr="009218A4">
              <w:rPr>
                <w:color w:val="000000"/>
              </w:rPr>
              <w:t xml:space="preserve">2. Finanšu ministrijai kā valsts akciju sabiedrības “Valsts nekustamie īpašumi” kapitāla daļu turētājai nodrošināt, ka valsts akciju sabiedrības </w:t>
            </w:r>
            <w:r w:rsidRPr="009218A4">
              <w:rPr>
                <w:color w:val="000000"/>
              </w:rPr>
              <w:lastRenderedPageBreak/>
              <w:t xml:space="preserve">“Valsts nekustamie īpašumi” 2020. gada peļņas daļa 954 260 </w:t>
            </w:r>
            <w:proofErr w:type="spellStart"/>
            <w:r w:rsidRPr="00514AB7">
              <w:rPr>
                <w:i/>
                <w:iCs/>
                <w:color w:val="000000"/>
              </w:rPr>
              <w:t>euro</w:t>
            </w:r>
            <w:proofErr w:type="spellEnd"/>
            <w:r w:rsidRPr="009218A4">
              <w:rPr>
                <w:color w:val="000000"/>
              </w:rPr>
              <w:t xml:space="preserve"> apmērā tiek novirzīta ieguldījumiem valsts akciju sabiedrības “Valsts nekustamie īpašumi” nekustamā īpašuma </w:t>
            </w:r>
            <w:proofErr w:type="spellStart"/>
            <w:r w:rsidRPr="009218A4">
              <w:rPr>
                <w:color w:val="000000"/>
              </w:rPr>
              <w:t>Avenue</w:t>
            </w:r>
            <w:proofErr w:type="spellEnd"/>
            <w:r w:rsidRPr="009218A4">
              <w:rPr>
                <w:color w:val="000000"/>
              </w:rPr>
              <w:t xml:space="preserve"> </w:t>
            </w:r>
            <w:proofErr w:type="spellStart"/>
            <w:r w:rsidRPr="009218A4">
              <w:rPr>
                <w:color w:val="000000"/>
              </w:rPr>
              <w:t>des</w:t>
            </w:r>
            <w:proofErr w:type="spellEnd"/>
            <w:r w:rsidRPr="009218A4">
              <w:rPr>
                <w:color w:val="000000"/>
              </w:rPr>
              <w:t xml:space="preserve"> Arts 23, Briselē, Beļģijas karalistē, sastāvā esošās ēkas pārbūvei, kas nepieciešams Ārlietu ministrijas vajadzībām.</w:t>
            </w:r>
          </w:p>
          <w:p w14:paraId="02AE164A" w14:textId="77777777" w:rsidR="005233D8" w:rsidRPr="009218A4" w:rsidRDefault="005233D8" w:rsidP="005233D8">
            <w:pPr>
              <w:jc w:val="both"/>
              <w:rPr>
                <w:color w:val="000000"/>
              </w:rPr>
            </w:pPr>
          </w:p>
          <w:p w14:paraId="6B99B553" w14:textId="77777777" w:rsidR="005233D8" w:rsidRPr="009218A4" w:rsidRDefault="005233D8" w:rsidP="005233D8">
            <w:pPr>
              <w:jc w:val="both"/>
              <w:rPr>
                <w:color w:val="000000"/>
              </w:rPr>
            </w:pPr>
            <w:r w:rsidRPr="009218A4">
              <w:rPr>
                <w:color w:val="000000"/>
              </w:rPr>
              <w:t xml:space="preserve">3. Finanšu ministrijai kā valsts akciju sabiedrības “Valsts nekustamie īpašumi” kapitāla daļu turētājai nodrošināt, ka valsts akciju sabiedrības “Valsts nekustamie īpašumi” dividendēs izmaksājamā 2020. gada peļņas daļa 1 435 408 </w:t>
            </w:r>
            <w:proofErr w:type="spellStart"/>
            <w:r w:rsidRPr="00514AB7">
              <w:rPr>
                <w:i/>
                <w:iCs/>
                <w:color w:val="000000"/>
              </w:rPr>
              <w:t>euro</w:t>
            </w:r>
            <w:proofErr w:type="spellEnd"/>
            <w:r w:rsidRPr="009218A4">
              <w:rPr>
                <w:color w:val="000000"/>
              </w:rPr>
              <w:t xml:space="preserve"> apmērā tiek novirzīta ieguldījumiem šādos Finanšu ministrijas valdījumā esošajos valsts nekustamajos īpašumos (valsts akciju sabiedrībai “Valsts nekustamie īpašumi” papildus tam samaksājot uzņēmumu ienākuma nodokli saskaņā ar Uzņēmumu ienākuma nodokļa likumu):</w:t>
            </w:r>
          </w:p>
          <w:p w14:paraId="02CE23F3" w14:textId="77777777" w:rsidR="005233D8" w:rsidRPr="009218A4" w:rsidRDefault="005233D8" w:rsidP="005233D8">
            <w:pPr>
              <w:jc w:val="both"/>
              <w:rPr>
                <w:color w:val="000000"/>
              </w:rPr>
            </w:pPr>
            <w:r w:rsidRPr="009218A4">
              <w:rPr>
                <w:color w:val="000000"/>
              </w:rPr>
              <w:t xml:space="preserve">3.1. nekustamā īpašuma (nekustamā īpašuma kadastra Nr. 0100 006 0025) Smilšu ielā 1, Rīgā, sastāvā esošās administratīvās ēkas (būves </w:t>
            </w:r>
            <w:r w:rsidRPr="009218A4">
              <w:rPr>
                <w:color w:val="000000"/>
              </w:rPr>
              <w:lastRenderedPageBreak/>
              <w:t>kadastra apzīmējums 0100 006 0025 005) pārbūvei, kas nepieciešams Iepirkumu uzraudzības biroja, Izložu un azartspēļu uzraudzības inspekcijas un Valsts kases vajadzībām;</w:t>
            </w:r>
          </w:p>
          <w:p w14:paraId="3945CFF5" w14:textId="77777777" w:rsidR="005233D8" w:rsidRPr="009218A4" w:rsidRDefault="005233D8" w:rsidP="005233D8">
            <w:pPr>
              <w:jc w:val="both"/>
              <w:rPr>
                <w:color w:val="000000"/>
              </w:rPr>
            </w:pPr>
            <w:r w:rsidRPr="009218A4">
              <w:rPr>
                <w:color w:val="000000"/>
              </w:rPr>
              <w:t>3.2. nekustamā īpašuma (nekustamā īpašuma kadastra Nr. 0100 009 0003) Kalpaka bulvārī 6, Rīgā, sastāvā esošās administratīvās ēkas – (būves kadastra apzīmējums 0100 009 0003 001) pārbūvei, kas nepieciešams Latvijas Republikas Ģenerālprokuratūras vajadzībām.</w:t>
            </w:r>
          </w:p>
          <w:p w14:paraId="7CE300A7" w14:textId="4647CA10" w:rsidR="003E199E" w:rsidRDefault="005233D8" w:rsidP="005233D8">
            <w:pPr>
              <w:spacing w:before="120" w:after="120"/>
              <w:jc w:val="center"/>
              <w:rPr>
                <w:b/>
                <w:bCs/>
                <w:color w:val="000000"/>
              </w:rPr>
            </w:pPr>
            <w:r w:rsidRPr="009218A4">
              <w:rPr>
                <w:color w:val="000000"/>
              </w:rPr>
              <w:t>4. Finanšu ministrijai kā valsts akciju sabiedrības “Valsts nekustamie īpašumi” kapitāla daļu turētājai nodrošināt, ka šā rīkojuma 2. un 3.punktā minēto nekustamo īpašumu nomas maksas aprēķinā netiek iekļautas ieguldīto līdzekļu izmaksas šā rīkojuma 2. un 3.punktā minētajā apmērā.</w:t>
            </w:r>
          </w:p>
        </w:tc>
        <w:tc>
          <w:tcPr>
            <w:tcW w:w="4320" w:type="dxa"/>
            <w:gridSpan w:val="2"/>
            <w:tcBorders>
              <w:left w:val="single" w:sz="4" w:space="0" w:color="auto"/>
              <w:right w:val="single" w:sz="4" w:space="0" w:color="auto"/>
            </w:tcBorders>
          </w:tcPr>
          <w:p w14:paraId="6C2124F3" w14:textId="0F214C1D" w:rsidR="00CA6710" w:rsidRPr="00FF3D0D" w:rsidRDefault="00D80366" w:rsidP="00CA6710">
            <w:pPr>
              <w:jc w:val="both"/>
            </w:pPr>
            <w:r w:rsidRPr="00FF3D0D">
              <w:rPr>
                <w:b/>
                <w:bCs/>
              </w:rPr>
              <w:lastRenderedPageBreak/>
              <w:t>Tieslietu ministrija</w:t>
            </w:r>
            <w:r w:rsidR="00C0443A" w:rsidRPr="00FF3D0D">
              <w:rPr>
                <w:b/>
                <w:bCs/>
              </w:rPr>
              <w:t>s</w:t>
            </w:r>
            <w:r w:rsidRPr="00FF3D0D">
              <w:rPr>
                <w:b/>
                <w:bCs/>
              </w:rPr>
              <w:t xml:space="preserve"> 01.10.2021. </w:t>
            </w:r>
            <w:r w:rsidR="00C0443A" w:rsidRPr="00FF3D0D">
              <w:rPr>
                <w:b/>
                <w:bCs/>
              </w:rPr>
              <w:t>atzinums.</w:t>
            </w:r>
            <w:r w:rsidRPr="00FF3D0D">
              <w:rPr>
                <w:b/>
                <w:bCs/>
              </w:rPr>
              <w:t xml:space="preserve"> </w:t>
            </w:r>
          </w:p>
          <w:p w14:paraId="6559B138" w14:textId="77777777" w:rsidR="00D80366" w:rsidRPr="00D80366" w:rsidRDefault="00D80366" w:rsidP="00D80366">
            <w:pPr>
              <w:spacing w:before="120" w:after="120"/>
              <w:jc w:val="both"/>
              <w:rPr>
                <w:color w:val="000000"/>
              </w:rPr>
            </w:pPr>
            <w:r w:rsidRPr="00D80366">
              <w:rPr>
                <w:color w:val="000000"/>
              </w:rPr>
              <w:t>“Tieslietu ministrija ir izskatījusi Finanšu ministrijas izstrādāto Ministru kabineta rīkojuma projektu “Par atšķirīgu dividendēs izmaksājamo valsts akciju sabiedrības “Valsts nekustamie īpašumi” peļņas daļu par 2020. gada pārskatu" (turpmāk – Projekts) un tam pievienoto sākotnējās ietekmes novērtējumu (anotāciju) un atbalsta tā tālāko virzību, vienlaikus izsakot šādus iebildumus.</w:t>
            </w:r>
          </w:p>
          <w:p w14:paraId="3CF08B42" w14:textId="77777777" w:rsidR="00D80366" w:rsidRPr="00D80366" w:rsidRDefault="00D80366" w:rsidP="00D80366">
            <w:pPr>
              <w:spacing w:before="120" w:after="120"/>
              <w:jc w:val="both"/>
              <w:rPr>
                <w:color w:val="000000"/>
              </w:rPr>
            </w:pPr>
            <w:r w:rsidRPr="00D80366">
              <w:rPr>
                <w:color w:val="000000"/>
              </w:rPr>
              <w:t xml:space="preserve">1. Projekta 3. punktā noteikts, ka Finanšu ministrijai kā valsts akciju sabiedrības “Valsts nekustamie īpašumi” (turpmāk – valsts kapitālsabiedrība) kapitāla daļu turētājai ir pienākums nodrošināt, ka valsts kapitālsabiedrības dividendēs izmaksājamā peļņas daļa tiek novirzīta Finanšu ministrijas valdījumā esošajos valsts nekustamajos īpašumos. </w:t>
            </w:r>
          </w:p>
          <w:p w14:paraId="731B3B9D" w14:textId="77777777" w:rsidR="00D80366" w:rsidRPr="00D80366" w:rsidRDefault="00D80366" w:rsidP="00D80366">
            <w:pPr>
              <w:spacing w:before="120" w:after="120"/>
              <w:jc w:val="both"/>
              <w:rPr>
                <w:color w:val="000000"/>
              </w:rPr>
            </w:pPr>
            <w:r w:rsidRPr="00D80366">
              <w:rPr>
                <w:color w:val="000000"/>
              </w:rPr>
              <w:t xml:space="preserve">Norādām, ka atbilstoši Likuma par valsts budžetu un finanšu vadību (turpmāk – Valsts budžeta likums) 5. panta otrajā daļā noteikts, ka valsts budžeta līdzekļi ir arī maksājumi par valsts kapitāla izmantošanu, kurus katru gadu veic valsts </w:t>
            </w:r>
            <w:r w:rsidRPr="00D80366">
              <w:rPr>
                <w:color w:val="000000"/>
              </w:rPr>
              <w:lastRenderedPageBreak/>
              <w:t>uzņēmumi, kā arī uzņēmējsabiedrības, kurās ir valsts kapitāla daļa. Tāpat šī panta otrā daļa paredz, ka Ministru kabinets nosaka apmēru un kārtību, kādā maksājumi par valsts kapitāla izmantošanu tiek veikti un ieskaitīti valsts budžetā,</w:t>
            </w:r>
            <w:r w:rsidRPr="00D80366">
              <w:rPr>
                <w:b/>
                <w:bCs/>
                <w:color w:val="000000"/>
              </w:rPr>
              <w:t xml:space="preserve"> </w:t>
            </w:r>
            <w:r w:rsidRPr="00D80366">
              <w:rPr>
                <w:color w:val="000000"/>
              </w:rPr>
              <w:t>savukārt trešajā daļā noteikts, ka valsts budžeta līdzekļus var piešķirt vai saņemt vienīgi ar gadskārtējā valsts budžeta likumā paredzētu apropriāciju.</w:t>
            </w:r>
          </w:p>
          <w:p w14:paraId="76CAF1AA" w14:textId="77777777" w:rsidR="00D80366" w:rsidRPr="00D80366" w:rsidRDefault="00D80366" w:rsidP="00D80366">
            <w:pPr>
              <w:spacing w:before="120" w:after="120"/>
              <w:jc w:val="both"/>
              <w:rPr>
                <w:color w:val="000000"/>
              </w:rPr>
            </w:pPr>
            <w:r w:rsidRPr="00D80366">
              <w:rPr>
                <w:color w:val="000000"/>
              </w:rPr>
              <w:t xml:space="preserve">Ministru kabineta noteikumu Nr. 806 “Kārtība, kādā valsts kapitālsabiedrības un publiski privātās kapitālsabiedrības, kurās valsts ir dalībnieks (akcionārs), prognozē un nosaka dividendēs izmaksājamo peļņas daļu un veic maksājumus valsts budžetā par valsts kapitāla izmantošanu” (turpmāk – MK noteikumi Nr. 806) 17. punkts paredz kapitālsabiedrības valdes pienākumu nodrošināt, ka dividendes tiks iemaksātas Valsts kasē 10 darba dienu laikā pēc dalībnieku sapulces lēmuma. </w:t>
            </w:r>
          </w:p>
          <w:p w14:paraId="62A5FBDE" w14:textId="77777777" w:rsidR="00D80366" w:rsidRPr="00D80366" w:rsidRDefault="00D80366" w:rsidP="00D80366">
            <w:pPr>
              <w:spacing w:before="120" w:after="120"/>
              <w:jc w:val="both"/>
              <w:rPr>
                <w:color w:val="000000"/>
              </w:rPr>
            </w:pPr>
            <w:r w:rsidRPr="00D80366">
              <w:rPr>
                <w:color w:val="000000"/>
              </w:rPr>
              <w:t xml:space="preserve">Ņemot vērā, ka gan Valsts budžeta likums, gan MK noteikumi Nr. 806 paredz pienākumu valstij dividendēs izmaksājamo kapitālsabiedrību peļņas daļu ieskaitīt Valsts kasē, lai šie līdzekļi nonāktu valsts budžetā, Projekta 3. punkts, kurš paredz no normatīvajiem aktiem atšķirīgu rīcību ar valsts kapitālsabiedrības dividendēm, ir pretrunā normatīvajos aktos noteiktajai kārtībai, kādā veicamas valsts kapitālsabiedrību dividenžu iemaksas Valsts kasē. </w:t>
            </w:r>
          </w:p>
          <w:p w14:paraId="14BC7042" w14:textId="77777777" w:rsidR="00D80366" w:rsidRPr="00D80366" w:rsidRDefault="00D80366" w:rsidP="00D80366">
            <w:pPr>
              <w:spacing w:before="120" w:after="120"/>
              <w:jc w:val="both"/>
              <w:rPr>
                <w:color w:val="000000"/>
              </w:rPr>
            </w:pPr>
            <w:r w:rsidRPr="00D80366">
              <w:rPr>
                <w:color w:val="000000"/>
              </w:rPr>
              <w:lastRenderedPageBreak/>
              <w:t>Līdz ar to Tieslietu ministrija lūdz precizēt Projekta 3. punktu, iekļaujot Projektā normatīvo pamatojumu atšķirīgai rīcībai ar valsts</w:t>
            </w:r>
            <w:r w:rsidRPr="00D80366">
              <w:rPr>
                <w:b/>
                <w:bCs/>
                <w:color w:val="000000"/>
              </w:rPr>
              <w:t xml:space="preserve"> </w:t>
            </w:r>
            <w:r w:rsidRPr="00D80366">
              <w:rPr>
                <w:color w:val="000000"/>
              </w:rPr>
              <w:t>kapitālsabiedrības dividendēm, kas iemaksājamas Valsts kasē, vai novēršot Projekta 3. punkta neatbilstību Valsts budžeta likumam un MK noteikumiem Nr. 806.</w:t>
            </w:r>
          </w:p>
          <w:p w14:paraId="1C2B4A14" w14:textId="77777777" w:rsidR="00D80366" w:rsidRPr="00D80366" w:rsidRDefault="00D80366" w:rsidP="00D80366">
            <w:pPr>
              <w:spacing w:before="120" w:after="120"/>
              <w:jc w:val="both"/>
              <w:rPr>
                <w:color w:val="000000"/>
              </w:rPr>
            </w:pPr>
            <w:r w:rsidRPr="00D80366">
              <w:rPr>
                <w:color w:val="000000"/>
              </w:rPr>
              <w:t>2. Projekta 3. punktā norādīts, ka “dividendēs izmaksājamā 2020. gada peļņas daļa [..] apmērā tiek novirzīta ieguldījumiem šādos [..] valsts nekustamajos īpašumos (valsts akciju sabiedrībai “Valsts nekustamie īpašumi” papildus tam samaksājot uzņēmumu ienākuma nodokli saskaņā ar Uzņēmumu ienākuma nodokļa likumu).”</w:t>
            </w:r>
          </w:p>
          <w:p w14:paraId="2B6FCB3F" w14:textId="43C59A49" w:rsidR="003E199E" w:rsidRDefault="00D80366" w:rsidP="00D80366">
            <w:pPr>
              <w:spacing w:before="120" w:after="120"/>
              <w:jc w:val="both"/>
              <w:rPr>
                <w:b/>
                <w:bCs/>
                <w:color w:val="000000"/>
              </w:rPr>
            </w:pPr>
            <w:r w:rsidRPr="00D80366">
              <w:rPr>
                <w:color w:val="000000"/>
              </w:rPr>
              <w:t>Vēršam uzmanību uz MK Noteikumu Nr. 806 3. punktu, kas paredz, ka “dividendēs izmaksājamā peļņas daļa ietver maksājumu par valsts kapitāla izmantošanu un uzņēmumu ienākuma nodokli.” Tātad dividendēs izmaksājamā peļņas daļa jau ietver uzņēmumu ienākuma nodokli un tas nav jāmaksā papildus. Ievērojot minēto, aicinām precizēt Projekta 3. punktu tā, lai tas atbilstu MK Noteikumu Nr. 806 3. punktam.“</w:t>
            </w:r>
          </w:p>
        </w:tc>
        <w:tc>
          <w:tcPr>
            <w:tcW w:w="3600" w:type="dxa"/>
            <w:gridSpan w:val="3"/>
            <w:tcBorders>
              <w:left w:val="single" w:sz="4" w:space="0" w:color="auto"/>
              <w:right w:val="single" w:sz="4" w:space="0" w:color="auto"/>
            </w:tcBorders>
          </w:tcPr>
          <w:p w14:paraId="231083B6" w14:textId="77777777" w:rsidR="00C0443A" w:rsidRPr="00FF3D0D" w:rsidRDefault="008768FF" w:rsidP="00F82D56">
            <w:pPr>
              <w:spacing w:after="60"/>
              <w:jc w:val="both"/>
              <w:rPr>
                <w:b/>
                <w:bCs/>
              </w:rPr>
            </w:pPr>
            <w:r w:rsidRPr="00FF3D0D">
              <w:rPr>
                <w:b/>
                <w:bCs/>
              </w:rPr>
              <w:lastRenderedPageBreak/>
              <w:t xml:space="preserve">Panākta vienošanās saskaņošanas procesā. </w:t>
            </w:r>
          </w:p>
          <w:p w14:paraId="42D80D13" w14:textId="2C1284A7" w:rsidR="003E199E" w:rsidRPr="00FF3D0D" w:rsidRDefault="00E2511B" w:rsidP="00F82D56">
            <w:pPr>
              <w:spacing w:after="60"/>
              <w:jc w:val="both"/>
              <w:rPr>
                <w:b/>
                <w:bCs/>
              </w:rPr>
            </w:pPr>
            <w:r w:rsidRPr="00FF3D0D">
              <w:t xml:space="preserve">Finanšu ministrijā </w:t>
            </w:r>
            <w:r w:rsidR="008768FF" w:rsidRPr="00FF3D0D">
              <w:t>saņemts T</w:t>
            </w:r>
            <w:r w:rsidR="00BD4A80" w:rsidRPr="00FF3D0D">
              <w:t xml:space="preserve">ieslietu ministrijas </w:t>
            </w:r>
            <w:r w:rsidR="00D33F7A" w:rsidRPr="00FF3D0D">
              <w:t xml:space="preserve">15.10.2021. </w:t>
            </w:r>
            <w:r w:rsidR="008768FF" w:rsidRPr="00FF3D0D">
              <w:t xml:space="preserve">atzinums, kurā norādīts, ka Tieslietu ministrijas 01.10.2021. </w:t>
            </w:r>
            <w:r w:rsidR="00C0443A" w:rsidRPr="00FF3D0D">
              <w:t xml:space="preserve">atzinumā </w:t>
            </w:r>
            <w:r w:rsidR="0008018C" w:rsidRPr="00FF3D0D">
              <w:t xml:space="preserve">izteiktie </w:t>
            </w:r>
            <w:r w:rsidR="008768FF" w:rsidRPr="00FF3D0D">
              <w:t>iebildumi netiek uzturēti un tiek izteikti kā priekšlikumi</w:t>
            </w:r>
            <w:r w:rsidR="00BD4A80" w:rsidRPr="00FF3D0D">
              <w:t>.</w:t>
            </w:r>
          </w:p>
        </w:tc>
        <w:tc>
          <w:tcPr>
            <w:tcW w:w="2817" w:type="dxa"/>
            <w:tcBorders>
              <w:left w:val="single" w:sz="4" w:space="0" w:color="auto"/>
            </w:tcBorders>
          </w:tcPr>
          <w:p w14:paraId="627742EF" w14:textId="77777777" w:rsidR="008D204B" w:rsidRDefault="008D204B" w:rsidP="008D204B">
            <w:pPr>
              <w:jc w:val="both"/>
              <w:rPr>
                <w:color w:val="000000"/>
              </w:rPr>
            </w:pPr>
            <w:r>
              <w:rPr>
                <w:color w:val="000000"/>
              </w:rPr>
              <w:t>R</w:t>
            </w:r>
            <w:r w:rsidR="005233D8" w:rsidRPr="005233D8">
              <w:rPr>
                <w:color w:val="000000"/>
              </w:rPr>
              <w:t>īkojuma projekts:</w:t>
            </w:r>
          </w:p>
          <w:p w14:paraId="0ED914BF" w14:textId="62F3492F" w:rsidR="005233D8" w:rsidRPr="005233D8" w:rsidRDefault="008D204B" w:rsidP="008D204B">
            <w:pPr>
              <w:jc w:val="both"/>
              <w:rPr>
                <w:color w:val="000000"/>
              </w:rPr>
            </w:pPr>
            <w:r>
              <w:rPr>
                <w:color w:val="000000"/>
              </w:rPr>
              <w:t>“</w:t>
            </w:r>
            <w:r w:rsidR="005233D8" w:rsidRPr="005233D8">
              <w:rPr>
                <w:color w:val="000000"/>
              </w:rPr>
              <w:t xml:space="preserve">1. 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11.2.4.apakšpunktu samazināt valsts akciju sabiedrības “Valsts nekustamie īpašumi” (vienotais reģistrācijas numurs 40003294758) dividendēs izmaksājamo  peļņas daļu par 2020.gadu un noteikt to 1 435 408 </w:t>
            </w:r>
            <w:proofErr w:type="spellStart"/>
            <w:r w:rsidR="005233D8" w:rsidRPr="0000636B">
              <w:rPr>
                <w:i/>
                <w:iCs/>
                <w:color w:val="000000"/>
              </w:rPr>
              <w:t>euro</w:t>
            </w:r>
            <w:proofErr w:type="spellEnd"/>
            <w:r w:rsidR="005233D8" w:rsidRPr="005233D8">
              <w:rPr>
                <w:color w:val="000000"/>
              </w:rPr>
              <w:t xml:space="preserve"> apmērā (48 % no peļņas par 2020.gadu).</w:t>
            </w:r>
          </w:p>
          <w:p w14:paraId="38FDAB3E" w14:textId="77777777" w:rsidR="005233D8" w:rsidRPr="005233D8" w:rsidRDefault="005233D8" w:rsidP="005233D8">
            <w:pPr>
              <w:spacing w:before="120" w:after="120"/>
              <w:jc w:val="both"/>
              <w:rPr>
                <w:color w:val="000000"/>
              </w:rPr>
            </w:pPr>
            <w:r w:rsidRPr="005233D8">
              <w:rPr>
                <w:color w:val="000000"/>
              </w:rPr>
              <w:t xml:space="preserve">2. Finanšu ministrijai kā valsts akciju sabiedrības </w:t>
            </w:r>
            <w:r w:rsidRPr="005233D8">
              <w:rPr>
                <w:color w:val="000000"/>
              </w:rPr>
              <w:lastRenderedPageBreak/>
              <w:t xml:space="preserve">“Valsts nekustamie īpašumi” kapitāla daļu turētājai nodrošināt, ka valsts akciju sabiedrības “Valsts nekustamie īpašumi” 2020. gada peļņas daļa 954 260 </w:t>
            </w:r>
            <w:proofErr w:type="spellStart"/>
            <w:r w:rsidRPr="0000636B">
              <w:rPr>
                <w:i/>
                <w:iCs/>
                <w:color w:val="000000"/>
              </w:rPr>
              <w:t>euro</w:t>
            </w:r>
            <w:proofErr w:type="spellEnd"/>
            <w:r w:rsidRPr="005233D8">
              <w:rPr>
                <w:color w:val="000000"/>
              </w:rPr>
              <w:t xml:space="preserve"> apmērā tiek novirzīta ieguldījumiem valsts akciju sabiedrības “Valsts nekustamie īpašumi” nekustamā īpašuma </w:t>
            </w:r>
            <w:proofErr w:type="spellStart"/>
            <w:r w:rsidRPr="005233D8">
              <w:rPr>
                <w:color w:val="000000"/>
              </w:rPr>
              <w:t>Avenue</w:t>
            </w:r>
            <w:proofErr w:type="spellEnd"/>
            <w:r w:rsidRPr="005233D8">
              <w:rPr>
                <w:color w:val="000000"/>
              </w:rPr>
              <w:t xml:space="preserve"> </w:t>
            </w:r>
            <w:proofErr w:type="spellStart"/>
            <w:r w:rsidRPr="005233D8">
              <w:rPr>
                <w:color w:val="000000"/>
              </w:rPr>
              <w:t>des</w:t>
            </w:r>
            <w:proofErr w:type="spellEnd"/>
            <w:r w:rsidRPr="005233D8">
              <w:rPr>
                <w:color w:val="000000"/>
              </w:rPr>
              <w:t xml:space="preserve"> Arts 23, Briselē, Beļģijas karalistē, sastāvā esošās ēkas pārbūvei, kas nepieciešams Ārlietu ministrijas vajadzībām.</w:t>
            </w:r>
          </w:p>
          <w:p w14:paraId="769F4AC7" w14:textId="77777777" w:rsidR="005233D8" w:rsidRPr="005233D8" w:rsidRDefault="005233D8" w:rsidP="005233D8">
            <w:pPr>
              <w:spacing w:before="120" w:after="120"/>
              <w:jc w:val="both"/>
              <w:rPr>
                <w:color w:val="000000"/>
              </w:rPr>
            </w:pPr>
          </w:p>
          <w:p w14:paraId="5804ABA7" w14:textId="77777777" w:rsidR="005233D8" w:rsidRPr="005233D8" w:rsidRDefault="005233D8" w:rsidP="005233D8">
            <w:pPr>
              <w:spacing w:before="120" w:after="120"/>
              <w:jc w:val="both"/>
              <w:rPr>
                <w:color w:val="000000"/>
              </w:rPr>
            </w:pPr>
            <w:r w:rsidRPr="005233D8">
              <w:rPr>
                <w:color w:val="000000"/>
              </w:rPr>
              <w:t xml:space="preserve">3. Finanšu ministrijai kā valsts akciju sabiedrības “Valsts nekustamie īpašumi” kapitāla daļu turētājai nodrošināt, ka valsts akciju sabiedrības “Valsts nekustamie īpašumi” dividendēs izmaksājamā 2020. gada peļņas daļa 1 435 408 </w:t>
            </w:r>
            <w:proofErr w:type="spellStart"/>
            <w:r w:rsidRPr="0000636B">
              <w:rPr>
                <w:i/>
                <w:iCs/>
                <w:color w:val="000000"/>
              </w:rPr>
              <w:t>euro</w:t>
            </w:r>
            <w:proofErr w:type="spellEnd"/>
            <w:r w:rsidRPr="005233D8">
              <w:rPr>
                <w:color w:val="000000"/>
              </w:rPr>
              <w:t xml:space="preserve"> apmērā tiek novirzīta ieguldījumiem šādos Finanšu ministrijas valdījumā esošajos valsts nekustamajos īpašumos </w:t>
            </w:r>
            <w:r w:rsidRPr="005233D8">
              <w:rPr>
                <w:color w:val="000000"/>
              </w:rPr>
              <w:lastRenderedPageBreak/>
              <w:t>(valsts akciju sabiedrībai “Valsts nekustamie īpašumi” papildus tam samaksājot uzņēmumu ienākuma nodokli saskaņā ar Uzņēmumu ienākuma nodokļa likumu):</w:t>
            </w:r>
          </w:p>
          <w:p w14:paraId="463A0D25" w14:textId="77777777" w:rsidR="005233D8" w:rsidRPr="005233D8" w:rsidRDefault="005233D8" w:rsidP="005233D8">
            <w:pPr>
              <w:spacing w:before="120" w:after="120"/>
              <w:jc w:val="both"/>
              <w:rPr>
                <w:color w:val="000000"/>
              </w:rPr>
            </w:pPr>
            <w:r w:rsidRPr="005233D8">
              <w:rPr>
                <w:color w:val="000000"/>
              </w:rPr>
              <w:t>3.1. nekustamā īpašuma (nekustamā īpašuma kadastra Nr. 0100 006 0025) Smilšu ielā 1, Rīgā, sastāvā esošās administratīvās ēkas (būves kadastra apzīmējums 0100 006 0025 005) pārbūvei, kas nepieciešams Iepirkumu uzraudzības biroja, Izložu un azartspēļu uzraudzības inspekcijas un Valsts kases vajadzībām;</w:t>
            </w:r>
          </w:p>
          <w:p w14:paraId="3C17185D" w14:textId="77777777" w:rsidR="005233D8" w:rsidRPr="005233D8" w:rsidRDefault="005233D8" w:rsidP="005233D8">
            <w:pPr>
              <w:spacing w:before="120" w:after="120"/>
              <w:jc w:val="both"/>
              <w:rPr>
                <w:color w:val="000000"/>
              </w:rPr>
            </w:pPr>
            <w:r w:rsidRPr="005233D8">
              <w:rPr>
                <w:color w:val="000000"/>
              </w:rPr>
              <w:t>3.2. nekustamā īpašuma (nekustamā īpašuma kadastra Nr. 0100 009 0003) Kalpaka bulvārī 6, Rīgā, sastāvā esošās administratīvās ēkas – (būves kadastra apzīmējums 0100 009 0003 001) pārbūvei, kas nepieciešams Latvijas Republikas Ģenerālprokuratūras vajadzībām.</w:t>
            </w:r>
          </w:p>
          <w:p w14:paraId="448D1BDF" w14:textId="2D23B199" w:rsidR="003E199E" w:rsidRPr="005233D8" w:rsidRDefault="005233D8" w:rsidP="005233D8">
            <w:pPr>
              <w:spacing w:before="120" w:after="120"/>
              <w:jc w:val="both"/>
              <w:rPr>
                <w:color w:val="000000"/>
              </w:rPr>
            </w:pPr>
            <w:r w:rsidRPr="005233D8">
              <w:rPr>
                <w:color w:val="000000"/>
              </w:rPr>
              <w:lastRenderedPageBreak/>
              <w:t>4. Finanšu ministrijai kā valsts akciju sabiedrības “Valsts nekustamie īpašumi” kapitāla daļu turētājai nodrošināt, ka šā rīkojuma 2. un 3.punktā minēto nekustamo īpašumu nomas maksas aprēķinā netiek iekļautas ieguldīto līdzekļu izmaksas šā rīkojuma 2. un 3.punktā minētajā apmērā.</w:t>
            </w:r>
            <w:r w:rsidR="008D204B">
              <w:rPr>
                <w:color w:val="000000"/>
              </w:rPr>
              <w:t>”</w:t>
            </w:r>
          </w:p>
        </w:tc>
      </w:tr>
      <w:tr w:rsidR="00BA053F" w:rsidRPr="00250F2E" w14:paraId="5B2D9335" w14:textId="77777777" w:rsidTr="004A0505">
        <w:trPr>
          <w:jc w:val="center"/>
        </w:trPr>
        <w:tc>
          <w:tcPr>
            <w:tcW w:w="14742" w:type="dxa"/>
            <w:gridSpan w:val="10"/>
          </w:tcPr>
          <w:p w14:paraId="4AEC02A0" w14:textId="0D53CE0C" w:rsidR="00BA053F" w:rsidRDefault="00505492" w:rsidP="008055E2">
            <w:pPr>
              <w:spacing w:before="120" w:after="120"/>
              <w:jc w:val="center"/>
              <w:rPr>
                <w:b/>
                <w:bCs/>
                <w:color w:val="000000"/>
              </w:rPr>
            </w:pPr>
            <w:proofErr w:type="spellStart"/>
            <w:r>
              <w:rPr>
                <w:b/>
                <w:bCs/>
                <w:color w:val="000000"/>
              </w:rPr>
              <w:lastRenderedPageBreak/>
              <w:t>S</w:t>
            </w:r>
            <w:r w:rsidR="003576A0">
              <w:rPr>
                <w:b/>
                <w:bCs/>
                <w:color w:val="000000"/>
              </w:rPr>
              <w:t>tarministriju</w:t>
            </w:r>
            <w:proofErr w:type="spellEnd"/>
            <w:r w:rsidR="003576A0">
              <w:rPr>
                <w:b/>
                <w:bCs/>
                <w:color w:val="000000"/>
              </w:rPr>
              <w:t xml:space="preserve"> (starpinstitūciju</w:t>
            </w:r>
            <w:r w:rsidR="00B715C0">
              <w:rPr>
                <w:b/>
                <w:bCs/>
                <w:color w:val="000000"/>
              </w:rPr>
              <w:t xml:space="preserve">) </w:t>
            </w:r>
            <w:r w:rsidR="003576A0">
              <w:rPr>
                <w:b/>
                <w:bCs/>
                <w:color w:val="000000"/>
              </w:rPr>
              <w:t xml:space="preserve">23.09.2021. sanāksme </w:t>
            </w:r>
          </w:p>
        </w:tc>
      </w:tr>
      <w:tr w:rsidR="00B715C0" w:rsidRPr="00250F2E" w14:paraId="6DF3F247" w14:textId="77777777" w:rsidTr="003E199E">
        <w:trPr>
          <w:jc w:val="center"/>
        </w:trPr>
        <w:tc>
          <w:tcPr>
            <w:tcW w:w="780" w:type="dxa"/>
          </w:tcPr>
          <w:p w14:paraId="2909E9DE" w14:textId="584F43EB" w:rsidR="00B715C0" w:rsidRDefault="003C2ADB" w:rsidP="00DB6C5A">
            <w:pPr>
              <w:jc w:val="center"/>
              <w:rPr>
                <w:color w:val="000000" w:themeColor="text1"/>
              </w:rPr>
            </w:pPr>
            <w:r>
              <w:rPr>
                <w:color w:val="000000" w:themeColor="text1"/>
              </w:rPr>
              <w:t>2</w:t>
            </w:r>
            <w:r w:rsidR="00B715C0">
              <w:rPr>
                <w:color w:val="000000" w:themeColor="text1"/>
              </w:rPr>
              <w:t>.</w:t>
            </w:r>
          </w:p>
        </w:tc>
        <w:tc>
          <w:tcPr>
            <w:tcW w:w="3183" w:type="dxa"/>
            <w:gridSpan w:val="2"/>
          </w:tcPr>
          <w:p w14:paraId="7C5DA0F1" w14:textId="65AF8DB5" w:rsidR="00B715C0" w:rsidRDefault="00B715C0" w:rsidP="00DB6C5A">
            <w:pPr>
              <w:spacing w:after="120"/>
              <w:rPr>
                <w:color w:val="000000"/>
              </w:rPr>
            </w:pPr>
            <w:r>
              <w:rPr>
                <w:color w:val="000000"/>
              </w:rPr>
              <w:t>Rīkojuma projekt</w:t>
            </w:r>
            <w:r w:rsidR="009218A4">
              <w:rPr>
                <w:color w:val="000000"/>
              </w:rPr>
              <w:t>s</w:t>
            </w:r>
            <w:r>
              <w:rPr>
                <w:color w:val="000000"/>
              </w:rPr>
              <w:t>:</w:t>
            </w:r>
          </w:p>
          <w:p w14:paraId="36B9430C" w14:textId="2D73DB9C" w:rsidR="00F009F7" w:rsidRPr="00F009F7" w:rsidRDefault="008D204B" w:rsidP="00F009F7">
            <w:pPr>
              <w:tabs>
                <w:tab w:val="left" w:pos="851"/>
              </w:tabs>
              <w:autoSpaceDE w:val="0"/>
              <w:autoSpaceDN w:val="0"/>
              <w:adjustRightInd w:val="0"/>
              <w:jc w:val="both"/>
              <w:rPr>
                <w:color w:val="000000"/>
              </w:rPr>
            </w:pPr>
            <w:r>
              <w:rPr>
                <w:color w:val="000000"/>
              </w:rPr>
              <w:t>“</w:t>
            </w:r>
            <w:r w:rsidR="00F009F7" w:rsidRPr="00F009F7">
              <w:rPr>
                <w:color w:val="000000"/>
              </w:rPr>
              <w:t xml:space="preserve">1. 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11.2.4.apakšpunktu noteikt, ka valsts akciju sabiedrības “Valsts nekustamie īpašumi” (vienotais reģistrācijas numurs 40003294758) dividendes no peļņas par 2020.gadu 2 389 </w:t>
            </w:r>
            <w:r w:rsidR="00F009F7" w:rsidRPr="00F009F7">
              <w:rPr>
                <w:color w:val="000000"/>
              </w:rPr>
              <w:lastRenderedPageBreak/>
              <w:t xml:space="preserve">668 </w:t>
            </w:r>
            <w:proofErr w:type="spellStart"/>
            <w:r w:rsidR="00F009F7" w:rsidRPr="00F009F7">
              <w:rPr>
                <w:color w:val="000000"/>
              </w:rPr>
              <w:t>euro</w:t>
            </w:r>
            <w:proofErr w:type="spellEnd"/>
            <w:r w:rsidR="00F009F7" w:rsidRPr="00F009F7">
              <w:rPr>
                <w:color w:val="000000"/>
              </w:rPr>
              <w:t xml:space="preserve"> apmērā (80% no peļņas par 2020.gadu) tiek sadalītas un atstātas kapitālsabiedrības attīstībai šā rīkojuma 2.punktā noteiktajiem mērķiem.</w:t>
            </w:r>
          </w:p>
          <w:p w14:paraId="7C4DF494" w14:textId="77777777" w:rsidR="00F009F7" w:rsidRPr="00F009F7" w:rsidRDefault="00F009F7" w:rsidP="00F009F7">
            <w:pPr>
              <w:tabs>
                <w:tab w:val="left" w:pos="851"/>
              </w:tabs>
              <w:autoSpaceDE w:val="0"/>
              <w:autoSpaceDN w:val="0"/>
              <w:adjustRightInd w:val="0"/>
              <w:jc w:val="both"/>
              <w:rPr>
                <w:color w:val="000000"/>
              </w:rPr>
            </w:pPr>
            <w:r w:rsidRPr="00F009F7">
              <w:rPr>
                <w:color w:val="000000"/>
              </w:rPr>
              <w:t xml:space="preserve">2. Finanšu ministrijai kā valsts akciju sabiedrības “Valsts nekustamie īpašumi” kapitāla daļu turētājai nodrošināt, ka valsts akciju sabiedrības “Valsts nekustamie īpašumi” 2020.gada peļņas daļa 2 389 668 </w:t>
            </w:r>
            <w:proofErr w:type="spellStart"/>
            <w:r w:rsidRPr="00F009F7">
              <w:rPr>
                <w:color w:val="000000"/>
              </w:rPr>
              <w:t>euro</w:t>
            </w:r>
            <w:proofErr w:type="spellEnd"/>
            <w:r w:rsidRPr="00F009F7">
              <w:rPr>
                <w:color w:val="000000"/>
              </w:rPr>
              <w:t xml:space="preserve"> apmērā tiek novirzīta:</w:t>
            </w:r>
          </w:p>
          <w:p w14:paraId="55ACCE12" w14:textId="77777777" w:rsidR="00F009F7" w:rsidRPr="00F009F7" w:rsidRDefault="00F009F7" w:rsidP="00F009F7">
            <w:pPr>
              <w:tabs>
                <w:tab w:val="left" w:pos="851"/>
              </w:tabs>
              <w:autoSpaceDE w:val="0"/>
              <w:autoSpaceDN w:val="0"/>
              <w:adjustRightInd w:val="0"/>
              <w:jc w:val="both"/>
              <w:rPr>
                <w:color w:val="000000"/>
              </w:rPr>
            </w:pPr>
            <w:r w:rsidRPr="00F009F7">
              <w:rPr>
                <w:color w:val="000000"/>
              </w:rPr>
              <w:t xml:space="preserve">2.1. 954 260 </w:t>
            </w:r>
            <w:proofErr w:type="spellStart"/>
            <w:r w:rsidRPr="00F009F7">
              <w:rPr>
                <w:color w:val="000000"/>
              </w:rPr>
              <w:t>euro</w:t>
            </w:r>
            <w:proofErr w:type="spellEnd"/>
            <w:r w:rsidRPr="00F009F7">
              <w:rPr>
                <w:color w:val="000000"/>
              </w:rPr>
              <w:t xml:space="preserve"> ieguldījumiem valsts akciju sabiedrības “Valsts nekustamie īpašumi” nekustamā īpašuma </w:t>
            </w:r>
            <w:proofErr w:type="spellStart"/>
            <w:r w:rsidRPr="00F009F7">
              <w:rPr>
                <w:color w:val="000000"/>
              </w:rPr>
              <w:t>Avenue</w:t>
            </w:r>
            <w:proofErr w:type="spellEnd"/>
            <w:r w:rsidRPr="00F009F7">
              <w:rPr>
                <w:color w:val="000000"/>
              </w:rPr>
              <w:t xml:space="preserve"> </w:t>
            </w:r>
            <w:proofErr w:type="spellStart"/>
            <w:r w:rsidRPr="00F009F7">
              <w:rPr>
                <w:color w:val="000000"/>
              </w:rPr>
              <w:t>des</w:t>
            </w:r>
            <w:proofErr w:type="spellEnd"/>
            <w:r w:rsidRPr="00F009F7">
              <w:rPr>
                <w:color w:val="000000"/>
              </w:rPr>
              <w:t xml:space="preserve"> Arts 23, Briselē, Beļģijas karalistē, sastāvā esošās ēkas pārbūvei, kas nepieciešams Ārlietu ministrijas vajadzībām;</w:t>
            </w:r>
          </w:p>
          <w:p w14:paraId="616A6F90" w14:textId="77777777" w:rsidR="00F009F7" w:rsidRPr="00F009F7" w:rsidRDefault="00F009F7" w:rsidP="00F009F7">
            <w:pPr>
              <w:tabs>
                <w:tab w:val="left" w:pos="851"/>
              </w:tabs>
              <w:autoSpaceDE w:val="0"/>
              <w:autoSpaceDN w:val="0"/>
              <w:adjustRightInd w:val="0"/>
              <w:jc w:val="both"/>
              <w:rPr>
                <w:color w:val="000000"/>
              </w:rPr>
            </w:pPr>
            <w:r w:rsidRPr="00F009F7">
              <w:rPr>
                <w:color w:val="000000"/>
              </w:rPr>
              <w:t xml:space="preserve">2.2. 1 435 408 </w:t>
            </w:r>
            <w:proofErr w:type="spellStart"/>
            <w:r w:rsidRPr="00F009F7">
              <w:rPr>
                <w:color w:val="000000"/>
              </w:rPr>
              <w:t>euro</w:t>
            </w:r>
            <w:proofErr w:type="spellEnd"/>
            <w:r w:rsidRPr="00F009F7">
              <w:rPr>
                <w:color w:val="000000"/>
              </w:rPr>
              <w:t xml:space="preserve"> ieguldījumiem šādos Finanšu ministrijas valdījumā esošajos valsts nekustamajos īpašumos (valsts akciju sabiedrībai “Valsts nekustamie īpašumi” papildus tam samaksājot uzņēmumu ienākuma nodokli saskaņā ar Uzņēmumu ienākuma nodokļa likumu):</w:t>
            </w:r>
          </w:p>
          <w:p w14:paraId="4B46DE26" w14:textId="77777777" w:rsidR="00F009F7" w:rsidRPr="00F009F7" w:rsidRDefault="00F009F7" w:rsidP="00F009F7">
            <w:pPr>
              <w:tabs>
                <w:tab w:val="left" w:pos="851"/>
              </w:tabs>
              <w:autoSpaceDE w:val="0"/>
              <w:autoSpaceDN w:val="0"/>
              <w:adjustRightInd w:val="0"/>
              <w:jc w:val="both"/>
              <w:rPr>
                <w:color w:val="000000"/>
              </w:rPr>
            </w:pPr>
            <w:r w:rsidRPr="00F009F7">
              <w:rPr>
                <w:color w:val="000000"/>
              </w:rPr>
              <w:t xml:space="preserve">2.2.1. nekustamā īpašuma (nekustamā īpašuma kadastra </w:t>
            </w:r>
            <w:r w:rsidRPr="00F009F7">
              <w:rPr>
                <w:color w:val="000000"/>
              </w:rPr>
              <w:lastRenderedPageBreak/>
              <w:t>Nr. 0100 006 0025) Smilšu ielā 1, Rīgā, sastāvā esošās administratīvās ēkas (būves kadastra apzīmējums 0100 006 0025 005) pārbūvei, kas nepieciešams Iepirkumu uzraudzības biroja, Izložu un azartspēļu uzraudzības inspekcijas un Valsts kases vajadzībām;</w:t>
            </w:r>
          </w:p>
          <w:p w14:paraId="78C534CA" w14:textId="77777777" w:rsidR="00F009F7" w:rsidRPr="00F009F7" w:rsidRDefault="00F009F7" w:rsidP="00F009F7">
            <w:pPr>
              <w:tabs>
                <w:tab w:val="left" w:pos="851"/>
              </w:tabs>
              <w:autoSpaceDE w:val="0"/>
              <w:autoSpaceDN w:val="0"/>
              <w:adjustRightInd w:val="0"/>
              <w:jc w:val="both"/>
              <w:rPr>
                <w:color w:val="000000"/>
              </w:rPr>
            </w:pPr>
            <w:r w:rsidRPr="00F009F7">
              <w:rPr>
                <w:color w:val="000000"/>
              </w:rPr>
              <w:t>2.2.2. nekustamā īpašuma (nekustamā īpašuma kadastra Nr. 0100 009 0003) Kalpaka bulvārī 6, Rīgā, sastāvā esošās administratīvās ēkas – (būves kadastra apzīmējums 0100 009 0003 001) pārbūvei, kas nepieciešams Latvijas Republikas Ģenerālprokuratūras vajadzībām.</w:t>
            </w:r>
          </w:p>
          <w:p w14:paraId="6B3CA37F" w14:textId="47398A21" w:rsidR="00B715C0" w:rsidRDefault="00F009F7" w:rsidP="00F009F7">
            <w:pPr>
              <w:tabs>
                <w:tab w:val="left" w:pos="851"/>
              </w:tabs>
              <w:autoSpaceDE w:val="0"/>
              <w:autoSpaceDN w:val="0"/>
              <w:adjustRightInd w:val="0"/>
              <w:jc w:val="both"/>
              <w:rPr>
                <w:color w:val="000000"/>
              </w:rPr>
            </w:pPr>
            <w:r w:rsidRPr="00F009F7">
              <w:rPr>
                <w:color w:val="000000"/>
              </w:rPr>
              <w:t>3. Finanšu ministrijai kā valsts akciju sabiedrības “Valsts nekustamie īpašumi” kapitāla daļu turētājai nodrošināt, ka šā rīkojuma 2.punktā minēto nekustamo īpašumu nomas maksas aprēķinā netiek iekļautas ieguldīto līdzekļu izmaksas šā rīkojuma 2.punktā minētajā apmērā.</w:t>
            </w:r>
            <w:r w:rsidR="008D204B">
              <w:rPr>
                <w:color w:val="000000"/>
              </w:rPr>
              <w:t>”</w:t>
            </w:r>
          </w:p>
        </w:tc>
        <w:tc>
          <w:tcPr>
            <w:tcW w:w="4395" w:type="dxa"/>
            <w:gridSpan w:val="4"/>
          </w:tcPr>
          <w:p w14:paraId="5DA0A704" w14:textId="6953AC09" w:rsidR="00E17147" w:rsidRPr="008055E2" w:rsidRDefault="00E17147" w:rsidP="008D204B">
            <w:pPr>
              <w:spacing w:after="90"/>
              <w:jc w:val="both"/>
            </w:pPr>
          </w:p>
        </w:tc>
        <w:tc>
          <w:tcPr>
            <w:tcW w:w="3543" w:type="dxa"/>
          </w:tcPr>
          <w:p w14:paraId="2422CCD7" w14:textId="641E98EF" w:rsidR="00393126" w:rsidRDefault="00C0443A" w:rsidP="00DB6C5A">
            <w:pPr>
              <w:spacing w:after="60"/>
              <w:jc w:val="both"/>
              <w:rPr>
                <w:iCs/>
              </w:rPr>
            </w:pPr>
            <w:r w:rsidRPr="00C0443A">
              <w:rPr>
                <w:b/>
                <w:bCs/>
                <w:iCs/>
              </w:rPr>
              <w:t>V</w:t>
            </w:r>
            <w:r w:rsidR="00B715C0" w:rsidRPr="00243E21">
              <w:rPr>
                <w:b/>
                <w:bCs/>
                <w:iCs/>
              </w:rPr>
              <w:t>ienošanās</w:t>
            </w:r>
            <w:r w:rsidR="002335DB">
              <w:rPr>
                <w:b/>
                <w:bCs/>
                <w:iCs/>
              </w:rPr>
              <w:t xml:space="preserve"> par rīkojuma projekta redakciju</w:t>
            </w:r>
            <w:r w:rsidR="00B715C0" w:rsidRPr="00243E21">
              <w:rPr>
                <w:b/>
                <w:bCs/>
                <w:iCs/>
              </w:rPr>
              <w:t xml:space="preserve"> </w:t>
            </w:r>
            <w:r w:rsidR="00C11510">
              <w:rPr>
                <w:b/>
                <w:bCs/>
                <w:iCs/>
              </w:rPr>
              <w:t xml:space="preserve">tika </w:t>
            </w:r>
            <w:r w:rsidR="00B715C0" w:rsidRPr="00243E21">
              <w:rPr>
                <w:b/>
                <w:bCs/>
                <w:iCs/>
              </w:rPr>
              <w:t>panāk</w:t>
            </w:r>
            <w:r w:rsidR="00B715C0">
              <w:rPr>
                <w:b/>
                <w:bCs/>
                <w:iCs/>
              </w:rPr>
              <w:t>ta</w:t>
            </w:r>
            <w:r w:rsidR="00B715C0" w:rsidRPr="00243E21">
              <w:rPr>
                <w:b/>
                <w:bCs/>
                <w:iCs/>
              </w:rPr>
              <w:t xml:space="preserve"> starpministriju (starpinstitūciju) </w:t>
            </w:r>
            <w:r w:rsidR="009218A4">
              <w:rPr>
                <w:b/>
                <w:bCs/>
                <w:iCs/>
              </w:rPr>
              <w:t xml:space="preserve">23.09.2021. </w:t>
            </w:r>
            <w:r w:rsidR="00B715C0" w:rsidRPr="00243E21">
              <w:rPr>
                <w:b/>
                <w:bCs/>
                <w:iCs/>
              </w:rPr>
              <w:t>sanāksmē</w:t>
            </w:r>
            <w:r w:rsidR="000E38B2">
              <w:rPr>
                <w:b/>
                <w:bCs/>
                <w:iCs/>
              </w:rPr>
              <w:t xml:space="preserve">, pēc kuras saņemts Tieslietu ministrijas </w:t>
            </w:r>
            <w:r w:rsidR="00325FA4">
              <w:rPr>
                <w:b/>
                <w:bCs/>
                <w:iCs/>
              </w:rPr>
              <w:t xml:space="preserve">01.10.2021. </w:t>
            </w:r>
            <w:r w:rsidR="00F70F62" w:rsidRPr="00871834">
              <w:rPr>
                <w:b/>
                <w:bCs/>
                <w:iCs/>
              </w:rPr>
              <w:t xml:space="preserve">atzinums, kurā </w:t>
            </w:r>
            <w:r w:rsidR="00325FA4" w:rsidRPr="00871834">
              <w:rPr>
                <w:b/>
                <w:bCs/>
                <w:iCs/>
              </w:rPr>
              <w:t xml:space="preserve">izteikti </w:t>
            </w:r>
            <w:r w:rsidR="00313957" w:rsidRPr="00871834">
              <w:rPr>
                <w:b/>
                <w:bCs/>
                <w:iCs/>
              </w:rPr>
              <w:t xml:space="preserve">divi </w:t>
            </w:r>
            <w:r w:rsidR="003B5F28" w:rsidRPr="00871834">
              <w:rPr>
                <w:b/>
                <w:bCs/>
                <w:iCs/>
              </w:rPr>
              <w:t>iebildum</w:t>
            </w:r>
            <w:r w:rsidR="00313957" w:rsidRPr="00871834">
              <w:rPr>
                <w:b/>
                <w:bCs/>
                <w:iCs/>
              </w:rPr>
              <w:t>i</w:t>
            </w:r>
            <w:r w:rsidR="00E75C59" w:rsidRPr="00871834">
              <w:rPr>
                <w:b/>
                <w:bCs/>
                <w:iCs/>
              </w:rPr>
              <w:t>, kuri</w:t>
            </w:r>
            <w:r w:rsidR="004954DF" w:rsidRPr="00871834">
              <w:rPr>
                <w:b/>
                <w:bCs/>
                <w:iCs/>
              </w:rPr>
              <w:t xml:space="preserve"> atbilstoši</w:t>
            </w:r>
            <w:r w:rsidR="00E75C59" w:rsidRPr="00871834">
              <w:rPr>
                <w:b/>
                <w:bCs/>
                <w:iCs/>
              </w:rPr>
              <w:t xml:space="preserve"> </w:t>
            </w:r>
            <w:r w:rsidR="003B0658" w:rsidRPr="00871834">
              <w:rPr>
                <w:b/>
                <w:bCs/>
                <w:iCs/>
              </w:rPr>
              <w:t xml:space="preserve">Tieslietu ministrijas 15.10.2021. </w:t>
            </w:r>
            <w:r w:rsidRPr="00871834">
              <w:rPr>
                <w:b/>
                <w:bCs/>
                <w:iCs/>
              </w:rPr>
              <w:t>atzinumā norādītajam</w:t>
            </w:r>
            <w:r w:rsidR="004954DF" w:rsidRPr="00871834">
              <w:rPr>
                <w:b/>
                <w:bCs/>
                <w:iCs/>
              </w:rPr>
              <w:t xml:space="preserve"> </w:t>
            </w:r>
            <w:r w:rsidR="004954DF" w:rsidRPr="00BA5C9F">
              <w:rPr>
                <w:b/>
                <w:bCs/>
                <w:iCs/>
              </w:rPr>
              <w:t xml:space="preserve">netiek uzturēti, </w:t>
            </w:r>
            <w:r w:rsidR="004954DF">
              <w:rPr>
                <w:iCs/>
              </w:rPr>
              <w:t>bet izteikti kā priekšlikumi</w:t>
            </w:r>
            <w:r w:rsidR="000D4628">
              <w:rPr>
                <w:iCs/>
              </w:rPr>
              <w:t xml:space="preserve"> </w:t>
            </w:r>
            <w:r w:rsidR="00D80366">
              <w:rPr>
                <w:iCs/>
              </w:rPr>
              <w:t>(skatīt izziņas 1.punktu)</w:t>
            </w:r>
            <w:r w:rsidR="00BA5C9F">
              <w:rPr>
                <w:iCs/>
              </w:rPr>
              <w:t>.</w:t>
            </w:r>
          </w:p>
          <w:p w14:paraId="4DC5BE39" w14:textId="77777777" w:rsidR="00B715C0" w:rsidRPr="00510C2A" w:rsidRDefault="00B715C0" w:rsidP="00D80366">
            <w:pPr>
              <w:spacing w:after="60"/>
              <w:jc w:val="both"/>
              <w:rPr>
                <w:iCs/>
              </w:rPr>
            </w:pPr>
          </w:p>
        </w:tc>
        <w:tc>
          <w:tcPr>
            <w:tcW w:w="2841" w:type="dxa"/>
            <w:gridSpan w:val="2"/>
          </w:tcPr>
          <w:p w14:paraId="1AB33E0A" w14:textId="77777777" w:rsidR="00B715C0" w:rsidRDefault="002335DB" w:rsidP="00DB6C5A">
            <w:pPr>
              <w:jc w:val="both"/>
              <w:rPr>
                <w:color w:val="000000"/>
              </w:rPr>
            </w:pPr>
            <w:r>
              <w:rPr>
                <w:color w:val="000000"/>
              </w:rPr>
              <w:t>Precizētais rīkojuma projekts</w:t>
            </w:r>
            <w:r w:rsidR="009218A4">
              <w:rPr>
                <w:color w:val="000000"/>
              </w:rPr>
              <w:t>:</w:t>
            </w:r>
          </w:p>
          <w:p w14:paraId="296054D7" w14:textId="0C01BCBC" w:rsidR="009218A4" w:rsidRPr="009218A4" w:rsidRDefault="008D204B" w:rsidP="009218A4">
            <w:pPr>
              <w:jc w:val="both"/>
              <w:rPr>
                <w:color w:val="000000"/>
              </w:rPr>
            </w:pPr>
            <w:r>
              <w:rPr>
                <w:color w:val="000000"/>
              </w:rPr>
              <w:t>“</w:t>
            </w:r>
            <w:r w:rsidR="009218A4" w:rsidRPr="009218A4">
              <w:rPr>
                <w:color w:val="000000"/>
              </w:rPr>
              <w:t xml:space="preserve">1. 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11.2.4.apakšpunktu samazināt valsts akciju sabiedrības “Valsts nekustamie īpašumi” (vienotais reģistrācijas </w:t>
            </w:r>
            <w:r w:rsidR="009218A4" w:rsidRPr="009218A4">
              <w:rPr>
                <w:color w:val="000000"/>
              </w:rPr>
              <w:lastRenderedPageBreak/>
              <w:t xml:space="preserve">numurs 40003294758) dividendēs izmaksājamo  peļņas daļu par 2020.gadu un noteikt to 1 435 408 </w:t>
            </w:r>
            <w:proofErr w:type="spellStart"/>
            <w:r w:rsidR="009218A4" w:rsidRPr="00514AB7">
              <w:rPr>
                <w:i/>
                <w:iCs/>
                <w:color w:val="000000"/>
              </w:rPr>
              <w:t>euro</w:t>
            </w:r>
            <w:proofErr w:type="spellEnd"/>
            <w:r w:rsidR="009218A4" w:rsidRPr="00514AB7">
              <w:rPr>
                <w:i/>
                <w:iCs/>
                <w:color w:val="000000"/>
              </w:rPr>
              <w:t xml:space="preserve"> </w:t>
            </w:r>
            <w:r w:rsidR="009218A4" w:rsidRPr="009218A4">
              <w:rPr>
                <w:color w:val="000000"/>
              </w:rPr>
              <w:t>apmērā (48 % no peļņas par 2020.gadu).</w:t>
            </w:r>
          </w:p>
          <w:p w14:paraId="6FA37C64" w14:textId="77777777" w:rsidR="009218A4" w:rsidRPr="009218A4" w:rsidRDefault="009218A4" w:rsidP="009218A4">
            <w:pPr>
              <w:jc w:val="both"/>
              <w:rPr>
                <w:color w:val="000000"/>
              </w:rPr>
            </w:pPr>
            <w:r w:rsidRPr="009218A4">
              <w:rPr>
                <w:color w:val="000000"/>
              </w:rPr>
              <w:t xml:space="preserve">2. Finanšu ministrijai kā valsts akciju sabiedrības “Valsts nekustamie īpašumi” kapitāla daļu turētājai nodrošināt, ka valsts akciju sabiedrības “Valsts nekustamie īpašumi” 2020. gada peļņas daļa 954 260 </w:t>
            </w:r>
            <w:proofErr w:type="spellStart"/>
            <w:r w:rsidRPr="00514AB7">
              <w:rPr>
                <w:i/>
                <w:iCs/>
                <w:color w:val="000000"/>
              </w:rPr>
              <w:t>euro</w:t>
            </w:r>
            <w:proofErr w:type="spellEnd"/>
            <w:r w:rsidRPr="009218A4">
              <w:rPr>
                <w:color w:val="000000"/>
              </w:rPr>
              <w:t xml:space="preserve"> apmērā tiek novirzīta ieguldījumiem valsts akciju sabiedrības “Valsts nekustamie īpašumi” nekustamā īpašuma </w:t>
            </w:r>
            <w:proofErr w:type="spellStart"/>
            <w:r w:rsidRPr="009218A4">
              <w:rPr>
                <w:color w:val="000000"/>
              </w:rPr>
              <w:t>Avenue</w:t>
            </w:r>
            <w:proofErr w:type="spellEnd"/>
            <w:r w:rsidRPr="009218A4">
              <w:rPr>
                <w:color w:val="000000"/>
              </w:rPr>
              <w:t xml:space="preserve"> </w:t>
            </w:r>
            <w:proofErr w:type="spellStart"/>
            <w:r w:rsidRPr="009218A4">
              <w:rPr>
                <w:color w:val="000000"/>
              </w:rPr>
              <w:t>des</w:t>
            </w:r>
            <w:proofErr w:type="spellEnd"/>
            <w:r w:rsidRPr="009218A4">
              <w:rPr>
                <w:color w:val="000000"/>
              </w:rPr>
              <w:t xml:space="preserve"> Arts 23, Briselē, Beļģijas karalistē, sastāvā esošās ēkas pārbūvei, kas nepieciešams Ārlietu ministrijas vajadzībām.</w:t>
            </w:r>
          </w:p>
          <w:p w14:paraId="6DE802AF" w14:textId="77777777" w:rsidR="009218A4" w:rsidRPr="009218A4" w:rsidRDefault="009218A4" w:rsidP="009218A4">
            <w:pPr>
              <w:jc w:val="both"/>
              <w:rPr>
                <w:color w:val="000000"/>
              </w:rPr>
            </w:pPr>
          </w:p>
          <w:p w14:paraId="78BBE53D" w14:textId="77777777" w:rsidR="009218A4" w:rsidRPr="009218A4" w:rsidRDefault="009218A4" w:rsidP="009218A4">
            <w:pPr>
              <w:jc w:val="both"/>
              <w:rPr>
                <w:color w:val="000000"/>
              </w:rPr>
            </w:pPr>
            <w:r w:rsidRPr="009218A4">
              <w:rPr>
                <w:color w:val="000000"/>
              </w:rPr>
              <w:t xml:space="preserve">3. Finanšu ministrijai kā valsts akciju sabiedrības “Valsts nekustamie īpašumi” kapitāla daļu turētājai nodrošināt, ka valsts akciju sabiedrības “Valsts nekustamie īpašumi” dividendēs </w:t>
            </w:r>
            <w:r w:rsidRPr="009218A4">
              <w:rPr>
                <w:color w:val="000000"/>
              </w:rPr>
              <w:lastRenderedPageBreak/>
              <w:t xml:space="preserve">izmaksājamā 2020. gada peļņas daļa 1 435 408 </w:t>
            </w:r>
            <w:proofErr w:type="spellStart"/>
            <w:r w:rsidRPr="00514AB7">
              <w:rPr>
                <w:i/>
                <w:iCs/>
                <w:color w:val="000000"/>
              </w:rPr>
              <w:t>euro</w:t>
            </w:r>
            <w:proofErr w:type="spellEnd"/>
            <w:r w:rsidRPr="009218A4">
              <w:rPr>
                <w:color w:val="000000"/>
              </w:rPr>
              <w:t xml:space="preserve"> apmērā tiek novirzīta ieguldījumiem šādos Finanšu ministrijas valdījumā esošajos valsts nekustamajos īpašumos (valsts akciju sabiedrībai “Valsts nekustamie īpašumi” papildus tam samaksājot uzņēmumu ienākuma nodokli saskaņā ar Uzņēmumu ienākuma nodokļa likumu):</w:t>
            </w:r>
          </w:p>
          <w:p w14:paraId="17808048" w14:textId="77777777" w:rsidR="009218A4" w:rsidRPr="009218A4" w:rsidRDefault="009218A4" w:rsidP="009218A4">
            <w:pPr>
              <w:jc w:val="both"/>
              <w:rPr>
                <w:color w:val="000000"/>
              </w:rPr>
            </w:pPr>
            <w:r w:rsidRPr="009218A4">
              <w:rPr>
                <w:color w:val="000000"/>
              </w:rPr>
              <w:t>3.1. nekustamā īpašuma (nekustamā īpašuma kadastra Nr. 0100 006 0025) Smilšu ielā 1, Rīgā, sastāvā esošās administratīvās ēkas (būves kadastra apzīmējums 0100 006 0025 005) pārbūvei, kas nepieciešams Iepirkumu uzraudzības biroja, Izložu un azartspēļu uzraudzības inspekcijas un Valsts kases vajadzībām;</w:t>
            </w:r>
          </w:p>
          <w:p w14:paraId="40EAE9AC" w14:textId="77777777" w:rsidR="009218A4" w:rsidRPr="009218A4" w:rsidRDefault="009218A4" w:rsidP="009218A4">
            <w:pPr>
              <w:jc w:val="both"/>
              <w:rPr>
                <w:color w:val="000000"/>
              </w:rPr>
            </w:pPr>
            <w:r w:rsidRPr="009218A4">
              <w:rPr>
                <w:color w:val="000000"/>
              </w:rPr>
              <w:t xml:space="preserve">3.2. nekustamā īpašuma (nekustamā īpašuma kadastra Nr. 0100 009 0003) Kalpaka bulvārī 6, Rīgā, sastāvā esošās administratīvās ēkas – (būves kadastra apzīmējums 0100 009 0003 </w:t>
            </w:r>
            <w:r w:rsidRPr="009218A4">
              <w:rPr>
                <w:color w:val="000000"/>
              </w:rPr>
              <w:lastRenderedPageBreak/>
              <w:t>001) pārbūvei, kas nepieciešams Latvijas Republikas Ģenerālprokuratūras vajadzībām.</w:t>
            </w:r>
          </w:p>
          <w:p w14:paraId="361F6860" w14:textId="04B69A03" w:rsidR="009218A4" w:rsidRDefault="009218A4" w:rsidP="009218A4">
            <w:pPr>
              <w:jc w:val="both"/>
              <w:rPr>
                <w:color w:val="000000"/>
              </w:rPr>
            </w:pPr>
            <w:r w:rsidRPr="009218A4">
              <w:rPr>
                <w:color w:val="000000"/>
              </w:rPr>
              <w:t>4. Finanšu ministrijai kā valsts akciju sabiedrības “Valsts nekustamie īpašumi” kapitāla daļu turētājai nodrošināt, ka šā rīkojuma 2. un 3.punktā minēto nekustamo īpašumu nomas maksas aprēķinā netiek iekļautas ieguldīto līdzekļu izmaksas šā rīkojuma 2. un 3.punktā minētajā apmērā.</w:t>
            </w:r>
            <w:r w:rsidR="008D204B">
              <w:rPr>
                <w:color w:val="000000"/>
              </w:rPr>
              <w:t>”</w:t>
            </w:r>
          </w:p>
        </w:tc>
      </w:tr>
      <w:tr w:rsidR="00B749A1" w:rsidRPr="00250F2E" w14:paraId="7D537316" w14:textId="77777777" w:rsidTr="004A0505">
        <w:trPr>
          <w:jc w:val="center"/>
        </w:trPr>
        <w:tc>
          <w:tcPr>
            <w:tcW w:w="14742" w:type="dxa"/>
            <w:gridSpan w:val="10"/>
          </w:tcPr>
          <w:p w14:paraId="3D0B80A8" w14:textId="20CAB5EE" w:rsidR="00B749A1" w:rsidRDefault="00B749A1" w:rsidP="008055E2">
            <w:pPr>
              <w:spacing w:before="120" w:after="120"/>
              <w:jc w:val="center"/>
              <w:rPr>
                <w:b/>
                <w:bCs/>
                <w:color w:val="000000"/>
              </w:rPr>
            </w:pPr>
            <w:r>
              <w:rPr>
                <w:b/>
                <w:bCs/>
                <w:color w:val="000000"/>
              </w:rPr>
              <w:lastRenderedPageBreak/>
              <w:t>Tieslietu ministrijas 13.09.2021. elektronisk</w:t>
            </w:r>
            <w:r w:rsidR="00575653">
              <w:rPr>
                <w:b/>
                <w:bCs/>
                <w:color w:val="000000"/>
              </w:rPr>
              <w:t>ās saskaņošanas atzinums</w:t>
            </w:r>
          </w:p>
        </w:tc>
      </w:tr>
      <w:tr w:rsidR="00575653" w:rsidRPr="00250F2E" w14:paraId="33720EF7" w14:textId="77777777" w:rsidTr="003E199E">
        <w:trPr>
          <w:jc w:val="center"/>
        </w:trPr>
        <w:tc>
          <w:tcPr>
            <w:tcW w:w="780" w:type="dxa"/>
          </w:tcPr>
          <w:p w14:paraId="72B0B09B" w14:textId="5EA87E27" w:rsidR="00575653" w:rsidRDefault="005614B3" w:rsidP="008F1006">
            <w:pPr>
              <w:jc w:val="center"/>
              <w:rPr>
                <w:color w:val="000000" w:themeColor="text1"/>
              </w:rPr>
            </w:pPr>
            <w:r>
              <w:rPr>
                <w:color w:val="000000" w:themeColor="text1"/>
              </w:rPr>
              <w:t>3</w:t>
            </w:r>
            <w:r w:rsidR="00575653">
              <w:rPr>
                <w:color w:val="000000" w:themeColor="text1"/>
              </w:rPr>
              <w:t>.</w:t>
            </w:r>
          </w:p>
        </w:tc>
        <w:tc>
          <w:tcPr>
            <w:tcW w:w="3183" w:type="dxa"/>
            <w:gridSpan w:val="2"/>
          </w:tcPr>
          <w:p w14:paraId="03FFFAB0" w14:textId="77777777" w:rsidR="00575653" w:rsidRDefault="002D4812" w:rsidP="008F1006">
            <w:pPr>
              <w:spacing w:after="120"/>
              <w:rPr>
                <w:color w:val="000000"/>
              </w:rPr>
            </w:pPr>
            <w:r>
              <w:rPr>
                <w:color w:val="000000"/>
              </w:rPr>
              <w:t>Rīkojuma projekta 1.punkts:</w:t>
            </w:r>
          </w:p>
          <w:p w14:paraId="4B5E5B0B" w14:textId="0BA758B1" w:rsidR="002D4812" w:rsidRPr="002D4812" w:rsidRDefault="002D4812" w:rsidP="002D4812">
            <w:pPr>
              <w:tabs>
                <w:tab w:val="left" w:pos="851"/>
              </w:tabs>
              <w:autoSpaceDE w:val="0"/>
              <w:autoSpaceDN w:val="0"/>
              <w:adjustRightInd w:val="0"/>
              <w:jc w:val="both"/>
            </w:pPr>
            <w:r>
              <w:t>“</w:t>
            </w:r>
            <w:r w:rsidRPr="002D4812">
              <w:t>1. 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940B0D">
              <w:t xml:space="preserve"> </w:t>
            </w:r>
            <w:r w:rsidRPr="002D4812">
              <w:t>11.2.4.</w:t>
            </w:r>
            <w:r w:rsidR="0025741F">
              <w:t xml:space="preserve"> </w:t>
            </w:r>
            <w:r w:rsidRPr="002D4812">
              <w:t xml:space="preserve">apakšpunktu noteikt, ka valsts akciju sabiedrības “Valsts </w:t>
            </w:r>
            <w:r w:rsidRPr="002D4812">
              <w:lastRenderedPageBreak/>
              <w:t xml:space="preserve">nekustamie īpašumi” (vienotais reģistrācijas numurs 40003294758) dividendes no peļņas par 2020.gadu </w:t>
            </w:r>
            <w:r w:rsidRPr="002D4812">
              <w:rPr>
                <w:b/>
                <w:bCs/>
              </w:rPr>
              <w:t>2 389 668</w:t>
            </w:r>
            <w:r w:rsidRPr="002D4812">
              <w:t> </w:t>
            </w:r>
            <w:proofErr w:type="spellStart"/>
            <w:r w:rsidRPr="002D4812">
              <w:rPr>
                <w:b/>
                <w:bCs/>
                <w:i/>
                <w:iCs/>
              </w:rPr>
              <w:t>euro</w:t>
            </w:r>
            <w:proofErr w:type="spellEnd"/>
            <w:r w:rsidRPr="00E35758">
              <w:rPr>
                <w:sz w:val="28"/>
                <w:szCs w:val="28"/>
              </w:rPr>
              <w:t xml:space="preserve"> </w:t>
            </w:r>
            <w:r w:rsidRPr="002D4812">
              <w:t>apmērā (80% no peļņas par 2020.gadu) tiek sadalītas un atstātas kapitālsabiedrības attīstībai šā rīkojuma 2.punktā noteiktajiem mērķiem.</w:t>
            </w:r>
            <w:r>
              <w:t>”</w:t>
            </w:r>
          </w:p>
          <w:p w14:paraId="7F74148E" w14:textId="55B7B74D" w:rsidR="002D4812" w:rsidRDefault="002D4812" w:rsidP="008F1006">
            <w:pPr>
              <w:spacing w:after="120"/>
              <w:rPr>
                <w:color w:val="000000"/>
              </w:rPr>
            </w:pPr>
          </w:p>
        </w:tc>
        <w:tc>
          <w:tcPr>
            <w:tcW w:w="4395" w:type="dxa"/>
            <w:gridSpan w:val="4"/>
          </w:tcPr>
          <w:p w14:paraId="6257E2AE" w14:textId="19DDC52F" w:rsidR="008055E2" w:rsidRPr="008055E2" w:rsidRDefault="00BE1A1D" w:rsidP="008055E2">
            <w:pPr>
              <w:jc w:val="both"/>
            </w:pPr>
            <w:r>
              <w:lastRenderedPageBreak/>
              <w:t xml:space="preserve">Tieslietu ministrijas iebildums: </w:t>
            </w:r>
          </w:p>
          <w:p w14:paraId="60A0088C" w14:textId="26562D0F" w:rsidR="008055E2" w:rsidRPr="008055E2" w:rsidRDefault="00BE1A1D" w:rsidP="008055E2">
            <w:pPr>
              <w:jc w:val="both"/>
            </w:pPr>
            <w:r>
              <w:t>“</w:t>
            </w:r>
            <w:r w:rsidR="008055E2" w:rsidRPr="008055E2">
              <w:t xml:space="preserve">Projekta 1. punktā norādīts, ka “valsts akciju sabiedrības “Valsts nekustamie īpašumi” [..] dividendes no peļņas par 2020. gadu 2 389 668 </w:t>
            </w:r>
            <w:proofErr w:type="spellStart"/>
            <w:r w:rsidR="008055E2" w:rsidRPr="008055E2">
              <w:rPr>
                <w:i/>
                <w:iCs/>
              </w:rPr>
              <w:t>euro</w:t>
            </w:r>
            <w:proofErr w:type="spellEnd"/>
            <w:r w:rsidR="008055E2" w:rsidRPr="008055E2">
              <w:t xml:space="preserve"> apmērā (80% no peļņas par 2020. gadu) tiek sadalītas un atstātas kapitālsabiedrības attīstībai šā rīkojuma 2. punktā noteiktajiem mērķiem.” Norādām, ka atbilstoši Komerclikuma 180. panta trešajai daļai kapitālsabiedrības peļņa var tikt izlietota jeb sadalīta, izmaksājot to dividendēs vai izlietojot citiem mērķiem, piemēram, ieskaitīšanai kapitālsabiedrības rezervēs, izmantošana kapitālsabiedrības attīstībai u.c. Tāpat saskaņā ar Komerclikuma 161. panta piekto daļu </w:t>
            </w:r>
            <w:r w:rsidR="008055E2" w:rsidRPr="008055E2">
              <w:lastRenderedPageBreak/>
              <w:t xml:space="preserve">dividendes tiek izmaksātas, pamatojoties uz lēmumu par peļņas sadali. Respektīvi, kapitālsabiedrības peļņa var tikt sadalīta dividendēs, kuras tālāk izmaksā dalībniekam, vai peļņa var tikt izlietota citiem mērķiem, piemēram, kapitālsabiedrības attīstībai. </w:t>
            </w:r>
          </w:p>
          <w:p w14:paraId="7674CCCE" w14:textId="77777777" w:rsidR="008055E2" w:rsidRPr="008055E2" w:rsidRDefault="008055E2" w:rsidP="008055E2">
            <w:pPr>
              <w:jc w:val="both"/>
            </w:pPr>
            <w:r w:rsidRPr="008055E2">
              <w:t xml:space="preserve">No Projekta 1. punkta formulējuma izriet, ka tiek plānots sadalīt un atstāt kapitālsabiedrības attīstībai valsts akciju sabiedrības “Valsts nekustamie īpašumi” dividendes. Ņemot vērā iepriekš norādīto, šāds formulējums ir pretrunā ar Komerclikumā noteiktajiem peļņas sadales kārtības vispārējiem principiem, jo sadalīt var tikai kapitālsabiedrības peļņu, bet ne dividendes (dividenžu izmaksa ir daļa no peļņas sadales procedūras). </w:t>
            </w:r>
          </w:p>
          <w:p w14:paraId="79E1F4E4" w14:textId="77777777" w:rsidR="008055E2" w:rsidRPr="008055E2" w:rsidRDefault="008055E2" w:rsidP="008055E2">
            <w:pPr>
              <w:jc w:val="both"/>
            </w:pPr>
            <w:r w:rsidRPr="008055E2">
              <w:t xml:space="preserve">Papildus norādām, ka atbilstoši Komerclikuma 161. panta septītajai daļai kapitālsabiedrības dalībnieku lēmums par to, ka dividendes kaut uz laiku atstājamas kapitālsabiedrības rīcībā, nav spēkā. Ņemot vērā minēto, rīkojuma projektā nevar paredzēt dividenžu atstāšanu kapitālsabiedrības attīstībai, jo šāds lēmums atbilstoši Komerclikuma 161. panta septītajai daļai ir uzskatāms par spēkā neesošu. </w:t>
            </w:r>
          </w:p>
          <w:p w14:paraId="3B983295" w14:textId="744E44B0" w:rsidR="00575653" w:rsidRPr="008055E2" w:rsidRDefault="008055E2" w:rsidP="008055E2">
            <w:pPr>
              <w:jc w:val="both"/>
            </w:pPr>
            <w:r w:rsidRPr="008055E2">
              <w:t>Līdz ar to Tieslietu ministrija lūdz precizēt Projekta 1. punktu, novēršot tā neatbilstību Komerclikuma noteikumiem par kapitālsabiedrību dividendēm un peļņas sadali.</w:t>
            </w:r>
            <w:r w:rsidR="00BE1A1D">
              <w:t>”</w:t>
            </w:r>
          </w:p>
        </w:tc>
        <w:tc>
          <w:tcPr>
            <w:tcW w:w="3543" w:type="dxa"/>
          </w:tcPr>
          <w:p w14:paraId="5EFA52F0" w14:textId="7DFA7340" w:rsidR="005614B3" w:rsidRPr="00871834" w:rsidRDefault="00C0443A" w:rsidP="005614B3">
            <w:pPr>
              <w:spacing w:after="60"/>
              <w:jc w:val="both"/>
              <w:rPr>
                <w:iCs/>
              </w:rPr>
            </w:pPr>
            <w:r w:rsidRPr="00871834">
              <w:rPr>
                <w:b/>
                <w:bCs/>
                <w:iCs/>
              </w:rPr>
              <w:lastRenderedPageBreak/>
              <w:t>Panākta vienošanās saskaņošanas procesā.</w:t>
            </w:r>
          </w:p>
          <w:p w14:paraId="23EE43D4" w14:textId="648F0D33" w:rsidR="00404930" w:rsidRPr="00C0443A" w:rsidRDefault="00404930" w:rsidP="003A4E60">
            <w:pPr>
              <w:spacing w:after="60"/>
              <w:jc w:val="both"/>
              <w:rPr>
                <w:iCs/>
                <w:color w:val="FF0000"/>
              </w:rPr>
            </w:pPr>
          </w:p>
        </w:tc>
        <w:tc>
          <w:tcPr>
            <w:tcW w:w="2841" w:type="dxa"/>
            <w:gridSpan w:val="2"/>
          </w:tcPr>
          <w:p w14:paraId="06ACEFA4" w14:textId="688C5EDF" w:rsidR="00575653" w:rsidRDefault="003A4E60" w:rsidP="008F1006">
            <w:pPr>
              <w:jc w:val="both"/>
              <w:rPr>
                <w:color w:val="000000"/>
              </w:rPr>
            </w:pPr>
            <w:r>
              <w:rPr>
                <w:color w:val="000000"/>
              </w:rPr>
              <w:t>Skatīt izziņas 1.punktu</w:t>
            </w:r>
          </w:p>
        </w:tc>
      </w:tr>
      <w:tr w:rsidR="00687B72" w:rsidRPr="00250F2E" w14:paraId="235003E0" w14:textId="77777777" w:rsidTr="004A0505">
        <w:trPr>
          <w:jc w:val="center"/>
        </w:trPr>
        <w:tc>
          <w:tcPr>
            <w:tcW w:w="14742" w:type="dxa"/>
            <w:gridSpan w:val="10"/>
          </w:tcPr>
          <w:p w14:paraId="2F065C08" w14:textId="77777777" w:rsidR="009B4C9C" w:rsidRDefault="009B4C9C" w:rsidP="007119C9">
            <w:pPr>
              <w:jc w:val="center"/>
              <w:rPr>
                <w:b/>
                <w:bCs/>
                <w:color w:val="000000"/>
              </w:rPr>
            </w:pPr>
          </w:p>
          <w:p w14:paraId="48E8BADF" w14:textId="2355D62E" w:rsidR="00687B72" w:rsidRDefault="00687B72" w:rsidP="007119C9">
            <w:pPr>
              <w:jc w:val="center"/>
              <w:rPr>
                <w:b/>
                <w:bCs/>
              </w:rPr>
            </w:pPr>
            <w:proofErr w:type="spellStart"/>
            <w:r w:rsidRPr="00687B72">
              <w:rPr>
                <w:b/>
                <w:bCs/>
                <w:color w:val="000000"/>
              </w:rPr>
              <w:lastRenderedPageBreak/>
              <w:t>Pārresoru</w:t>
            </w:r>
            <w:proofErr w:type="spellEnd"/>
            <w:r w:rsidRPr="00687B72">
              <w:rPr>
                <w:b/>
                <w:bCs/>
                <w:color w:val="000000"/>
              </w:rPr>
              <w:t xml:space="preserve"> koordinācij</w:t>
            </w:r>
            <w:r w:rsidR="007119C9">
              <w:rPr>
                <w:b/>
                <w:bCs/>
                <w:color w:val="000000"/>
              </w:rPr>
              <w:t>a</w:t>
            </w:r>
            <w:r w:rsidRPr="00687B72">
              <w:rPr>
                <w:b/>
                <w:bCs/>
                <w:color w:val="000000"/>
              </w:rPr>
              <w:t xml:space="preserve">s centra </w:t>
            </w:r>
            <w:r w:rsidRPr="00687B72">
              <w:rPr>
                <w:b/>
                <w:bCs/>
              </w:rPr>
              <w:t>18.08.2021. atzinumā Nr. 1.2-5.1/115 izteiktie iebildumi</w:t>
            </w:r>
          </w:p>
          <w:p w14:paraId="33D23BE1" w14:textId="511C6202" w:rsidR="009B4C9C" w:rsidRPr="00687B72" w:rsidRDefault="009B4C9C" w:rsidP="007119C9">
            <w:pPr>
              <w:jc w:val="center"/>
              <w:rPr>
                <w:b/>
                <w:bCs/>
                <w:color w:val="000000"/>
              </w:rPr>
            </w:pPr>
          </w:p>
        </w:tc>
      </w:tr>
      <w:tr w:rsidR="007119C9" w:rsidRPr="00250F2E" w14:paraId="07164F3B" w14:textId="77777777" w:rsidTr="003E199E">
        <w:trPr>
          <w:jc w:val="center"/>
        </w:trPr>
        <w:tc>
          <w:tcPr>
            <w:tcW w:w="780" w:type="dxa"/>
          </w:tcPr>
          <w:p w14:paraId="664524B5" w14:textId="4D84A371" w:rsidR="007119C9" w:rsidRDefault="005614B3" w:rsidP="00574917">
            <w:pPr>
              <w:jc w:val="center"/>
              <w:rPr>
                <w:color w:val="000000" w:themeColor="text1"/>
              </w:rPr>
            </w:pPr>
            <w:r>
              <w:rPr>
                <w:color w:val="000000" w:themeColor="text1"/>
              </w:rPr>
              <w:lastRenderedPageBreak/>
              <w:t>4</w:t>
            </w:r>
            <w:r w:rsidR="007119C9">
              <w:rPr>
                <w:color w:val="000000" w:themeColor="text1"/>
              </w:rPr>
              <w:t>.</w:t>
            </w:r>
          </w:p>
        </w:tc>
        <w:tc>
          <w:tcPr>
            <w:tcW w:w="3183" w:type="dxa"/>
            <w:gridSpan w:val="2"/>
          </w:tcPr>
          <w:p w14:paraId="059E1637" w14:textId="77777777" w:rsidR="007119C9" w:rsidRDefault="007119C9" w:rsidP="00A60B69">
            <w:pPr>
              <w:spacing w:after="120"/>
              <w:rPr>
                <w:color w:val="000000"/>
              </w:rPr>
            </w:pPr>
          </w:p>
        </w:tc>
        <w:tc>
          <w:tcPr>
            <w:tcW w:w="4395" w:type="dxa"/>
            <w:gridSpan w:val="4"/>
          </w:tcPr>
          <w:p w14:paraId="502275DE" w14:textId="37C427A5" w:rsidR="00D249EE" w:rsidRPr="00D249EE" w:rsidRDefault="00D249EE" w:rsidP="00D249EE">
            <w:pPr>
              <w:jc w:val="both"/>
            </w:pPr>
            <w:proofErr w:type="spellStart"/>
            <w:r>
              <w:t>Pārresoru</w:t>
            </w:r>
            <w:proofErr w:type="spellEnd"/>
            <w:r>
              <w:t xml:space="preserve"> </w:t>
            </w:r>
            <w:r w:rsidR="003E62CC">
              <w:t xml:space="preserve">koordinācijas centrs […] </w:t>
            </w:r>
            <w:r w:rsidRPr="00D249EE">
              <w:t>uztur sākotnēji izteikto iebildumu par aprēķināto uzņēmuma ienākuma nodokļa (turpmāk – UIN) apmēru:</w:t>
            </w:r>
          </w:p>
          <w:p w14:paraId="1CC6E305" w14:textId="5510B690" w:rsidR="007119C9" w:rsidRDefault="00D249EE" w:rsidP="00D249EE">
            <w:pPr>
              <w:jc w:val="both"/>
              <w:rPr>
                <w:b/>
                <w:bCs/>
              </w:rPr>
            </w:pPr>
            <w:r w:rsidRPr="00D249EE">
              <w:t>1.</w:t>
            </w:r>
            <w:r w:rsidRPr="00D249EE">
              <w:tab/>
              <w:t>Norādām, ka izziņas 2.punktā norādītā atsauce uz Uzņēmumu ienākuma nodokļa likuma (turpmāk – Likums) 6.pantu, piemērojot to ar UIN apliekamās bāzes samazināšanai par nesegtajiem iepriekšējo gadu UIN zaudējumiem, par uzkrājumu samazinājuma summu paredzamo tiesas spriedumu izpildei un par norakstītajiem debitoru parādiem, kas radušies līdz 2017.gada 31.decembrim, ir nekorekta, jo Likuma 6.pants nosaka tiesības “samazināt taksācijas periodā ar nodokli apliekamajā bāzē iekļauto dividenžu apmēru tādā apjomā, kādā nodokļa maksātājs taksācijas periodā ir saņēmis dividendes no dividenžu izmaksātāja, kurš tā rezidences valstī ir uzņēmumu ienākuma nodokļa maksātājs, vai tādas dividendes, no kurām to izmaksas valstī ir ieturēts nodoklis, izņemot dividendes, kas saņemtas no personas, kas atrodas, ir izveidota vai nodibināta zemu nodokļu vai beznodokļu valstīs vai teritorijās”, kā arī dažādus nosacījumus un izņēmumus, kad Likuma 6.panta pirmā daļa nav piemērojama.</w:t>
            </w:r>
          </w:p>
        </w:tc>
        <w:tc>
          <w:tcPr>
            <w:tcW w:w="3543" w:type="dxa"/>
          </w:tcPr>
          <w:p w14:paraId="499B334C" w14:textId="77123550" w:rsidR="007119C9" w:rsidRDefault="00637C33" w:rsidP="00653438">
            <w:pPr>
              <w:spacing w:after="60"/>
              <w:jc w:val="both"/>
              <w:rPr>
                <w:b/>
                <w:bCs/>
                <w:iCs/>
              </w:rPr>
            </w:pPr>
            <w:r>
              <w:rPr>
                <w:b/>
                <w:bCs/>
                <w:iCs/>
              </w:rPr>
              <w:t>Ņ</w:t>
            </w:r>
            <w:r w:rsidR="00D76F0F">
              <w:rPr>
                <w:b/>
                <w:bCs/>
                <w:iCs/>
              </w:rPr>
              <w:t>emts vērā.</w:t>
            </w:r>
          </w:p>
          <w:p w14:paraId="150002A6" w14:textId="1AE6432D" w:rsidR="00D76F0F" w:rsidRPr="00D76F0F" w:rsidRDefault="00D76F0F" w:rsidP="00653438">
            <w:pPr>
              <w:spacing w:after="60"/>
              <w:jc w:val="both"/>
              <w:rPr>
                <w:iCs/>
              </w:rPr>
            </w:pPr>
            <w:r w:rsidRPr="00D76F0F">
              <w:rPr>
                <w:iCs/>
              </w:rPr>
              <w:t>Anotācijā svītrota atsauce uz Uzņēmumu ienākuma nodokļa likuma (turpmāk – Likums) 6.pantu</w:t>
            </w:r>
            <w:r>
              <w:rPr>
                <w:iCs/>
              </w:rPr>
              <w:t>.</w:t>
            </w:r>
            <w:r w:rsidR="0089564F">
              <w:rPr>
                <w:iCs/>
              </w:rPr>
              <w:t xml:space="preserve"> Attiecīgi precizēta izziņa.</w:t>
            </w:r>
          </w:p>
        </w:tc>
        <w:tc>
          <w:tcPr>
            <w:tcW w:w="2841" w:type="dxa"/>
            <w:gridSpan w:val="2"/>
          </w:tcPr>
          <w:p w14:paraId="3C7246E3" w14:textId="6311E789" w:rsidR="007119C9" w:rsidRDefault="00D76F0F" w:rsidP="007613CD">
            <w:pPr>
              <w:jc w:val="both"/>
              <w:rPr>
                <w:color w:val="000000"/>
              </w:rPr>
            </w:pPr>
            <w:r>
              <w:rPr>
                <w:color w:val="000000"/>
              </w:rPr>
              <w:t>Skatīt anotācij</w:t>
            </w:r>
            <w:r w:rsidR="00EA3181">
              <w:rPr>
                <w:color w:val="000000"/>
              </w:rPr>
              <w:t>as I sadaļas 2.punktu.</w:t>
            </w:r>
          </w:p>
        </w:tc>
      </w:tr>
      <w:tr w:rsidR="001178A9" w:rsidRPr="00250F2E" w14:paraId="4FD0594A" w14:textId="77777777" w:rsidTr="003E199E">
        <w:trPr>
          <w:jc w:val="center"/>
        </w:trPr>
        <w:tc>
          <w:tcPr>
            <w:tcW w:w="780" w:type="dxa"/>
          </w:tcPr>
          <w:p w14:paraId="73C4A0BE" w14:textId="48D7EC3B" w:rsidR="001178A9" w:rsidRDefault="005614B3" w:rsidP="00574917">
            <w:pPr>
              <w:jc w:val="center"/>
              <w:rPr>
                <w:color w:val="000000" w:themeColor="text1"/>
              </w:rPr>
            </w:pPr>
            <w:r>
              <w:rPr>
                <w:color w:val="000000" w:themeColor="text1"/>
              </w:rPr>
              <w:t>5</w:t>
            </w:r>
            <w:r w:rsidR="009B4C9C">
              <w:rPr>
                <w:color w:val="000000" w:themeColor="text1"/>
              </w:rPr>
              <w:t>.</w:t>
            </w:r>
          </w:p>
        </w:tc>
        <w:tc>
          <w:tcPr>
            <w:tcW w:w="3183" w:type="dxa"/>
            <w:gridSpan w:val="2"/>
          </w:tcPr>
          <w:p w14:paraId="5D874283" w14:textId="77777777" w:rsidR="00463073" w:rsidRDefault="00463073" w:rsidP="00463073">
            <w:pPr>
              <w:spacing w:after="120"/>
              <w:rPr>
                <w:color w:val="000000"/>
              </w:rPr>
            </w:pPr>
            <w:r>
              <w:rPr>
                <w:color w:val="000000"/>
              </w:rPr>
              <w:t>Rīkojuma projektā:</w:t>
            </w:r>
          </w:p>
          <w:p w14:paraId="595782E5" w14:textId="26FD978F" w:rsidR="001178A9" w:rsidRDefault="00463073" w:rsidP="00463073">
            <w:pPr>
              <w:spacing w:after="120"/>
              <w:rPr>
                <w:color w:val="000000"/>
              </w:rPr>
            </w:pPr>
            <w:r>
              <w:rPr>
                <w:color w:val="000000"/>
              </w:rPr>
              <w:t xml:space="preserve"> “</w:t>
            </w:r>
            <w:r w:rsidRPr="00463073">
              <w:rPr>
                <w:color w:val="000000"/>
              </w:rPr>
              <w:t xml:space="preserve">2.2. 1 435 408 </w:t>
            </w:r>
            <w:proofErr w:type="spellStart"/>
            <w:r w:rsidRPr="00463073">
              <w:rPr>
                <w:i/>
                <w:iCs/>
                <w:color w:val="000000"/>
              </w:rPr>
              <w:t>euro</w:t>
            </w:r>
            <w:proofErr w:type="spellEnd"/>
            <w:r w:rsidRPr="00463073">
              <w:rPr>
                <w:color w:val="000000"/>
              </w:rPr>
              <w:t xml:space="preserve"> ieguldījumiem šādos Finanšu </w:t>
            </w:r>
            <w:r w:rsidRPr="00463073">
              <w:rPr>
                <w:color w:val="000000"/>
              </w:rPr>
              <w:lastRenderedPageBreak/>
              <w:t xml:space="preserve">ministrijas valdījumā esošajos valsts nekustamajos īpašumos (valsts akciju sabiedrībai “Valsts nekustamie īpašumi” papildus tam samaksājot uzņēmumu ienākuma nodokli 129 545,2 </w:t>
            </w:r>
            <w:proofErr w:type="spellStart"/>
            <w:r w:rsidRPr="004E0089">
              <w:rPr>
                <w:i/>
                <w:iCs/>
                <w:color w:val="000000"/>
              </w:rPr>
              <w:t>euro</w:t>
            </w:r>
            <w:proofErr w:type="spellEnd"/>
            <w:r w:rsidRPr="00463073">
              <w:rPr>
                <w:color w:val="000000"/>
              </w:rPr>
              <w:t xml:space="preserve"> apmērā):</w:t>
            </w:r>
            <w:r w:rsidR="004E0089">
              <w:rPr>
                <w:color w:val="000000"/>
              </w:rPr>
              <w:t>”</w:t>
            </w:r>
          </w:p>
        </w:tc>
        <w:tc>
          <w:tcPr>
            <w:tcW w:w="4395" w:type="dxa"/>
            <w:gridSpan w:val="4"/>
          </w:tcPr>
          <w:p w14:paraId="0D457E5C" w14:textId="444B18FD" w:rsidR="00A634BF" w:rsidRDefault="00A634BF" w:rsidP="007803B4">
            <w:pPr>
              <w:jc w:val="both"/>
              <w:rPr>
                <w:b/>
                <w:bCs/>
              </w:rPr>
            </w:pPr>
            <w:r w:rsidRPr="00A634BF">
              <w:rPr>
                <w:b/>
                <w:bCs/>
              </w:rPr>
              <w:lastRenderedPageBreak/>
              <w:t>2.</w:t>
            </w:r>
            <w:r w:rsidRPr="00A634BF">
              <w:rPr>
                <w:b/>
                <w:bCs/>
              </w:rPr>
              <w:tab/>
            </w:r>
            <w:r w:rsidRPr="00A634BF">
              <w:t xml:space="preserve">Ņemot vērā, ka valsts akciju sabiedrības “Valsts nekustamie īpašumi”  UIN aprēķinās vispārējā kārtībā, lūdzam </w:t>
            </w:r>
            <w:r w:rsidRPr="00A634BF">
              <w:lastRenderedPageBreak/>
              <w:t>rīkojuma projekta 2.2 punktu izteikt šādā redakcijā, veicot atbilstošas korekcijas arī anotācijā:</w:t>
            </w:r>
            <w:r w:rsidR="003A3E61">
              <w:t xml:space="preserve"> </w:t>
            </w:r>
            <w:r w:rsidR="003A3E61" w:rsidRPr="003A3E61">
              <w:rPr>
                <w:i/>
                <w:iCs/>
              </w:rPr>
              <w:t xml:space="preserve">“1 435 408 </w:t>
            </w:r>
            <w:proofErr w:type="spellStart"/>
            <w:r w:rsidR="003A3E61" w:rsidRPr="003A3E61">
              <w:rPr>
                <w:i/>
                <w:iCs/>
              </w:rPr>
              <w:t>euro</w:t>
            </w:r>
            <w:proofErr w:type="spellEnd"/>
            <w:r w:rsidR="003A3E61" w:rsidRPr="003A3E61">
              <w:rPr>
                <w:i/>
                <w:iCs/>
              </w:rPr>
              <w:t xml:space="preserve"> ieguldījumiem šādos Finanšu ministrijas valdījumā esošajos valsts nekustamajos īpašumos (valsts akciju sabiedrībai “Valsts nekustamie īpašumi” papildus tam samaksājot uzņēmumu ienākuma nodokli, kas aprēķināts vispārējā kārtībā):”</w:t>
            </w:r>
          </w:p>
        </w:tc>
        <w:tc>
          <w:tcPr>
            <w:tcW w:w="3543" w:type="dxa"/>
          </w:tcPr>
          <w:p w14:paraId="58EAD9DC" w14:textId="57F762C1" w:rsidR="00D335F6" w:rsidRPr="00AD23A1" w:rsidRDefault="00EA3181" w:rsidP="00653438">
            <w:pPr>
              <w:spacing w:after="60"/>
              <w:jc w:val="both"/>
              <w:rPr>
                <w:iCs/>
              </w:rPr>
            </w:pPr>
            <w:r>
              <w:rPr>
                <w:b/>
                <w:bCs/>
                <w:iCs/>
              </w:rPr>
              <w:lastRenderedPageBreak/>
              <w:t>Ņemts vērā</w:t>
            </w:r>
            <w:r w:rsidR="00AB3E6F">
              <w:rPr>
                <w:b/>
                <w:bCs/>
                <w:iCs/>
              </w:rPr>
              <w:t xml:space="preserve">. </w:t>
            </w:r>
            <w:r w:rsidR="00C0443A" w:rsidRPr="00AD23A1">
              <w:rPr>
                <w:b/>
                <w:bCs/>
                <w:iCs/>
              </w:rPr>
              <w:t>Panākta v</w:t>
            </w:r>
            <w:r w:rsidR="00D335F6" w:rsidRPr="00AD23A1">
              <w:rPr>
                <w:b/>
                <w:bCs/>
                <w:iCs/>
              </w:rPr>
              <w:t xml:space="preserve">ienošanās par rīkojuma projekta redakciju starpministriju </w:t>
            </w:r>
            <w:r w:rsidR="00D335F6" w:rsidRPr="00AD23A1">
              <w:rPr>
                <w:b/>
                <w:bCs/>
                <w:iCs/>
              </w:rPr>
              <w:lastRenderedPageBreak/>
              <w:t>(starpinstitūciju) 23.09.2021. sanāksmē</w:t>
            </w:r>
            <w:r w:rsidR="00C0443A" w:rsidRPr="00AD23A1">
              <w:rPr>
                <w:b/>
                <w:bCs/>
                <w:iCs/>
              </w:rPr>
              <w:t>.</w:t>
            </w:r>
          </w:p>
          <w:p w14:paraId="3E0D49DE" w14:textId="5558F700" w:rsidR="001178A9" w:rsidRDefault="001178A9" w:rsidP="00653438">
            <w:pPr>
              <w:spacing w:after="60"/>
              <w:jc w:val="both"/>
              <w:rPr>
                <w:b/>
                <w:bCs/>
                <w:iCs/>
              </w:rPr>
            </w:pPr>
          </w:p>
        </w:tc>
        <w:tc>
          <w:tcPr>
            <w:tcW w:w="2841" w:type="dxa"/>
            <w:gridSpan w:val="2"/>
          </w:tcPr>
          <w:p w14:paraId="615A701C" w14:textId="1C997328" w:rsidR="001178A9" w:rsidRDefault="003F1BA0" w:rsidP="007613CD">
            <w:pPr>
              <w:jc w:val="both"/>
              <w:rPr>
                <w:color w:val="000000"/>
              </w:rPr>
            </w:pPr>
            <w:r>
              <w:rPr>
                <w:color w:val="000000"/>
              </w:rPr>
              <w:lastRenderedPageBreak/>
              <w:t>Rīkojuma projektā:</w:t>
            </w:r>
          </w:p>
          <w:p w14:paraId="45E37423" w14:textId="60803C6B" w:rsidR="00671E8F" w:rsidRDefault="00671E8F" w:rsidP="007613CD">
            <w:pPr>
              <w:jc w:val="both"/>
              <w:rPr>
                <w:color w:val="000000"/>
              </w:rPr>
            </w:pPr>
            <w:r w:rsidRPr="00671E8F">
              <w:rPr>
                <w:color w:val="000000"/>
              </w:rPr>
              <w:t xml:space="preserve">3. Finanšu ministrijai kā valsts akciju sabiedrības </w:t>
            </w:r>
            <w:r w:rsidRPr="00671E8F">
              <w:rPr>
                <w:color w:val="000000"/>
              </w:rPr>
              <w:lastRenderedPageBreak/>
              <w:t xml:space="preserve">“Valsts nekustamie īpašumi” kapitāla daļu turētājai nodrošināt, ka valsts akciju sabiedrības “Valsts nekustamie īpašumi” dividendēs izmaksājamā 2020. gada peļņas daļa 1 435 408 </w:t>
            </w:r>
            <w:proofErr w:type="spellStart"/>
            <w:r w:rsidRPr="00514AB7">
              <w:rPr>
                <w:i/>
                <w:iCs/>
                <w:color w:val="000000"/>
              </w:rPr>
              <w:t>euro</w:t>
            </w:r>
            <w:proofErr w:type="spellEnd"/>
            <w:r w:rsidRPr="00671E8F">
              <w:rPr>
                <w:color w:val="000000"/>
              </w:rPr>
              <w:t xml:space="preserve"> apmērā tiek novirzīta ieguldījumiem šādos Finanšu ministrijas valdījumā esošajos valsts nekustamajos īpašumos (valsts akciju sabiedrībai “Valsts nekustamie īpašumi” papildus tam samaksājot uzņēmumu ienākuma nodokli saskaņā ar Uzņēmumu ienākuma nodokļa likumu):</w:t>
            </w:r>
          </w:p>
          <w:p w14:paraId="1ED79734" w14:textId="259BEAEA" w:rsidR="003F1BA0" w:rsidRDefault="003F1BA0" w:rsidP="007613CD">
            <w:pPr>
              <w:jc w:val="both"/>
              <w:rPr>
                <w:color w:val="000000"/>
              </w:rPr>
            </w:pPr>
          </w:p>
        </w:tc>
      </w:tr>
      <w:tr w:rsidR="001178A9" w:rsidRPr="00250F2E" w14:paraId="4F8C585B" w14:textId="77777777" w:rsidTr="003E199E">
        <w:trPr>
          <w:jc w:val="center"/>
        </w:trPr>
        <w:tc>
          <w:tcPr>
            <w:tcW w:w="780" w:type="dxa"/>
          </w:tcPr>
          <w:p w14:paraId="6CA91FF4" w14:textId="2BE94D09" w:rsidR="001178A9" w:rsidRDefault="004B3F62" w:rsidP="00574917">
            <w:pPr>
              <w:jc w:val="center"/>
              <w:rPr>
                <w:color w:val="000000" w:themeColor="text1"/>
              </w:rPr>
            </w:pPr>
            <w:r>
              <w:rPr>
                <w:color w:val="000000" w:themeColor="text1"/>
              </w:rPr>
              <w:lastRenderedPageBreak/>
              <w:t>6</w:t>
            </w:r>
            <w:r w:rsidR="009B4C9C">
              <w:rPr>
                <w:color w:val="000000" w:themeColor="text1"/>
              </w:rPr>
              <w:t>.</w:t>
            </w:r>
          </w:p>
        </w:tc>
        <w:tc>
          <w:tcPr>
            <w:tcW w:w="3183" w:type="dxa"/>
            <w:gridSpan w:val="2"/>
          </w:tcPr>
          <w:p w14:paraId="2F3BB978" w14:textId="77777777" w:rsidR="001178A9" w:rsidRDefault="001178A9" w:rsidP="00A60B69">
            <w:pPr>
              <w:spacing w:after="120"/>
              <w:rPr>
                <w:color w:val="000000"/>
              </w:rPr>
            </w:pPr>
          </w:p>
        </w:tc>
        <w:tc>
          <w:tcPr>
            <w:tcW w:w="4395" w:type="dxa"/>
            <w:gridSpan w:val="4"/>
          </w:tcPr>
          <w:p w14:paraId="214704BE" w14:textId="2BECECFE" w:rsidR="001178A9" w:rsidRPr="00B96B9D" w:rsidRDefault="00B96B9D" w:rsidP="009B4EAB">
            <w:pPr>
              <w:jc w:val="both"/>
            </w:pPr>
            <w:r w:rsidRPr="00B96B9D">
              <w:t>3.</w:t>
            </w:r>
            <w:r w:rsidRPr="00B96B9D">
              <w:tab/>
              <w:t>Lūdzam svītrot no izziņas un anotācijas atsauci uz vēsturisko praksi pamatojumam UIN aprēķiniem, jo katrā konkrētā gadījumā ir jāpiemēro tie normatīvie akti, kas ir spēkā.</w:t>
            </w:r>
          </w:p>
        </w:tc>
        <w:tc>
          <w:tcPr>
            <w:tcW w:w="3543" w:type="dxa"/>
          </w:tcPr>
          <w:p w14:paraId="3C8D9FD3" w14:textId="04AC5A0D" w:rsidR="001178A9" w:rsidRDefault="00637C33" w:rsidP="00653438">
            <w:pPr>
              <w:spacing w:after="60"/>
              <w:jc w:val="both"/>
              <w:rPr>
                <w:b/>
                <w:bCs/>
                <w:iCs/>
              </w:rPr>
            </w:pPr>
            <w:r>
              <w:rPr>
                <w:b/>
                <w:bCs/>
                <w:iCs/>
              </w:rPr>
              <w:t>Ņ</w:t>
            </w:r>
            <w:r w:rsidR="004D3942">
              <w:rPr>
                <w:b/>
                <w:bCs/>
                <w:iCs/>
              </w:rPr>
              <w:t xml:space="preserve">emts vērā. </w:t>
            </w:r>
            <w:r w:rsidR="004D3942" w:rsidRPr="00C717D2">
              <w:rPr>
                <w:iCs/>
              </w:rPr>
              <w:t>Precizēt</w:t>
            </w:r>
            <w:r w:rsidR="00C717D2">
              <w:rPr>
                <w:iCs/>
              </w:rPr>
              <w:t>a</w:t>
            </w:r>
            <w:r w:rsidR="004D3942" w:rsidRPr="00C717D2">
              <w:rPr>
                <w:iCs/>
              </w:rPr>
              <w:t xml:space="preserve"> </w:t>
            </w:r>
            <w:r w:rsidR="00576309">
              <w:rPr>
                <w:iCs/>
              </w:rPr>
              <w:t>izziņa</w:t>
            </w:r>
            <w:r w:rsidR="00077735">
              <w:rPr>
                <w:iCs/>
              </w:rPr>
              <w:t xml:space="preserve"> (</w:t>
            </w:r>
            <w:r w:rsidR="004B3F62" w:rsidRPr="004B3F62">
              <w:rPr>
                <w:iCs/>
              </w:rPr>
              <w:t>8</w:t>
            </w:r>
            <w:r w:rsidR="00077735" w:rsidRPr="004B3F62">
              <w:rPr>
                <w:iCs/>
              </w:rPr>
              <w:t>.p.</w:t>
            </w:r>
            <w:r w:rsidR="00077735" w:rsidRPr="00803D97">
              <w:rPr>
                <w:iCs/>
              </w:rPr>
              <w:t>)</w:t>
            </w:r>
            <w:r w:rsidR="00576309" w:rsidRPr="00803D97">
              <w:rPr>
                <w:iCs/>
              </w:rPr>
              <w:t>,</w:t>
            </w:r>
            <w:r w:rsidR="00576309">
              <w:rPr>
                <w:iCs/>
              </w:rPr>
              <w:t xml:space="preserve"> </w:t>
            </w:r>
            <w:r w:rsidR="004D3942" w:rsidRPr="00C717D2">
              <w:rPr>
                <w:iCs/>
              </w:rPr>
              <w:t>anotācij</w:t>
            </w:r>
            <w:r w:rsidR="00576309">
              <w:rPr>
                <w:iCs/>
              </w:rPr>
              <w:t>ā</w:t>
            </w:r>
            <w:r w:rsidR="005669E1">
              <w:rPr>
                <w:iCs/>
              </w:rPr>
              <w:t xml:space="preserve"> </w:t>
            </w:r>
            <w:r w:rsidR="005625E2">
              <w:rPr>
                <w:iCs/>
              </w:rPr>
              <w:t>nav</w:t>
            </w:r>
            <w:r w:rsidR="005669E1">
              <w:rPr>
                <w:iCs/>
              </w:rPr>
              <w:t xml:space="preserve"> </w:t>
            </w:r>
            <w:r w:rsidR="0004671F">
              <w:rPr>
                <w:iCs/>
              </w:rPr>
              <w:t>atsauce</w:t>
            </w:r>
            <w:r w:rsidR="005625E2">
              <w:rPr>
                <w:iCs/>
              </w:rPr>
              <w:t>s</w:t>
            </w:r>
            <w:r w:rsidR="0004671F">
              <w:rPr>
                <w:iCs/>
              </w:rPr>
              <w:t xml:space="preserve"> uz vēsturisko praksi</w:t>
            </w:r>
            <w:r w:rsidR="005625E2">
              <w:rPr>
                <w:iCs/>
              </w:rPr>
              <w:t>.</w:t>
            </w:r>
          </w:p>
        </w:tc>
        <w:tc>
          <w:tcPr>
            <w:tcW w:w="2841" w:type="dxa"/>
            <w:gridSpan w:val="2"/>
          </w:tcPr>
          <w:p w14:paraId="20394157" w14:textId="77543622" w:rsidR="001178A9" w:rsidRDefault="001178A9" w:rsidP="007613CD">
            <w:pPr>
              <w:jc w:val="both"/>
              <w:rPr>
                <w:color w:val="000000"/>
              </w:rPr>
            </w:pPr>
          </w:p>
        </w:tc>
      </w:tr>
      <w:tr w:rsidR="007119C9" w:rsidRPr="00250F2E" w14:paraId="5B905A85" w14:textId="77777777" w:rsidTr="00C36880">
        <w:trPr>
          <w:jc w:val="center"/>
        </w:trPr>
        <w:tc>
          <w:tcPr>
            <w:tcW w:w="14742" w:type="dxa"/>
            <w:gridSpan w:val="10"/>
          </w:tcPr>
          <w:p w14:paraId="04B6489A" w14:textId="77777777" w:rsidR="008937B7" w:rsidRDefault="008937B7" w:rsidP="007119C9">
            <w:pPr>
              <w:jc w:val="center"/>
              <w:rPr>
                <w:b/>
                <w:bCs/>
                <w:color w:val="000000"/>
              </w:rPr>
            </w:pPr>
          </w:p>
          <w:p w14:paraId="4C6DBF5F" w14:textId="295388DD" w:rsidR="007119C9" w:rsidRDefault="007119C9" w:rsidP="007119C9">
            <w:pPr>
              <w:jc w:val="center"/>
              <w:rPr>
                <w:b/>
                <w:bCs/>
              </w:rPr>
            </w:pPr>
            <w:proofErr w:type="spellStart"/>
            <w:r w:rsidRPr="00687B72">
              <w:rPr>
                <w:b/>
                <w:bCs/>
                <w:color w:val="000000"/>
              </w:rPr>
              <w:t>Pārresoru</w:t>
            </w:r>
            <w:proofErr w:type="spellEnd"/>
            <w:r w:rsidRPr="00687B72">
              <w:rPr>
                <w:b/>
                <w:bCs/>
                <w:color w:val="000000"/>
              </w:rPr>
              <w:t xml:space="preserve"> koordinācij</w:t>
            </w:r>
            <w:r>
              <w:rPr>
                <w:b/>
                <w:bCs/>
                <w:color w:val="000000"/>
              </w:rPr>
              <w:t>a</w:t>
            </w:r>
            <w:r w:rsidRPr="00687B72">
              <w:rPr>
                <w:b/>
                <w:bCs/>
                <w:color w:val="000000"/>
              </w:rPr>
              <w:t>s centra</w:t>
            </w:r>
            <w:r>
              <w:rPr>
                <w:b/>
                <w:bCs/>
                <w:color w:val="000000"/>
              </w:rPr>
              <w:t xml:space="preserve"> 19.07.2021. atzinumā Nr.</w:t>
            </w:r>
            <w:r w:rsidRPr="00226B67">
              <w:t xml:space="preserve"> </w:t>
            </w:r>
            <w:r w:rsidRPr="007119C9">
              <w:rPr>
                <w:b/>
                <w:bCs/>
              </w:rPr>
              <w:t>1.2-5.1/87 izteiktie iebildumi</w:t>
            </w:r>
          </w:p>
          <w:p w14:paraId="66AED0E2" w14:textId="242F7A26" w:rsidR="008937B7" w:rsidRDefault="008937B7" w:rsidP="007119C9">
            <w:pPr>
              <w:jc w:val="center"/>
              <w:rPr>
                <w:color w:val="000000"/>
              </w:rPr>
            </w:pPr>
          </w:p>
        </w:tc>
      </w:tr>
      <w:tr w:rsidR="001F7E75" w:rsidRPr="00250F2E" w14:paraId="0A8BDEFA" w14:textId="77777777" w:rsidTr="003E199E">
        <w:trPr>
          <w:jc w:val="center"/>
        </w:trPr>
        <w:tc>
          <w:tcPr>
            <w:tcW w:w="780" w:type="dxa"/>
          </w:tcPr>
          <w:p w14:paraId="42051B30" w14:textId="35F19E6C" w:rsidR="001F7E75" w:rsidRPr="00250F2E" w:rsidRDefault="004B3F62" w:rsidP="00574917">
            <w:pPr>
              <w:jc w:val="center"/>
              <w:rPr>
                <w:color w:val="000000" w:themeColor="text1"/>
              </w:rPr>
            </w:pPr>
            <w:r>
              <w:rPr>
                <w:color w:val="000000" w:themeColor="text1"/>
              </w:rPr>
              <w:t>7</w:t>
            </w:r>
            <w:r w:rsidR="00DD10B2">
              <w:rPr>
                <w:color w:val="000000" w:themeColor="text1"/>
              </w:rPr>
              <w:t>.</w:t>
            </w:r>
          </w:p>
        </w:tc>
        <w:tc>
          <w:tcPr>
            <w:tcW w:w="3183" w:type="dxa"/>
            <w:gridSpan w:val="2"/>
          </w:tcPr>
          <w:p w14:paraId="58F0E5AA" w14:textId="346ABA2B" w:rsidR="00A60B69" w:rsidRDefault="005F44DE" w:rsidP="00A60B69">
            <w:pPr>
              <w:spacing w:after="120"/>
              <w:rPr>
                <w:color w:val="000000"/>
              </w:rPr>
            </w:pPr>
            <w:r>
              <w:rPr>
                <w:color w:val="000000"/>
              </w:rPr>
              <w:t>Rīkojuma projekta 1.punkts:</w:t>
            </w:r>
          </w:p>
          <w:p w14:paraId="7D74E480" w14:textId="3368F37E" w:rsidR="005F44DE" w:rsidRPr="000E729F" w:rsidRDefault="005F44DE" w:rsidP="00A60B69">
            <w:pPr>
              <w:spacing w:after="120"/>
              <w:rPr>
                <w:color w:val="000000"/>
              </w:rPr>
            </w:pPr>
            <w:r>
              <w:rPr>
                <w:color w:val="000000"/>
              </w:rPr>
              <w:t>“</w:t>
            </w:r>
            <w:r w:rsidRPr="005F44DE">
              <w:rPr>
                <w:color w:val="000000"/>
              </w:rPr>
              <w:t xml:space="preserve">1. Saskaņā ar Ministru kabineta 2015.gada 22.decembra noteikumu Nr.806 “Kārtība, kādā valsts kapitālsabiedrības un publiski </w:t>
            </w:r>
            <w:r w:rsidRPr="005F44DE">
              <w:rPr>
                <w:color w:val="000000"/>
              </w:rPr>
              <w:lastRenderedPageBreak/>
              <w:t>privātās kapitālsabiedrības, kurās valsts ir dalībnieks (akcionārs), prognozē un nosaka dividendēs izmaksājamo peļņas daļu un veic maksājumus valsts budžetā par valsts kapitāla izmantošanu” 11.2.4.apakšpunktu noteikt, ka valsts akciju sabiedrība “Valsts nekustamie īpašumi” (vienotais reģistrācijas numurs 40003294758) nemaksā dividendes no peļņas par 2020.gadu.</w:t>
            </w:r>
            <w:r>
              <w:rPr>
                <w:color w:val="000000"/>
              </w:rPr>
              <w:t>”</w:t>
            </w:r>
          </w:p>
          <w:p w14:paraId="2CA793CF" w14:textId="1E23FA3A" w:rsidR="001F7E75" w:rsidRPr="000E729F" w:rsidRDefault="001F7E75" w:rsidP="00A354D0">
            <w:pPr>
              <w:spacing w:after="60"/>
              <w:rPr>
                <w:color w:val="000000"/>
              </w:rPr>
            </w:pPr>
          </w:p>
        </w:tc>
        <w:tc>
          <w:tcPr>
            <w:tcW w:w="4395" w:type="dxa"/>
            <w:gridSpan w:val="4"/>
          </w:tcPr>
          <w:p w14:paraId="123C4366" w14:textId="49880EE1" w:rsidR="009B4EAB" w:rsidRDefault="00226B67" w:rsidP="009B4EAB">
            <w:pPr>
              <w:jc w:val="both"/>
              <w:rPr>
                <w:b/>
                <w:bCs/>
              </w:rPr>
            </w:pPr>
            <w:proofErr w:type="spellStart"/>
            <w:r>
              <w:rPr>
                <w:b/>
                <w:bCs/>
              </w:rPr>
              <w:lastRenderedPageBreak/>
              <w:t>Pārresoru</w:t>
            </w:r>
            <w:proofErr w:type="spellEnd"/>
            <w:r>
              <w:rPr>
                <w:b/>
                <w:bCs/>
              </w:rPr>
              <w:t xml:space="preserve"> koordinācijas centra atzinumā </w:t>
            </w:r>
            <w:r w:rsidR="009B4EAB">
              <w:rPr>
                <w:b/>
                <w:bCs/>
              </w:rPr>
              <w:t xml:space="preserve">izteiktais </w:t>
            </w:r>
            <w:r w:rsidR="004034C5">
              <w:rPr>
                <w:b/>
                <w:bCs/>
              </w:rPr>
              <w:t xml:space="preserve"> iebildums:</w:t>
            </w:r>
            <w:r w:rsidR="009B4EAB">
              <w:rPr>
                <w:b/>
                <w:bCs/>
              </w:rPr>
              <w:t xml:space="preserve"> </w:t>
            </w:r>
          </w:p>
          <w:p w14:paraId="0BD9744B" w14:textId="09B3E97A" w:rsidR="00241247" w:rsidRPr="000E729F" w:rsidRDefault="006F37B3" w:rsidP="00043FFF">
            <w:pPr>
              <w:jc w:val="both"/>
            </w:pPr>
            <w:r w:rsidRPr="006F37B3">
              <w:t>1.</w:t>
            </w:r>
            <w:r w:rsidRPr="006F37B3">
              <w:tab/>
              <w:t xml:space="preserve">Ņemot vērā, ka daļu no VAS “Valsts nekustamie īpašumi” (turpmāk – VNĪ) 2020.gada peļņas tiek plānots novirzīt ieguldījumiem īpašumos, kas nepieder </w:t>
            </w:r>
            <w:r w:rsidRPr="006F37B3">
              <w:lastRenderedPageBreak/>
              <w:t xml:space="preserve">VNĪ, tas ir pielīdzināms valsts deleģētā uzdevuma izpildei. Savukārt apmaksai par šāda uzdevuma veikšanu valsts var novirzīt tikai tai pienākošos līdzekļus, līdz ar to pirms līdzekļu novirzīšanas ir jānotiek peļņas sadalei. Lūdzam gan rīkojuma projekta 1.punktā, gan anotācijā skaidri norādīt, ka peļņa </w:t>
            </w:r>
            <w:r w:rsidRPr="009C167C">
              <w:t>par 2020.gadu tiek sadalīta,</w:t>
            </w:r>
            <w:r w:rsidRPr="006F37B3">
              <w:t xml:space="preserve"> nomainot ar šo formulējumu tekstam “nemaksā dividendes par 2020.gadu” un veicot korekcijas visās teksta vietās, kur tiek lietots “nesadalītā peļņa”.</w:t>
            </w:r>
          </w:p>
        </w:tc>
        <w:tc>
          <w:tcPr>
            <w:tcW w:w="3543" w:type="dxa"/>
          </w:tcPr>
          <w:p w14:paraId="4ED07411" w14:textId="1BFB377D" w:rsidR="00503178" w:rsidRPr="001214A3" w:rsidRDefault="0098087A" w:rsidP="00653438">
            <w:pPr>
              <w:spacing w:after="60"/>
              <w:jc w:val="both"/>
              <w:rPr>
                <w:iCs/>
              </w:rPr>
            </w:pPr>
            <w:r>
              <w:rPr>
                <w:b/>
                <w:bCs/>
                <w:iCs/>
              </w:rPr>
              <w:lastRenderedPageBreak/>
              <w:t>Ņemts vērā.</w:t>
            </w:r>
            <w:r w:rsidR="0091605A">
              <w:rPr>
                <w:b/>
                <w:bCs/>
                <w:iCs/>
              </w:rPr>
              <w:t xml:space="preserve"> </w:t>
            </w:r>
            <w:r w:rsidR="00C0443A" w:rsidRPr="00AD23A1">
              <w:rPr>
                <w:b/>
                <w:bCs/>
                <w:iCs/>
              </w:rPr>
              <w:t>Panākta v</w:t>
            </w:r>
            <w:r w:rsidR="004B3F62" w:rsidRPr="00AD23A1">
              <w:rPr>
                <w:b/>
                <w:bCs/>
                <w:iCs/>
              </w:rPr>
              <w:t>ienošanās par rīkojuma projekta redakciju starpministriju (starpinstitūciju) 23.09.2021. sanāksmē</w:t>
            </w:r>
            <w:r w:rsidR="00C0443A" w:rsidRPr="00AD23A1">
              <w:rPr>
                <w:b/>
                <w:bCs/>
                <w:iCs/>
              </w:rPr>
              <w:t>.</w:t>
            </w:r>
          </w:p>
        </w:tc>
        <w:tc>
          <w:tcPr>
            <w:tcW w:w="2841" w:type="dxa"/>
            <w:gridSpan w:val="2"/>
          </w:tcPr>
          <w:p w14:paraId="3977A67A" w14:textId="215567AB" w:rsidR="00D9496E" w:rsidRDefault="00D9496E" w:rsidP="00D9496E">
            <w:pPr>
              <w:jc w:val="both"/>
              <w:rPr>
                <w:color w:val="000000"/>
              </w:rPr>
            </w:pPr>
            <w:r>
              <w:rPr>
                <w:color w:val="000000"/>
              </w:rPr>
              <w:t>Rīkojuma projekta 1.punkts:</w:t>
            </w:r>
          </w:p>
          <w:p w14:paraId="3E3A64C5" w14:textId="77777777" w:rsidR="00D9496E" w:rsidRPr="009218A4" w:rsidRDefault="00D9496E" w:rsidP="00D9496E">
            <w:pPr>
              <w:jc w:val="both"/>
              <w:rPr>
                <w:color w:val="000000"/>
              </w:rPr>
            </w:pPr>
            <w:r w:rsidRPr="009218A4">
              <w:rPr>
                <w:color w:val="000000"/>
              </w:rPr>
              <w:t xml:space="preserve">1. Saskaņā ar Ministru kabineta 2015.gada 22.decembra noteikumu Nr.806 “Kārtība, kādā </w:t>
            </w:r>
            <w:r w:rsidRPr="009218A4">
              <w:rPr>
                <w:color w:val="000000"/>
              </w:rPr>
              <w:lastRenderedPageBreak/>
              <w:t xml:space="preserve">valsts kapitālsabiedrības un publiski privātās kapitālsabiedrības, kurās valsts ir dalībnieks (akcionārs), prognozē un nosaka dividendēs izmaksājamo peļņas daļu un veic maksājumus valsts budžetā par valsts kapitāla izmantošanu” 11.2.4.apakšpunktu samazināt valsts akciju sabiedrības “Valsts nekustamie īpašumi” (vienotais reģistrācijas numurs 40003294758) dividendēs izmaksājamo  peļņas daļu par 2020.gadu un noteikt to 1 435 408 </w:t>
            </w:r>
            <w:proofErr w:type="spellStart"/>
            <w:r w:rsidRPr="009218A4">
              <w:rPr>
                <w:color w:val="000000"/>
              </w:rPr>
              <w:t>euro</w:t>
            </w:r>
            <w:proofErr w:type="spellEnd"/>
            <w:r w:rsidRPr="009218A4">
              <w:rPr>
                <w:color w:val="000000"/>
              </w:rPr>
              <w:t xml:space="preserve"> apmērā (48 % no peļņas par 2020.gadu).</w:t>
            </w:r>
          </w:p>
          <w:p w14:paraId="7D8C55A9" w14:textId="77777777" w:rsidR="00B27739" w:rsidRDefault="00B27739" w:rsidP="007613CD">
            <w:pPr>
              <w:jc w:val="both"/>
              <w:rPr>
                <w:color w:val="000000"/>
              </w:rPr>
            </w:pPr>
          </w:p>
          <w:p w14:paraId="2E017FAD" w14:textId="51C363E1" w:rsidR="00B20983" w:rsidRPr="00E165AE" w:rsidRDefault="00B20983" w:rsidP="007613CD">
            <w:pPr>
              <w:jc w:val="both"/>
              <w:rPr>
                <w:color w:val="000000"/>
              </w:rPr>
            </w:pPr>
          </w:p>
        </w:tc>
      </w:tr>
      <w:tr w:rsidR="001F74E7" w:rsidRPr="00250F2E" w14:paraId="71F0E0EB" w14:textId="77777777" w:rsidTr="003E199E">
        <w:trPr>
          <w:jc w:val="center"/>
        </w:trPr>
        <w:tc>
          <w:tcPr>
            <w:tcW w:w="780" w:type="dxa"/>
          </w:tcPr>
          <w:p w14:paraId="2F72B72E" w14:textId="7833966C" w:rsidR="001F74E7" w:rsidRDefault="004B3F62" w:rsidP="00574917">
            <w:pPr>
              <w:jc w:val="center"/>
              <w:rPr>
                <w:color w:val="000000" w:themeColor="text1"/>
              </w:rPr>
            </w:pPr>
            <w:r>
              <w:rPr>
                <w:color w:val="000000" w:themeColor="text1"/>
              </w:rPr>
              <w:lastRenderedPageBreak/>
              <w:t>8</w:t>
            </w:r>
            <w:r w:rsidR="000015B4">
              <w:rPr>
                <w:color w:val="000000" w:themeColor="text1"/>
              </w:rPr>
              <w:t>.</w:t>
            </w:r>
          </w:p>
        </w:tc>
        <w:tc>
          <w:tcPr>
            <w:tcW w:w="3183" w:type="dxa"/>
            <w:gridSpan w:val="2"/>
          </w:tcPr>
          <w:p w14:paraId="65BFAC2D" w14:textId="77777777" w:rsidR="00DC5612" w:rsidRDefault="00DC5612" w:rsidP="00160CBB">
            <w:pPr>
              <w:spacing w:after="120"/>
              <w:jc w:val="both"/>
              <w:rPr>
                <w:color w:val="000000"/>
              </w:rPr>
            </w:pPr>
            <w:r>
              <w:rPr>
                <w:color w:val="000000"/>
              </w:rPr>
              <w:t>Rīkojuma projektā:</w:t>
            </w:r>
          </w:p>
          <w:p w14:paraId="5EEA337B" w14:textId="053D3A7B" w:rsidR="001F74E7" w:rsidRPr="000E729F" w:rsidRDefault="00DC5612" w:rsidP="00160CBB">
            <w:pPr>
              <w:spacing w:after="120"/>
              <w:jc w:val="both"/>
              <w:rPr>
                <w:color w:val="000000"/>
              </w:rPr>
            </w:pPr>
            <w:r>
              <w:rPr>
                <w:color w:val="000000"/>
              </w:rPr>
              <w:t xml:space="preserve"> “</w:t>
            </w:r>
            <w:r w:rsidRPr="00463073">
              <w:rPr>
                <w:color w:val="000000"/>
              </w:rPr>
              <w:t xml:space="preserve">2.2. 1 435 408 </w:t>
            </w:r>
            <w:proofErr w:type="spellStart"/>
            <w:r w:rsidRPr="00463073">
              <w:rPr>
                <w:i/>
                <w:iCs/>
                <w:color w:val="000000"/>
              </w:rPr>
              <w:t>euro</w:t>
            </w:r>
            <w:proofErr w:type="spellEnd"/>
            <w:r w:rsidRPr="00463073">
              <w:rPr>
                <w:color w:val="000000"/>
              </w:rPr>
              <w:t xml:space="preserve"> ieguldījumiem šādos Finanšu ministrijas valdījumā esošajos valsts nekustamajos īpašumos (valsts akciju sabiedrībai “Valsts nekustamie īpašumi” papildus tam samaksājot uzņēmumu ienākuma nodokli 129 545,2 </w:t>
            </w:r>
            <w:proofErr w:type="spellStart"/>
            <w:r w:rsidRPr="004E0089">
              <w:rPr>
                <w:i/>
                <w:iCs/>
                <w:color w:val="000000"/>
              </w:rPr>
              <w:t>euro</w:t>
            </w:r>
            <w:proofErr w:type="spellEnd"/>
            <w:r w:rsidRPr="00463073">
              <w:rPr>
                <w:color w:val="000000"/>
              </w:rPr>
              <w:t xml:space="preserve"> apmērā):</w:t>
            </w:r>
            <w:r>
              <w:rPr>
                <w:color w:val="000000"/>
              </w:rPr>
              <w:t>”</w:t>
            </w:r>
          </w:p>
        </w:tc>
        <w:tc>
          <w:tcPr>
            <w:tcW w:w="4395" w:type="dxa"/>
            <w:gridSpan w:val="4"/>
          </w:tcPr>
          <w:p w14:paraId="59C5D25E" w14:textId="78D117E8" w:rsidR="00924B03" w:rsidRPr="00220C5D" w:rsidRDefault="00220C5D" w:rsidP="00A87C1F">
            <w:pPr>
              <w:jc w:val="both"/>
            </w:pPr>
            <w:r w:rsidRPr="00220C5D">
              <w:t>2.</w:t>
            </w:r>
            <w:r w:rsidRPr="00220C5D">
              <w:tab/>
              <w:t xml:space="preserve">Norādām, ka atbilstoši Ministru kabineta 2015. gada 22. 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3.punktam, dividendēs izmaksājamā peļņas daļa ietver maksājumu par valsts kapitāla izmantošanu un </w:t>
            </w:r>
            <w:r w:rsidRPr="00220C5D">
              <w:lastRenderedPageBreak/>
              <w:t xml:space="preserve">uzņēmumu ienākuma nodokli (turpmāk – UIN). Līdz ar to, peļņas daļa 1 435 408 </w:t>
            </w:r>
            <w:proofErr w:type="spellStart"/>
            <w:r w:rsidRPr="00160CBB">
              <w:rPr>
                <w:i/>
                <w:iCs/>
              </w:rPr>
              <w:t>euro</w:t>
            </w:r>
            <w:proofErr w:type="spellEnd"/>
            <w:r w:rsidRPr="00220C5D">
              <w:t xml:space="preserve"> apmērā, kas tiek novirzīta ieguldījumiem FM valdījumā esošajos valsts nekustamajos īpašumos un ir apliekama</w:t>
            </w:r>
            <w:r w:rsidR="00076C00">
              <w:t xml:space="preserve"> </w:t>
            </w:r>
            <w:r w:rsidR="00076C00" w:rsidRPr="00076C00">
              <w:t xml:space="preserve">ar UIN, ietver UIN 287 082 </w:t>
            </w:r>
            <w:proofErr w:type="spellStart"/>
            <w:r w:rsidR="00076C00" w:rsidRPr="00076C00">
              <w:rPr>
                <w:i/>
                <w:iCs/>
              </w:rPr>
              <w:t>euro</w:t>
            </w:r>
            <w:proofErr w:type="spellEnd"/>
            <w:r w:rsidR="00076C00" w:rsidRPr="00076C00">
              <w:t xml:space="preserve"> apmērā. Gadījumā, ja VNĪ vēlas aprēķināt UIN kārtībā, kāda noteikta privātā sektora kapitālsabiedrībām, UIN summa būtu 358 852 </w:t>
            </w:r>
            <w:proofErr w:type="spellStart"/>
            <w:r w:rsidR="00076C00" w:rsidRPr="00076C00">
              <w:rPr>
                <w:i/>
                <w:iCs/>
              </w:rPr>
              <w:t>euro</w:t>
            </w:r>
            <w:proofErr w:type="spellEnd"/>
            <w:r w:rsidR="00076C00" w:rsidRPr="00076C00">
              <w:t xml:space="preserve">, kā rezultātā VNĪ nomaksātu vairāk nekā to nosaka Noteikumu 3.punkts, un faktiski samazinātu  peļņas daļu (20% no pārskata gada peļņas), kas paliek uzņēmumam. Rīkojuma projektā un anotācijā minētā UIN summa 129 545,2 </w:t>
            </w:r>
            <w:proofErr w:type="spellStart"/>
            <w:r w:rsidR="00076C00" w:rsidRPr="00076C00">
              <w:rPr>
                <w:i/>
                <w:iCs/>
              </w:rPr>
              <w:t>euro</w:t>
            </w:r>
            <w:proofErr w:type="spellEnd"/>
            <w:r w:rsidR="00076C00" w:rsidRPr="00076C00">
              <w:t xml:space="preserve"> apmērā nav iespējama nevienā no variantiem. Lūdzam veikt pārrēķinus atbilstoši izvēlētajam modelim un veikt attiecīgas korekcijas rīkojuma projektā un anotācijā.</w:t>
            </w:r>
          </w:p>
        </w:tc>
        <w:tc>
          <w:tcPr>
            <w:tcW w:w="3543" w:type="dxa"/>
          </w:tcPr>
          <w:p w14:paraId="0810D4F8" w14:textId="260BF7E3" w:rsidR="004B3F62" w:rsidRPr="00AD23A1" w:rsidRDefault="00F97106" w:rsidP="00A87C1F">
            <w:pPr>
              <w:spacing w:after="60"/>
              <w:jc w:val="both"/>
              <w:rPr>
                <w:iCs/>
              </w:rPr>
            </w:pPr>
            <w:r>
              <w:rPr>
                <w:b/>
                <w:bCs/>
                <w:iCs/>
              </w:rPr>
              <w:lastRenderedPageBreak/>
              <w:t>Ņemts vērā.</w:t>
            </w:r>
            <w:r w:rsidR="00677972">
              <w:rPr>
                <w:b/>
                <w:bCs/>
                <w:iCs/>
              </w:rPr>
              <w:t xml:space="preserve"> </w:t>
            </w:r>
            <w:r w:rsidR="00C0443A" w:rsidRPr="00AD23A1">
              <w:rPr>
                <w:b/>
                <w:bCs/>
                <w:iCs/>
              </w:rPr>
              <w:t>Panākta v</w:t>
            </w:r>
            <w:r w:rsidR="004B3F62" w:rsidRPr="00AD23A1">
              <w:rPr>
                <w:b/>
                <w:bCs/>
                <w:iCs/>
              </w:rPr>
              <w:t>ienošanās par rīkojuma projekta redakciju starpministriju (starpinstitūciju) 23.09.2021. sanāksmē</w:t>
            </w:r>
            <w:r w:rsidR="00C0443A" w:rsidRPr="00AD23A1">
              <w:rPr>
                <w:b/>
                <w:bCs/>
                <w:iCs/>
              </w:rPr>
              <w:t>.</w:t>
            </w:r>
          </w:p>
          <w:p w14:paraId="1B926655" w14:textId="4948C741" w:rsidR="005460EB" w:rsidRPr="00493E8A" w:rsidRDefault="001D6A5C" w:rsidP="00A87C1F">
            <w:pPr>
              <w:spacing w:after="60"/>
              <w:jc w:val="both"/>
            </w:pPr>
            <w:r w:rsidRPr="00AD23A1">
              <w:rPr>
                <w:iCs/>
              </w:rPr>
              <w:t xml:space="preserve">Attiecīgi </w:t>
            </w:r>
            <w:r w:rsidR="00472D4D" w:rsidRPr="00AD23A1">
              <w:t xml:space="preserve">precizēts </w:t>
            </w:r>
            <w:r w:rsidR="00472D4D" w:rsidRPr="00493E8A">
              <w:t xml:space="preserve">rīkojuma projekta </w:t>
            </w:r>
            <w:r>
              <w:t xml:space="preserve">3. punkts (iepriekš </w:t>
            </w:r>
            <w:r w:rsidR="00472D4D" w:rsidRPr="00493E8A">
              <w:t>2.2.apak</w:t>
            </w:r>
            <w:r w:rsidR="00CC406D" w:rsidRPr="00493E8A">
              <w:t>š</w:t>
            </w:r>
            <w:r w:rsidR="00472D4D" w:rsidRPr="00493E8A">
              <w:t>punkts</w:t>
            </w:r>
            <w:r w:rsidR="001849A8">
              <w:t>)</w:t>
            </w:r>
            <w:r w:rsidR="00472D4D" w:rsidRPr="00493E8A">
              <w:t>, anotācija</w:t>
            </w:r>
            <w:r w:rsidR="00DC5612" w:rsidRPr="00493E8A">
              <w:t xml:space="preserve">s I sadaļas 2.punkts, svītrojot atsauci uz </w:t>
            </w:r>
            <w:r w:rsidR="0081345E" w:rsidRPr="00493E8A">
              <w:t>Uzņēmumu ienākuma nodokļa likuma 6.pantu</w:t>
            </w:r>
            <w:r w:rsidR="00F97106" w:rsidRPr="00493E8A">
              <w:t>.</w:t>
            </w:r>
          </w:p>
          <w:p w14:paraId="089AA73B" w14:textId="308A210B" w:rsidR="00FC4806" w:rsidRPr="00252078" w:rsidRDefault="00FC4806" w:rsidP="008501CB">
            <w:pPr>
              <w:spacing w:after="60"/>
              <w:jc w:val="both"/>
              <w:rPr>
                <w:bCs/>
                <w:strike/>
              </w:rPr>
            </w:pPr>
          </w:p>
          <w:p w14:paraId="15245471" w14:textId="5B4756B6" w:rsidR="008501CB" w:rsidRPr="00924B03" w:rsidRDefault="008501CB">
            <w:pPr>
              <w:spacing w:after="60"/>
              <w:jc w:val="both"/>
              <w:rPr>
                <w:bCs/>
              </w:rPr>
            </w:pPr>
          </w:p>
        </w:tc>
        <w:tc>
          <w:tcPr>
            <w:tcW w:w="2841" w:type="dxa"/>
            <w:gridSpan w:val="2"/>
          </w:tcPr>
          <w:p w14:paraId="034278CD" w14:textId="77777777" w:rsidR="00366CBC" w:rsidRDefault="00E65F1C" w:rsidP="00196B69">
            <w:pPr>
              <w:jc w:val="both"/>
              <w:rPr>
                <w:color w:val="000000"/>
              </w:rPr>
            </w:pPr>
            <w:r>
              <w:rPr>
                <w:color w:val="000000"/>
              </w:rPr>
              <w:lastRenderedPageBreak/>
              <w:t xml:space="preserve">Rīkojuma projektā: </w:t>
            </w:r>
          </w:p>
          <w:p w14:paraId="13F2265A" w14:textId="63CD6968" w:rsidR="00366CBC" w:rsidRDefault="00366CBC" w:rsidP="00196B69">
            <w:pPr>
              <w:jc w:val="both"/>
              <w:rPr>
                <w:color w:val="000000"/>
              </w:rPr>
            </w:pPr>
            <w:r w:rsidRPr="00366CBC">
              <w:rPr>
                <w:color w:val="000000"/>
              </w:rPr>
              <w:t xml:space="preserve">3. Finanšu ministrijai kā valsts akciju sabiedrības “Valsts nekustamie īpašumi” kapitāla daļu turētājai nodrošināt, ka valsts akciju sabiedrības “Valsts nekustamie īpašumi” dividendēs izmaksājamā 2020. gada peļņas daļa 1 435 408 </w:t>
            </w:r>
            <w:proofErr w:type="spellStart"/>
            <w:r w:rsidRPr="00366CBC">
              <w:rPr>
                <w:i/>
                <w:iCs/>
                <w:color w:val="000000"/>
              </w:rPr>
              <w:t>euro</w:t>
            </w:r>
            <w:proofErr w:type="spellEnd"/>
            <w:r w:rsidRPr="00366CBC">
              <w:rPr>
                <w:color w:val="000000"/>
              </w:rPr>
              <w:t xml:space="preserve"> apmērā tiek novirzīta </w:t>
            </w:r>
            <w:r w:rsidRPr="00366CBC">
              <w:rPr>
                <w:color w:val="000000"/>
              </w:rPr>
              <w:lastRenderedPageBreak/>
              <w:t>ieguldījumiem šādos Finanšu ministrijas valdījumā esošajos valsts nekustamajos īpašumos (valsts akciju sabiedrībai “Valsts nekustamie īpašumi” papildus tam samaksājot uzņēmumu ienākuma nodokli saskaņā ar Uzņēmumu ienākuma nodokļa likumu):</w:t>
            </w:r>
          </w:p>
          <w:p w14:paraId="2DC822EE" w14:textId="6BC4AEB2" w:rsidR="00CE2AC1" w:rsidRDefault="00EE7B43" w:rsidP="00196B69">
            <w:pPr>
              <w:jc w:val="both"/>
              <w:rPr>
                <w:color w:val="000000"/>
              </w:rPr>
            </w:pPr>
            <w:r>
              <w:rPr>
                <w:color w:val="000000"/>
              </w:rPr>
              <w:t>“</w:t>
            </w:r>
            <w:r w:rsidR="00CE2AC1">
              <w:rPr>
                <w:color w:val="000000"/>
              </w:rPr>
              <w:t>Skatīt precizēto anotāciju.</w:t>
            </w:r>
          </w:p>
        </w:tc>
      </w:tr>
      <w:tr w:rsidR="006F37B3" w:rsidRPr="00250F2E" w14:paraId="64FF59C1" w14:textId="77777777" w:rsidTr="003E199E">
        <w:trPr>
          <w:jc w:val="center"/>
        </w:trPr>
        <w:tc>
          <w:tcPr>
            <w:tcW w:w="780" w:type="dxa"/>
          </w:tcPr>
          <w:p w14:paraId="0C71890F" w14:textId="5D19B68E" w:rsidR="006F37B3" w:rsidRDefault="00711F48" w:rsidP="00574917">
            <w:pPr>
              <w:jc w:val="center"/>
              <w:rPr>
                <w:color w:val="000000" w:themeColor="text1"/>
              </w:rPr>
            </w:pPr>
            <w:r>
              <w:rPr>
                <w:color w:val="000000" w:themeColor="text1"/>
              </w:rPr>
              <w:lastRenderedPageBreak/>
              <w:t>9</w:t>
            </w:r>
            <w:r w:rsidR="000015B4">
              <w:rPr>
                <w:color w:val="000000" w:themeColor="text1"/>
              </w:rPr>
              <w:t>.</w:t>
            </w:r>
          </w:p>
        </w:tc>
        <w:tc>
          <w:tcPr>
            <w:tcW w:w="3183" w:type="dxa"/>
            <w:gridSpan w:val="2"/>
          </w:tcPr>
          <w:p w14:paraId="625505E9" w14:textId="77777777" w:rsidR="001C734A" w:rsidRDefault="001C734A" w:rsidP="001C734A">
            <w:pPr>
              <w:spacing w:after="120"/>
              <w:jc w:val="both"/>
              <w:rPr>
                <w:color w:val="000000"/>
              </w:rPr>
            </w:pPr>
            <w:r>
              <w:rPr>
                <w:color w:val="000000"/>
              </w:rPr>
              <w:t xml:space="preserve">Rīkojuma projekta 2.punktā: </w:t>
            </w:r>
          </w:p>
          <w:p w14:paraId="2B19CF0E" w14:textId="77777777" w:rsidR="001C734A" w:rsidRPr="001C734A" w:rsidRDefault="001C734A" w:rsidP="001C734A">
            <w:pPr>
              <w:spacing w:after="120"/>
              <w:jc w:val="both"/>
              <w:rPr>
                <w:color w:val="000000"/>
              </w:rPr>
            </w:pPr>
            <w:r>
              <w:rPr>
                <w:color w:val="000000"/>
              </w:rPr>
              <w:t>“</w:t>
            </w:r>
            <w:r w:rsidRPr="001C734A">
              <w:rPr>
                <w:color w:val="000000"/>
              </w:rPr>
              <w:t xml:space="preserve">2. Finanšu ministrijai kā valsts akciju sabiedrības “Valsts nekustamie īpašumi” kapitāla daļu turētājai nodrošināt, ka valsts akciju sabiedrības “Valsts nekustamie īpašumi” 2020.gada peļņas (2 987 085 </w:t>
            </w:r>
            <w:proofErr w:type="spellStart"/>
            <w:r w:rsidRPr="001C734A">
              <w:rPr>
                <w:color w:val="000000"/>
              </w:rPr>
              <w:t>euro</w:t>
            </w:r>
            <w:proofErr w:type="spellEnd"/>
            <w:r w:rsidRPr="001C734A">
              <w:rPr>
                <w:color w:val="000000"/>
              </w:rPr>
              <w:t xml:space="preserve">) daļa 2 389 668 </w:t>
            </w:r>
            <w:proofErr w:type="spellStart"/>
            <w:r w:rsidRPr="001C734A">
              <w:rPr>
                <w:i/>
                <w:iCs/>
                <w:color w:val="000000"/>
              </w:rPr>
              <w:t>euro</w:t>
            </w:r>
            <w:proofErr w:type="spellEnd"/>
            <w:r w:rsidRPr="001C734A">
              <w:rPr>
                <w:color w:val="000000"/>
              </w:rPr>
              <w:t xml:space="preserve"> apmērā tiek novirzīta kapitālsabiedrības attīstībai šādiem mērķiem:</w:t>
            </w:r>
          </w:p>
          <w:p w14:paraId="182924A7" w14:textId="77777777" w:rsidR="001C734A" w:rsidRPr="001C734A" w:rsidRDefault="001C734A" w:rsidP="001C734A">
            <w:pPr>
              <w:spacing w:after="120"/>
              <w:jc w:val="both"/>
              <w:rPr>
                <w:color w:val="000000"/>
              </w:rPr>
            </w:pPr>
            <w:r w:rsidRPr="001C734A">
              <w:rPr>
                <w:color w:val="000000"/>
              </w:rPr>
              <w:t xml:space="preserve">2.1. 954 260 </w:t>
            </w:r>
            <w:proofErr w:type="spellStart"/>
            <w:r w:rsidRPr="001C734A">
              <w:rPr>
                <w:i/>
                <w:iCs/>
                <w:color w:val="000000"/>
              </w:rPr>
              <w:t>euro</w:t>
            </w:r>
            <w:proofErr w:type="spellEnd"/>
            <w:r w:rsidRPr="001C734A">
              <w:rPr>
                <w:i/>
                <w:iCs/>
                <w:color w:val="000000"/>
              </w:rPr>
              <w:t xml:space="preserve"> </w:t>
            </w:r>
            <w:r w:rsidRPr="001C734A">
              <w:rPr>
                <w:color w:val="000000"/>
              </w:rPr>
              <w:t xml:space="preserve">ieguldījumiem valsts akciju </w:t>
            </w:r>
            <w:r w:rsidRPr="001C734A">
              <w:rPr>
                <w:color w:val="000000"/>
              </w:rPr>
              <w:lastRenderedPageBreak/>
              <w:t xml:space="preserve">sabiedrības “Valsts nekustamie īpašumi” nekustamā īpašuma, </w:t>
            </w:r>
            <w:proofErr w:type="spellStart"/>
            <w:r w:rsidRPr="001C734A">
              <w:rPr>
                <w:color w:val="000000"/>
              </w:rPr>
              <w:t>Avenue</w:t>
            </w:r>
            <w:proofErr w:type="spellEnd"/>
            <w:r w:rsidRPr="001C734A">
              <w:rPr>
                <w:color w:val="000000"/>
              </w:rPr>
              <w:t xml:space="preserve"> </w:t>
            </w:r>
            <w:proofErr w:type="spellStart"/>
            <w:r w:rsidRPr="001C734A">
              <w:rPr>
                <w:color w:val="000000"/>
              </w:rPr>
              <w:t>des</w:t>
            </w:r>
            <w:proofErr w:type="spellEnd"/>
            <w:r w:rsidRPr="001C734A">
              <w:rPr>
                <w:color w:val="000000"/>
              </w:rPr>
              <w:t xml:space="preserve"> Arts 23, Briselē, Beļģijas karalistē, sastāvā esošās ēkas pārbūvei, kas nepieciešams Ārlietu ministrijas vajadzībām;</w:t>
            </w:r>
          </w:p>
          <w:p w14:paraId="7AA3C855" w14:textId="6839E5AF" w:rsidR="006F37B3" w:rsidRPr="000E729F" w:rsidRDefault="001C734A" w:rsidP="001C734A">
            <w:pPr>
              <w:spacing w:after="120"/>
              <w:jc w:val="both"/>
              <w:rPr>
                <w:color w:val="000000"/>
              </w:rPr>
            </w:pPr>
            <w:r w:rsidRPr="001C734A">
              <w:rPr>
                <w:color w:val="000000"/>
              </w:rPr>
              <w:t xml:space="preserve">2.2. 1 435 408 </w:t>
            </w:r>
            <w:proofErr w:type="spellStart"/>
            <w:r w:rsidRPr="001C734A">
              <w:rPr>
                <w:i/>
                <w:iCs/>
                <w:color w:val="000000"/>
              </w:rPr>
              <w:t>euro</w:t>
            </w:r>
            <w:proofErr w:type="spellEnd"/>
            <w:r w:rsidRPr="001C734A">
              <w:rPr>
                <w:color w:val="000000"/>
              </w:rPr>
              <w:t xml:space="preserve"> ieguldījumiem šādos Finanšu ministrijas valdījumā esošajos valsts nekustamajos īpašumos (papildus tam samaksājot uzņēmuma ienākuma nodokli 129 545,2 </w:t>
            </w:r>
            <w:proofErr w:type="spellStart"/>
            <w:r w:rsidRPr="001C734A">
              <w:rPr>
                <w:i/>
                <w:iCs/>
                <w:color w:val="000000"/>
              </w:rPr>
              <w:t>euro</w:t>
            </w:r>
            <w:proofErr w:type="spellEnd"/>
            <w:r w:rsidRPr="001C734A">
              <w:rPr>
                <w:i/>
                <w:iCs/>
                <w:color w:val="000000"/>
              </w:rPr>
              <w:t xml:space="preserve"> </w:t>
            </w:r>
            <w:r w:rsidRPr="001C734A">
              <w:rPr>
                <w:color w:val="000000"/>
              </w:rPr>
              <w:t>apmērā):</w:t>
            </w:r>
            <w:r>
              <w:rPr>
                <w:color w:val="000000"/>
              </w:rPr>
              <w:t xml:space="preserve"> […]”</w:t>
            </w:r>
          </w:p>
        </w:tc>
        <w:tc>
          <w:tcPr>
            <w:tcW w:w="4395" w:type="dxa"/>
            <w:gridSpan w:val="4"/>
          </w:tcPr>
          <w:p w14:paraId="78495472" w14:textId="791F228F" w:rsidR="006F37B3" w:rsidRPr="000015B4" w:rsidRDefault="000015B4" w:rsidP="00A87C1F">
            <w:pPr>
              <w:jc w:val="both"/>
            </w:pPr>
            <w:r w:rsidRPr="000015B4">
              <w:lastRenderedPageBreak/>
              <w:t>3.</w:t>
            </w:r>
            <w:r w:rsidRPr="000015B4">
              <w:tab/>
              <w:t xml:space="preserve">Lūdzam skaidri un nepārprotami ietvert Rīkojuma projektā uzdevumu VNĪ nodrošināt, ka attiecīgi 287 082 </w:t>
            </w:r>
            <w:proofErr w:type="spellStart"/>
            <w:r w:rsidRPr="00C815B0">
              <w:rPr>
                <w:i/>
                <w:iCs/>
              </w:rPr>
              <w:t>euro</w:t>
            </w:r>
            <w:proofErr w:type="spellEnd"/>
            <w:r w:rsidRPr="000015B4">
              <w:t xml:space="preserve"> vai 358 852 </w:t>
            </w:r>
            <w:proofErr w:type="spellStart"/>
            <w:r w:rsidRPr="00C815B0">
              <w:rPr>
                <w:i/>
                <w:iCs/>
              </w:rPr>
              <w:t>euro</w:t>
            </w:r>
            <w:proofErr w:type="spellEnd"/>
            <w:r w:rsidRPr="00C815B0">
              <w:rPr>
                <w:i/>
                <w:iCs/>
              </w:rPr>
              <w:t xml:space="preserve"> </w:t>
            </w:r>
            <w:r w:rsidRPr="000015B4">
              <w:t>tiek pārskaitīti valsts budžetā kā UIN.</w:t>
            </w:r>
          </w:p>
        </w:tc>
        <w:tc>
          <w:tcPr>
            <w:tcW w:w="3543" w:type="dxa"/>
          </w:tcPr>
          <w:p w14:paraId="6EAC9594" w14:textId="0BDA57E8" w:rsidR="00D42D20" w:rsidRPr="00AD23A1" w:rsidRDefault="001754D3" w:rsidP="00CE2AC1">
            <w:pPr>
              <w:spacing w:after="60"/>
              <w:jc w:val="both"/>
              <w:rPr>
                <w:bCs/>
              </w:rPr>
            </w:pPr>
            <w:r>
              <w:rPr>
                <w:b/>
              </w:rPr>
              <w:t>Ņemts vērā</w:t>
            </w:r>
            <w:r w:rsidR="00FD0912">
              <w:rPr>
                <w:bCs/>
              </w:rPr>
              <w:t>.</w:t>
            </w:r>
            <w:r w:rsidR="009E7C3A">
              <w:rPr>
                <w:bCs/>
              </w:rPr>
              <w:t xml:space="preserve"> </w:t>
            </w:r>
            <w:r w:rsidR="00C0443A" w:rsidRPr="00AD23A1">
              <w:rPr>
                <w:b/>
              </w:rPr>
              <w:t>Panākta v</w:t>
            </w:r>
            <w:r w:rsidR="00711F48" w:rsidRPr="00AD23A1">
              <w:rPr>
                <w:b/>
              </w:rPr>
              <w:t>ienošanās par rīkojuma projekta redakciju starpministriju (starpinstitūciju) 23.09.2021. sanāksmē</w:t>
            </w:r>
            <w:r w:rsidR="00C0443A" w:rsidRPr="00AD23A1">
              <w:rPr>
                <w:b/>
              </w:rPr>
              <w:t xml:space="preserve">. </w:t>
            </w:r>
          </w:p>
          <w:p w14:paraId="30398516" w14:textId="0EF0875C" w:rsidR="00CD579B" w:rsidRPr="00924B03" w:rsidRDefault="00CD579B" w:rsidP="00CE2AC1">
            <w:pPr>
              <w:spacing w:after="60"/>
              <w:jc w:val="both"/>
              <w:rPr>
                <w:bCs/>
              </w:rPr>
            </w:pPr>
          </w:p>
        </w:tc>
        <w:tc>
          <w:tcPr>
            <w:tcW w:w="2841" w:type="dxa"/>
            <w:gridSpan w:val="2"/>
          </w:tcPr>
          <w:p w14:paraId="29B37795" w14:textId="67ADDD99" w:rsidR="006F37B3" w:rsidRDefault="00D42D20" w:rsidP="00705C1F">
            <w:pPr>
              <w:jc w:val="both"/>
              <w:rPr>
                <w:color w:val="000000"/>
              </w:rPr>
            </w:pPr>
            <w:r>
              <w:rPr>
                <w:color w:val="000000"/>
              </w:rPr>
              <w:t>Skatīt izziņas 1.punktu</w:t>
            </w:r>
          </w:p>
        </w:tc>
      </w:tr>
      <w:tr w:rsidR="006F37B3" w:rsidRPr="00250F2E" w14:paraId="07C3EEB3" w14:textId="77777777" w:rsidTr="003E199E">
        <w:trPr>
          <w:jc w:val="center"/>
        </w:trPr>
        <w:tc>
          <w:tcPr>
            <w:tcW w:w="780" w:type="dxa"/>
          </w:tcPr>
          <w:p w14:paraId="1D716930" w14:textId="145919BC" w:rsidR="006F37B3" w:rsidRDefault="00711F48" w:rsidP="00574917">
            <w:pPr>
              <w:jc w:val="center"/>
              <w:rPr>
                <w:color w:val="000000" w:themeColor="text1"/>
              </w:rPr>
            </w:pPr>
            <w:r>
              <w:rPr>
                <w:color w:val="000000" w:themeColor="text1"/>
              </w:rPr>
              <w:t>10</w:t>
            </w:r>
            <w:r w:rsidR="00A43573">
              <w:rPr>
                <w:color w:val="000000" w:themeColor="text1"/>
              </w:rPr>
              <w:t>.</w:t>
            </w:r>
          </w:p>
        </w:tc>
        <w:tc>
          <w:tcPr>
            <w:tcW w:w="3183" w:type="dxa"/>
            <w:gridSpan w:val="2"/>
          </w:tcPr>
          <w:p w14:paraId="22DD123B" w14:textId="5561B32C" w:rsidR="006F37B3" w:rsidRPr="00C74030" w:rsidRDefault="00C74030" w:rsidP="00A60B69">
            <w:pPr>
              <w:spacing w:after="120"/>
              <w:rPr>
                <w:bCs/>
                <w:color w:val="000000"/>
              </w:rPr>
            </w:pPr>
            <w:r w:rsidRPr="00A43573">
              <w:rPr>
                <w:bCs/>
              </w:rPr>
              <w:t>Rīkojuma projekta nosaukums: “Par atšķirīgu dividendēs izmaksājamo valsts akciju sabiedrības “Valsts nekustamie īpašumi” peļņas daļu par 2020. gada pārskatu”</w:t>
            </w:r>
          </w:p>
        </w:tc>
        <w:tc>
          <w:tcPr>
            <w:tcW w:w="4395" w:type="dxa"/>
            <w:gridSpan w:val="4"/>
          </w:tcPr>
          <w:p w14:paraId="16113954" w14:textId="05A794C7" w:rsidR="006F37B3" w:rsidRPr="008D72A4" w:rsidRDefault="008D72A4" w:rsidP="00A87C1F">
            <w:pPr>
              <w:jc w:val="both"/>
            </w:pPr>
            <w:r w:rsidRPr="008D72A4">
              <w:t>4.</w:t>
            </w:r>
            <w:r w:rsidRPr="008D72A4">
              <w:tab/>
              <w:t>Lūdzam labot rīkojuma projekta nosaukumu, nomainot “peļņas daļu par 2020.gada pārskatu” uz “peļņas daļu par 2020.gadu”.</w:t>
            </w:r>
          </w:p>
        </w:tc>
        <w:tc>
          <w:tcPr>
            <w:tcW w:w="3543" w:type="dxa"/>
          </w:tcPr>
          <w:p w14:paraId="2DD10177" w14:textId="5FECD6E1" w:rsidR="006F37B3" w:rsidRPr="00D609F6" w:rsidRDefault="001754D3" w:rsidP="001754D3">
            <w:pPr>
              <w:spacing w:after="60"/>
              <w:jc w:val="both"/>
              <w:rPr>
                <w:b/>
              </w:rPr>
            </w:pPr>
            <w:r>
              <w:rPr>
                <w:b/>
              </w:rPr>
              <w:t>Ņ</w:t>
            </w:r>
            <w:r w:rsidR="008D72A4" w:rsidRPr="00D609F6">
              <w:rPr>
                <w:b/>
              </w:rPr>
              <w:t>emts vērā</w:t>
            </w:r>
            <w:r w:rsidR="00D609F6">
              <w:rPr>
                <w:b/>
              </w:rPr>
              <w:t>.</w:t>
            </w:r>
          </w:p>
        </w:tc>
        <w:tc>
          <w:tcPr>
            <w:tcW w:w="2841" w:type="dxa"/>
            <w:gridSpan w:val="2"/>
          </w:tcPr>
          <w:p w14:paraId="2E9FDB91" w14:textId="77777777" w:rsidR="006F37B3" w:rsidRDefault="00C74030" w:rsidP="007F4ACA">
            <w:pPr>
              <w:jc w:val="both"/>
              <w:rPr>
                <w:color w:val="000000"/>
              </w:rPr>
            </w:pPr>
            <w:r>
              <w:rPr>
                <w:color w:val="000000"/>
              </w:rPr>
              <w:t>Rīkojuma projekta nosaukums: “</w:t>
            </w:r>
            <w:r w:rsidR="00E15F0F" w:rsidRPr="00E15F0F">
              <w:rPr>
                <w:color w:val="000000"/>
              </w:rPr>
              <w:t>Par atšķirīgu dividendēs izmaksājamo valsts akciju sabiedrības “Valsts nekustamie īpašumi” peļņas daļu par 2020. gadu</w:t>
            </w:r>
            <w:r>
              <w:rPr>
                <w:color w:val="000000"/>
              </w:rPr>
              <w:t>”</w:t>
            </w:r>
            <w:r w:rsidR="001754D3">
              <w:rPr>
                <w:color w:val="000000"/>
              </w:rPr>
              <w:t>.</w:t>
            </w:r>
          </w:p>
          <w:p w14:paraId="463203AD" w14:textId="35CB5BD5" w:rsidR="001754D3" w:rsidRDefault="001754D3" w:rsidP="007F4ACA">
            <w:pPr>
              <w:jc w:val="both"/>
              <w:rPr>
                <w:color w:val="000000"/>
              </w:rPr>
            </w:pPr>
            <w:r>
              <w:rPr>
                <w:color w:val="000000"/>
              </w:rPr>
              <w:t>Precizēta rīkojuma projekta anotācija.</w:t>
            </w:r>
          </w:p>
        </w:tc>
      </w:tr>
      <w:tr w:rsidR="006F37B3" w:rsidRPr="00250F2E" w14:paraId="6E34EA5A" w14:textId="77777777" w:rsidTr="003E199E">
        <w:trPr>
          <w:jc w:val="center"/>
        </w:trPr>
        <w:tc>
          <w:tcPr>
            <w:tcW w:w="780" w:type="dxa"/>
          </w:tcPr>
          <w:p w14:paraId="605A0DED" w14:textId="77777777" w:rsidR="006F37B3" w:rsidRDefault="006F37B3" w:rsidP="00574917">
            <w:pPr>
              <w:jc w:val="center"/>
              <w:rPr>
                <w:color w:val="000000" w:themeColor="text1"/>
              </w:rPr>
            </w:pPr>
          </w:p>
        </w:tc>
        <w:tc>
          <w:tcPr>
            <w:tcW w:w="3183" w:type="dxa"/>
            <w:gridSpan w:val="2"/>
          </w:tcPr>
          <w:p w14:paraId="79D530B5" w14:textId="77777777" w:rsidR="006F37B3" w:rsidRPr="000E729F" w:rsidRDefault="006F37B3" w:rsidP="00A60B69">
            <w:pPr>
              <w:spacing w:after="120"/>
              <w:rPr>
                <w:color w:val="000000"/>
              </w:rPr>
            </w:pPr>
          </w:p>
        </w:tc>
        <w:tc>
          <w:tcPr>
            <w:tcW w:w="4395" w:type="dxa"/>
            <w:gridSpan w:val="4"/>
          </w:tcPr>
          <w:p w14:paraId="0820A065" w14:textId="29D10470" w:rsidR="00131263" w:rsidRPr="00D64BDC" w:rsidRDefault="00131263" w:rsidP="00131263">
            <w:pPr>
              <w:jc w:val="both"/>
              <w:rPr>
                <w:b/>
                <w:bCs/>
              </w:rPr>
            </w:pPr>
            <w:proofErr w:type="spellStart"/>
            <w:r w:rsidRPr="00D64BDC">
              <w:rPr>
                <w:b/>
                <w:bCs/>
              </w:rPr>
              <w:t>Pārresoru</w:t>
            </w:r>
            <w:proofErr w:type="spellEnd"/>
            <w:r w:rsidRPr="00D64BDC">
              <w:rPr>
                <w:b/>
                <w:bCs/>
              </w:rPr>
              <w:t xml:space="preserve"> koordinācijas centra ieteikums:</w:t>
            </w:r>
          </w:p>
          <w:p w14:paraId="66B5F03F" w14:textId="77777777" w:rsidR="00131263" w:rsidRPr="00131263" w:rsidRDefault="00131263" w:rsidP="00131263">
            <w:pPr>
              <w:jc w:val="both"/>
            </w:pPr>
            <w:r w:rsidRPr="00131263">
              <w:t xml:space="preserve">Vēršam uzmanību, ka Ministru kabineta 2021. gada 6. jūlija sēdē tika skatīts Informatīvais ziņojums "Par valsts kapitālsabiedrību rīcībā atstātās peļņas atspoguļošanas kapitālsabiedrības bilances posteņos problemātiku un risinājumiem" un apstiprināts rīkojuma projekta punkts, kas paredz: </w:t>
            </w:r>
          </w:p>
          <w:p w14:paraId="6CCE8B82" w14:textId="77777777" w:rsidR="00131263" w:rsidRPr="00131263" w:rsidRDefault="00131263" w:rsidP="00131263">
            <w:pPr>
              <w:jc w:val="both"/>
            </w:pPr>
            <w:r w:rsidRPr="00131263">
              <w:lastRenderedPageBreak/>
              <w:t>“Valsts kapitālsabiedrību un publiski privāto kapitālsabiedrību valsts kapitāla daļu turētājiem nodrošināt, ka līdz brīdim, kamēr nav stājušies spēkā grozījumi normatīvajos aktos, aprēķinot valstij pienākošās dividendes par 2021.pārskata gadu un turpmākajiem pārskata gadiem, neņem vērā peļņas vai zaudējumu aprēķinā ietverto uzņēmumu ienākuma nodokli, kas aprēķināts par iepriekšējā pārskata gadā aprēķinātajām dividendēm. Gadījumā, ja minētās korekcijas rezultātā valstij izmaksājamās dividendes par iepriekšējo gadu pārsniedz kopējo peļņas apmēru, jautājums par atšķirīgu dividendēs izmaksājamo peļņas daļu skatāms Ministru kabinetā.”</w:t>
            </w:r>
          </w:p>
          <w:p w14:paraId="02BA9A60" w14:textId="4ACAE646" w:rsidR="006F37B3" w:rsidRPr="00131263" w:rsidRDefault="00131263" w:rsidP="00131263">
            <w:pPr>
              <w:jc w:val="both"/>
            </w:pPr>
            <w:r w:rsidRPr="00131263">
              <w:tab/>
              <w:t>Līdz ar to, neatkarīgi no grāmatvedības metodikas, kas izvēlēta VNĪ, aprēķinot dividendes par 2021.gadu, būs jāveic korekcijas un jāaprēķina dividendes no pilnas peļņas, nesamazinot to nomaksātā UIN apmērā. Aicinām ņemt vērā minēto, lai nesarežģītu grāmatvedības aprēķinus.</w:t>
            </w:r>
          </w:p>
        </w:tc>
        <w:tc>
          <w:tcPr>
            <w:tcW w:w="3543" w:type="dxa"/>
          </w:tcPr>
          <w:p w14:paraId="3852A48D" w14:textId="77777777" w:rsidR="005F52AE" w:rsidRPr="00D64BDC" w:rsidRDefault="005F52AE" w:rsidP="00A87C1F">
            <w:pPr>
              <w:spacing w:after="60"/>
              <w:jc w:val="both"/>
              <w:rPr>
                <w:b/>
              </w:rPr>
            </w:pPr>
            <w:r w:rsidRPr="00D64BDC">
              <w:rPr>
                <w:b/>
              </w:rPr>
              <w:lastRenderedPageBreak/>
              <w:t>Ierosinājums ir izvērtēts.</w:t>
            </w:r>
          </w:p>
          <w:p w14:paraId="4BC109D9" w14:textId="60210E3B" w:rsidR="006F37B3" w:rsidRPr="00924B03" w:rsidRDefault="005F52AE" w:rsidP="002323F3">
            <w:pPr>
              <w:spacing w:after="60"/>
              <w:jc w:val="both"/>
              <w:rPr>
                <w:bCs/>
              </w:rPr>
            </w:pPr>
            <w:r w:rsidRPr="00D64BDC">
              <w:rPr>
                <w:bCs/>
              </w:rPr>
              <w:t>Ierosinām</w:t>
            </w:r>
            <w:r w:rsidR="00A47BB2" w:rsidRPr="00D64BDC">
              <w:rPr>
                <w:bCs/>
              </w:rPr>
              <w:t>, ka,</w:t>
            </w:r>
            <w:r w:rsidRPr="00D64BDC">
              <w:rPr>
                <w:bCs/>
              </w:rPr>
              <w:t xml:space="preserve"> i</w:t>
            </w:r>
            <w:r w:rsidR="00A47BB2" w:rsidRPr="00D64BDC">
              <w:rPr>
                <w:bCs/>
              </w:rPr>
              <w:t>zstrādājot</w:t>
            </w:r>
            <w:r w:rsidRPr="00D64BDC">
              <w:rPr>
                <w:bCs/>
              </w:rPr>
              <w:t xml:space="preserve"> </w:t>
            </w:r>
            <w:r w:rsidR="002323F3">
              <w:t>grozījumus</w:t>
            </w:r>
            <w:r w:rsidR="002323F3" w:rsidRPr="00131263">
              <w:t xml:space="preserve"> normatīvajos aktos</w:t>
            </w:r>
            <w:r w:rsidR="002323F3">
              <w:rPr>
                <w:bCs/>
              </w:rPr>
              <w:t xml:space="preserve">, </w:t>
            </w:r>
            <w:r w:rsidR="00A47BB2" w:rsidRPr="00D64BDC">
              <w:rPr>
                <w:bCs/>
              </w:rPr>
              <w:t xml:space="preserve">tiek </w:t>
            </w:r>
            <w:r w:rsidRPr="00D64BDC">
              <w:rPr>
                <w:bCs/>
              </w:rPr>
              <w:t>paredzēt</w:t>
            </w:r>
            <w:r w:rsidR="00A47BB2" w:rsidRPr="00D64BDC">
              <w:rPr>
                <w:bCs/>
              </w:rPr>
              <w:t>s</w:t>
            </w:r>
            <w:r w:rsidRPr="00D64BDC">
              <w:rPr>
                <w:bCs/>
              </w:rPr>
              <w:t>, ka gadījumā, ja kapitālsabiedrība maksā UIN “papildus” noteiktajai peļņas daļai par valsts kapitāla izmantošanu</w:t>
            </w:r>
            <w:r w:rsidR="00A47BB2" w:rsidRPr="00D64BDC">
              <w:rPr>
                <w:bCs/>
              </w:rPr>
              <w:t>,</w:t>
            </w:r>
            <w:r w:rsidRPr="00D64BDC">
              <w:rPr>
                <w:bCs/>
              </w:rPr>
              <w:t xml:space="preserve"> (nevis “ietverot”), peļņas korekcija nav jāveic.</w:t>
            </w:r>
          </w:p>
        </w:tc>
        <w:tc>
          <w:tcPr>
            <w:tcW w:w="2841" w:type="dxa"/>
            <w:gridSpan w:val="2"/>
          </w:tcPr>
          <w:p w14:paraId="47A3B3C8" w14:textId="77777777" w:rsidR="006F37B3" w:rsidRDefault="006F37B3" w:rsidP="007F4ACA">
            <w:pPr>
              <w:jc w:val="both"/>
              <w:rPr>
                <w:color w:val="000000"/>
              </w:rPr>
            </w:pPr>
          </w:p>
        </w:tc>
      </w:tr>
      <w:tr w:rsidR="002E6434" w:rsidRPr="00F33109" w14:paraId="0D24E838" w14:textId="77777777" w:rsidTr="003E1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2841" w:type="dxa"/>
          <w:jc w:val="center"/>
        </w:trPr>
        <w:tc>
          <w:tcPr>
            <w:tcW w:w="3740" w:type="dxa"/>
            <w:gridSpan w:val="2"/>
          </w:tcPr>
          <w:p w14:paraId="00C10D9E" w14:textId="77777777" w:rsidR="00D022A1" w:rsidRDefault="00D022A1" w:rsidP="002E6434">
            <w:pPr>
              <w:pStyle w:val="naiskr"/>
              <w:spacing w:before="0" w:after="0"/>
              <w:jc w:val="center"/>
            </w:pPr>
          </w:p>
          <w:p w14:paraId="0AB1E16B" w14:textId="79FD2D55" w:rsidR="002E6434" w:rsidRPr="00250F2E" w:rsidRDefault="002E6434" w:rsidP="002E6434">
            <w:pPr>
              <w:pStyle w:val="naiskr"/>
              <w:spacing w:before="0" w:after="0"/>
              <w:jc w:val="center"/>
            </w:pPr>
            <w:r w:rsidRPr="00250F2E">
              <w:t>Atbildīgā amatpersona</w:t>
            </w:r>
          </w:p>
        </w:tc>
        <w:tc>
          <w:tcPr>
            <w:tcW w:w="3741" w:type="dxa"/>
            <w:gridSpan w:val="3"/>
          </w:tcPr>
          <w:p w14:paraId="65216C02" w14:textId="77777777" w:rsidR="002E6434" w:rsidRPr="00F33109" w:rsidRDefault="002E6434" w:rsidP="002E6434">
            <w:pPr>
              <w:pStyle w:val="naiskr"/>
              <w:spacing w:before="0" w:after="0"/>
              <w:jc w:val="both"/>
              <w:rPr>
                <w:sz w:val="16"/>
                <w:szCs w:val="16"/>
              </w:rPr>
            </w:pPr>
          </w:p>
        </w:tc>
        <w:tc>
          <w:tcPr>
            <w:tcW w:w="4420" w:type="dxa"/>
            <w:gridSpan w:val="3"/>
          </w:tcPr>
          <w:p w14:paraId="4E397406" w14:textId="77777777" w:rsidR="002E6434" w:rsidRPr="00F33109" w:rsidRDefault="002E6434" w:rsidP="002E6434">
            <w:pPr>
              <w:pStyle w:val="naiskr"/>
              <w:spacing w:before="0" w:after="0"/>
              <w:ind w:firstLine="720"/>
              <w:jc w:val="both"/>
              <w:rPr>
                <w:sz w:val="16"/>
                <w:szCs w:val="16"/>
              </w:rPr>
            </w:pPr>
          </w:p>
        </w:tc>
      </w:tr>
      <w:tr w:rsidR="002E6434" w:rsidRPr="00F33109" w14:paraId="217F9672" w14:textId="77777777" w:rsidTr="003E1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2841" w:type="dxa"/>
          <w:jc w:val="center"/>
        </w:trPr>
        <w:tc>
          <w:tcPr>
            <w:tcW w:w="3740" w:type="dxa"/>
            <w:gridSpan w:val="2"/>
          </w:tcPr>
          <w:p w14:paraId="5BED5E3F" w14:textId="77777777" w:rsidR="002E6434" w:rsidRPr="00B264A4" w:rsidRDefault="002E6434" w:rsidP="002E6434">
            <w:pPr>
              <w:pStyle w:val="naiskr"/>
              <w:spacing w:before="0" w:after="0"/>
              <w:jc w:val="center"/>
              <w:rPr>
                <w:sz w:val="16"/>
                <w:szCs w:val="16"/>
              </w:rPr>
            </w:pPr>
          </w:p>
        </w:tc>
        <w:tc>
          <w:tcPr>
            <w:tcW w:w="3741" w:type="dxa"/>
            <w:gridSpan w:val="3"/>
          </w:tcPr>
          <w:p w14:paraId="3C456FAD" w14:textId="77777777" w:rsidR="002E6434" w:rsidRPr="00B264A4" w:rsidRDefault="002E6434" w:rsidP="002E6434">
            <w:pPr>
              <w:pStyle w:val="naiskr"/>
              <w:spacing w:before="0" w:after="0"/>
              <w:ind w:firstLine="720"/>
              <w:jc w:val="both"/>
              <w:rPr>
                <w:sz w:val="16"/>
                <w:szCs w:val="16"/>
              </w:rPr>
            </w:pPr>
          </w:p>
        </w:tc>
        <w:tc>
          <w:tcPr>
            <w:tcW w:w="4420" w:type="dxa"/>
            <w:gridSpan w:val="3"/>
          </w:tcPr>
          <w:p w14:paraId="4EDA230D" w14:textId="77777777" w:rsidR="002E6434" w:rsidRPr="00B264A4" w:rsidRDefault="002E6434" w:rsidP="002E6434">
            <w:pPr>
              <w:pStyle w:val="naiskr"/>
              <w:spacing w:before="0" w:after="0"/>
              <w:ind w:firstLine="720"/>
              <w:jc w:val="both"/>
              <w:rPr>
                <w:sz w:val="16"/>
                <w:szCs w:val="16"/>
              </w:rPr>
            </w:pPr>
          </w:p>
        </w:tc>
      </w:tr>
      <w:tr w:rsidR="002E6434" w:rsidRPr="00250F2E" w14:paraId="07B1A840" w14:textId="77777777" w:rsidTr="003E1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2841" w:type="dxa"/>
          <w:jc w:val="center"/>
        </w:trPr>
        <w:tc>
          <w:tcPr>
            <w:tcW w:w="3740" w:type="dxa"/>
            <w:gridSpan w:val="2"/>
          </w:tcPr>
          <w:p w14:paraId="36BB5C65" w14:textId="77777777" w:rsidR="002E6434" w:rsidRPr="00250F2E" w:rsidRDefault="002E6434" w:rsidP="002E6434">
            <w:pPr>
              <w:pStyle w:val="naiskr"/>
              <w:spacing w:before="0" w:after="0"/>
              <w:ind w:firstLine="720"/>
              <w:jc w:val="center"/>
            </w:pPr>
          </w:p>
        </w:tc>
        <w:tc>
          <w:tcPr>
            <w:tcW w:w="3741" w:type="dxa"/>
            <w:gridSpan w:val="3"/>
            <w:tcBorders>
              <w:top w:val="single" w:sz="6" w:space="0" w:color="000000"/>
            </w:tcBorders>
          </w:tcPr>
          <w:p w14:paraId="4CD46562" w14:textId="77777777" w:rsidR="002E6434" w:rsidRPr="00250F2E" w:rsidRDefault="002E6434" w:rsidP="002E6434">
            <w:pPr>
              <w:pStyle w:val="naisc"/>
              <w:spacing w:before="0" w:after="0"/>
              <w:ind w:firstLine="720"/>
              <w:jc w:val="both"/>
            </w:pPr>
            <w:r w:rsidRPr="00250F2E">
              <w:t>(paraksts)*</w:t>
            </w:r>
          </w:p>
        </w:tc>
        <w:tc>
          <w:tcPr>
            <w:tcW w:w="4420" w:type="dxa"/>
            <w:gridSpan w:val="3"/>
            <w:tcBorders>
              <w:top w:val="single" w:sz="6" w:space="0" w:color="000000"/>
            </w:tcBorders>
          </w:tcPr>
          <w:p w14:paraId="0B424083" w14:textId="77777777" w:rsidR="002E6434" w:rsidRPr="00250F2E" w:rsidRDefault="002E6434" w:rsidP="002E6434">
            <w:pPr>
              <w:pStyle w:val="naisc"/>
              <w:spacing w:before="0" w:after="0"/>
              <w:ind w:firstLine="720"/>
              <w:jc w:val="both"/>
            </w:pPr>
          </w:p>
        </w:tc>
      </w:tr>
    </w:tbl>
    <w:p w14:paraId="45905DBD" w14:textId="77777777" w:rsidR="009F1F3B" w:rsidRPr="00250F2E" w:rsidRDefault="009F1F3B" w:rsidP="00297AF3">
      <w:pPr>
        <w:pStyle w:val="naisf"/>
        <w:spacing w:before="0" w:after="0"/>
        <w:ind w:firstLine="0"/>
        <w:rPr>
          <w:sz w:val="20"/>
          <w:szCs w:val="20"/>
        </w:rPr>
      </w:pPr>
      <w:r w:rsidRPr="00250F2E">
        <w:rPr>
          <w:sz w:val="20"/>
          <w:szCs w:val="20"/>
        </w:rPr>
        <w:t>Piezīme. * Dokumenta rekvizītu "paraksts" neaizpilda, ja elektroniskais dokuments ir sagatavots atbilstoši normatīvajiem aktiem par elektronisko dokumentu noformēšanu.</w:t>
      </w:r>
    </w:p>
    <w:p w14:paraId="4E69083B" w14:textId="77777777" w:rsidR="009F1F3B" w:rsidRPr="00250F2E" w:rsidRDefault="009F1F3B" w:rsidP="00297AF3">
      <w:pPr>
        <w:jc w:val="both"/>
        <w:rPr>
          <w:sz w:val="16"/>
          <w:szCs w:val="16"/>
        </w:rPr>
      </w:pPr>
    </w:p>
    <w:p w14:paraId="053B4C21" w14:textId="77777777" w:rsidR="00B65646" w:rsidRDefault="00B65646" w:rsidP="00B65646">
      <w:r>
        <w:t>Ojārs Valkers</w:t>
      </w:r>
    </w:p>
    <w:tbl>
      <w:tblPr>
        <w:tblW w:w="8268" w:type="dxa"/>
        <w:tblCellMar>
          <w:left w:w="10" w:type="dxa"/>
          <w:right w:w="10" w:type="dxa"/>
        </w:tblCellMar>
        <w:tblLook w:val="0000" w:firstRow="0" w:lastRow="0" w:firstColumn="0" w:lastColumn="0" w:noHBand="0" w:noVBand="0"/>
      </w:tblPr>
      <w:tblGrid>
        <w:gridCol w:w="8268"/>
      </w:tblGrid>
      <w:tr w:rsidR="00B65646" w14:paraId="29CD03E5"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4EE42FEE" w14:textId="77777777" w:rsidR="00B65646" w:rsidRDefault="00B65646" w:rsidP="00EC2C41">
            <w:r>
              <w:t>(par projektu atbildīgās amatpersonas vārds un uzvārds)</w:t>
            </w:r>
          </w:p>
          <w:p w14:paraId="230FA22B" w14:textId="77777777" w:rsidR="00B65646" w:rsidRDefault="00B65646" w:rsidP="00EC2C41"/>
        </w:tc>
      </w:tr>
      <w:tr w:rsidR="00B65646" w14:paraId="625FC581"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91B2B7A" w14:textId="77777777" w:rsidR="00B65646" w:rsidRDefault="00B65646" w:rsidP="00EC2C41">
            <w:r>
              <w:t>Valsts akciju sabiedrības “Valsts nekustamie īpašumi” izpilddirektors</w:t>
            </w:r>
          </w:p>
        </w:tc>
      </w:tr>
      <w:tr w:rsidR="00B65646" w14:paraId="2B2978B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0F28CC12" w14:textId="77777777" w:rsidR="00B65646" w:rsidRDefault="00B65646" w:rsidP="00EC2C41">
            <w:r>
              <w:t>(amats)</w:t>
            </w:r>
          </w:p>
        </w:tc>
      </w:tr>
      <w:tr w:rsidR="00B65646" w14:paraId="09494B9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71093529" w14:textId="77777777" w:rsidR="00B65646" w:rsidRDefault="00B65646" w:rsidP="00EC2C41"/>
        </w:tc>
      </w:tr>
      <w:tr w:rsidR="00B65646" w14:paraId="0DBA4434"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5BE50C9C" w14:textId="77777777" w:rsidR="00B65646" w:rsidRDefault="00B65646" w:rsidP="00EC2C41">
            <w:r>
              <w:lastRenderedPageBreak/>
              <w:t>(tālruņa un faksa numurs)</w:t>
            </w:r>
          </w:p>
          <w:p w14:paraId="7D219E13" w14:textId="77777777" w:rsidR="00B65646" w:rsidRDefault="00B65646" w:rsidP="00EC2C41"/>
        </w:tc>
      </w:tr>
      <w:tr w:rsidR="00B65646" w14:paraId="0483088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DD737C3" w14:textId="77777777" w:rsidR="00B65646" w:rsidRDefault="00B65646" w:rsidP="00EC2C41">
            <w:r>
              <w:t>Ojars.Valkers@vni.lv</w:t>
            </w:r>
          </w:p>
        </w:tc>
      </w:tr>
      <w:tr w:rsidR="00B65646" w14:paraId="03AB360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31EA46CF" w14:textId="77777777" w:rsidR="00B65646" w:rsidRDefault="00B65646" w:rsidP="00EC2C41">
            <w:r>
              <w:t>(e-pasta adrese)</w:t>
            </w:r>
          </w:p>
        </w:tc>
      </w:tr>
    </w:tbl>
    <w:p w14:paraId="2CC5C9BE" w14:textId="77777777" w:rsidR="0023742E" w:rsidRDefault="0023742E" w:rsidP="00297AF3">
      <w:pPr>
        <w:rPr>
          <w:bCs/>
          <w:sz w:val="20"/>
          <w:szCs w:val="20"/>
        </w:rPr>
      </w:pPr>
    </w:p>
    <w:p w14:paraId="2F26F842" w14:textId="77777777" w:rsidR="0023742E" w:rsidRDefault="0023742E" w:rsidP="00297AF3">
      <w:pPr>
        <w:rPr>
          <w:bCs/>
          <w:sz w:val="20"/>
          <w:szCs w:val="20"/>
        </w:rPr>
      </w:pPr>
    </w:p>
    <w:p w14:paraId="2E6DA0D7" w14:textId="050ED6F2" w:rsidR="009F1F3B" w:rsidRPr="006764D1" w:rsidRDefault="0028411D" w:rsidP="00297AF3">
      <w:pPr>
        <w:rPr>
          <w:bCs/>
          <w:sz w:val="20"/>
          <w:szCs w:val="20"/>
        </w:rPr>
      </w:pPr>
      <w:r w:rsidRPr="006764D1">
        <w:rPr>
          <w:bCs/>
          <w:sz w:val="20"/>
          <w:szCs w:val="20"/>
        </w:rPr>
        <w:t>Līga Rozenberga</w:t>
      </w:r>
    </w:p>
    <w:p w14:paraId="6F0C59CA" w14:textId="257EF24C" w:rsidR="009F1F3B" w:rsidRPr="006764D1" w:rsidRDefault="0028411D" w:rsidP="00297AF3">
      <w:pPr>
        <w:rPr>
          <w:bCs/>
          <w:sz w:val="20"/>
          <w:szCs w:val="20"/>
        </w:rPr>
      </w:pPr>
      <w:r w:rsidRPr="006764D1">
        <w:rPr>
          <w:sz w:val="20"/>
          <w:szCs w:val="20"/>
        </w:rPr>
        <w:t>VNĪ Tiesību aktu daļas tiesību aktu speciāliste</w:t>
      </w:r>
    </w:p>
    <w:p w14:paraId="68B82830" w14:textId="5E10406D" w:rsidR="0028411D" w:rsidRPr="006764D1" w:rsidRDefault="009F1F3B" w:rsidP="00297AF3">
      <w:pPr>
        <w:rPr>
          <w:rStyle w:val="Emphasis"/>
          <w:bCs/>
          <w:i w:val="0"/>
          <w:sz w:val="20"/>
          <w:szCs w:val="20"/>
        </w:rPr>
      </w:pPr>
      <w:r w:rsidRPr="006764D1">
        <w:rPr>
          <w:rStyle w:val="Emphasis"/>
          <w:bCs/>
          <w:i w:val="0"/>
          <w:sz w:val="20"/>
          <w:szCs w:val="20"/>
        </w:rPr>
        <w:t xml:space="preserve">tālr. </w:t>
      </w:r>
      <w:r w:rsidR="006764D1" w:rsidRPr="006764D1">
        <w:rPr>
          <w:rStyle w:val="Emphasis"/>
          <w:bCs/>
          <w:i w:val="0"/>
          <w:sz w:val="20"/>
          <w:szCs w:val="20"/>
        </w:rPr>
        <w:t>22046774</w:t>
      </w:r>
    </w:p>
    <w:p w14:paraId="60B04D28" w14:textId="21F81111" w:rsidR="006764D1" w:rsidRDefault="00A953BB" w:rsidP="00297AF3">
      <w:pPr>
        <w:rPr>
          <w:rStyle w:val="Hyperlink"/>
          <w:bCs/>
          <w:sz w:val="20"/>
          <w:szCs w:val="20"/>
        </w:rPr>
      </w:pPr>
      <w:hyperlink r:id="rId11" w:history="1">
        <w:r w:rsidR="006764D1" w:rsidRPr="006764D1">
          <w:rPr>
            <w:rStyle w:val="Hyperlink"/>
            <w:bCs/>
            <w:sz w:val="20"/>
            <w:szCs w:val="20"/>
          </w:rPr>
          <w:t>Liga.Rozenberga@vni.lv</w:t>
        </w:r>
      </w:hyperlink>
    </w:p>
    <w:p w14:paraId="44B36C21" w14:textId="3247F53F" w:rsidR="005A08CA" w:rsidRDefault="005A08CA" w:rsidP="00297AF3">
      <w:pPr>
        <w:rPr>
          <w:rStyle w:val="Hyperlink"/>
          <w:bCs/>
          <w:sz w:val="20"/>
          <w:szCs w:val="20"/>
        </w:rPr>
      </w:pPr>
    </w:p>
    <w:p w14:paraId="0D9841C4" w14:textId="15EAFC47" w:rsidR="005A08CA" w:rsidRPr="001E3420" w:rsidRDefault="005A08CA" w:rsidP="00297AF3">
      <w:pPr>
        <w:rPr>
          <w:rStyle w:val="Hyperlink"/>
          <w:bCs/>
          <w:color w:val="auto"/>
          <w:sz w:val="20"/>
          <w:szCs w:val="20"/>
          <w:u w:val="none"/>
        </w:rPr>
      </w:pPr>
      <w:r w:rsidRPr="001E3420">
        <w:rPr>
          <w:rStyle w:val="Hyperlink"/>
          <w:bCs/>
          <w:color w:val="auto"/>
          <w:sz w:val="20"/>
          <w:szCs w:val="20"/>
          <w:u w:val="none"/>
        </w:rPr>
        <w:t>Jānis Urtāns</w:t>
      </w:r>
    </w:p>
    <w:p w14:paraId="72DCE36A" w14:textId="29F1C95B" w:rsidR="005A08CA" w:rsidRPr="001E3420" w:rsidRDefault="005A08CA" w:rsidP="00297AF3">
      <w:pPr>
        <w:rPr>
          <w:rStyle w:val="Hyperlink"/>
          <w:bCs/>
          <w:color w:val="auto"/>
          <w:sz w:val="20"/>
          <w:szCs w:val="20"/>
          <w:u w:val="none"/>
        </w:rPr>
      </w:pPr>
      <w:r w:rsidRPr="001E3420">
        <w:rPr>
          <w:rStyle w:val="Hyperlink"/>
          <w:bCs/>
          <w:color w:val="auto"/>
          <w:sz w:val="20"/>
          <w:szCs w:val="20"/>
          <w:u w:val="none"/>
        </w:rPr>
        <w:t xml:space="preserve">VNĪ Finanšu </w:t>
      </w:r>
      <w:r w:rsidR="006B47FF" w:rsidRPr="001E3420">
        <w:rPr>
          <w:rStyle w:val="Hyperlink"/>
          <w:bCs/>
          <w:color w:val="auto"/>
          <w:sz w:val="20"/>
          <w:szCs w:val="20"/>
          <w:u w:val="none"/>
        </w:rPr>
        <w:t>pārvaldes direktors</w:t>
      </w:r>
    </w:p>
    <w:p w14:paraId="3BC65F95" w14:textId="0E01D2E7" w:rsidR="006B47FF" w:rsidRPr="001E3420" w:rsidRDefault="006B47FF" w:rsidP="00297AF3">
      <w:pPr>
        <w:rPr>
          <w:rStyle w:val="Hyperlink"/>
          <w:bCs/>
          <w:color w:val="auto"/>
          <w:sz w:val="20"/>
          <w:szCs w:val="20"/>
          <w:u w:val="none"/>
        </w:rPr>
      </w:pPr>
      <w:r w:rsidRPr="001E3420">
        <w:rPr>
          <w:rStyle w:val="Hyperlink"/>
          <w:bCs/>
          <w:color w:val="auto"/>
          <w:sz w:val="20"/>
          <w:szCs w:val="20"/>
          <w:u w:val="none"/>
        </w:rPr>
        <w:t>Tālr.</w:t>
      </w:r>
      <w:r w:rsidR="001E3420" w:rsidRPr="001E3420">
        <w:t xml:space="preserve"> </w:t>
      </w:r>
      <w:r w:rsidR="001E3420" w:rsidRPr="001E3420">
        <w:rPr>
          <w:rStyle w:val="Hyperlink"/>
          <w:bCs/>
          <w:color w:val="auto"/>
          <w:sz w:val="20"/>
          <w:szCs w:val="20"/>
          <w:u w:val="none"/>
        </w:rPr>
        <w:t>29119215</w:t>
      </w:r>
    </w:p>
    <w:p w14:paraId="77049FD0" w14:textId="6B52A5E9" w:rsidR="001E3420" w:rsidRDefault="00A953BB" w:rsidP="00297AF3">
      <w:pPr>
        <w:rPr>
          <w:rStyle w:val="Hyperlink"/>
          <w:bCs/>
          <w:color w:val="auto"/>
          <w:sz w:val="20"/>
          <w:szCs w:val="20"/>
          <w:u w:val="none"/>
        </w:rPr>
      </w:pPr>
      <w:hyperlink r:id="rId12" w:history="1">
        <w:r w:rsidR="001E3420" w:rsidRPr="00CF54A1">
          <w:rPr>
            <w:rStyle w:val="Hyperlink"/>
            <w:bCs/>
            <w:sz w:val="20"/>
            <w:szCs w:val="20"/>
          </w:rPr>
          <w:t>Janis.Urtans@vni.lv</w:t>
        </w:r>
      </w:hyperlink>
    </w:p>
    <w:p w14:paraId="7F53B83F" w14:textId="77777777" w:rsidR="001E3420" w:rsidRPr="001E3420" w:rsidRDefault="001E3420" w:rsidP="00297AF3">
      <w:pPr>
        <w:rPr>
          <w:sz w:val="23"/>
          <w:szCs w:val="23"/>
        </w:rPr>
      </w:pPr>
    </w:p>
    <w:sectPr w:rsidR="001E3420" w:rsidRPr="001E3420" w:rsidSect="00C342EE">
      <w:headerReference w:type="even" r:id="rId13"/>
      <w:headerReference w:type="default" r:id="rId14"/>
      <w:footerReference w:type="default" r:id="rId15"/>
      <w:footerReference w:type="first" r:id="rId16"/>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B9E1" w14:textId="77777777" w:rsidR="00E857B6" w:rsidRDefault="00E857B6">
      <w:r>
        <w:separator/>
      </w:r>
    </w:p>
  </w:endnote>
  <w:endnote w:type="continuationSeparator" w:id="0">
    <w:p w14:paraId="338285C0" w14:textId="77777777" w:rsidR="00E857B6" w:rsidRDefault="00E857B6">
      <w:r>
        <w:continuationSeparator/>
      </w:r>
    </w:p>
  </w:endnote>
  <w:endnote w:type="continuationNotice" w:id="1">
    <w:p w14:paraId="3095ED60" w14:textId="77777777" w:rsidR="00E857B6" w:rsidRDefault="00E85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7DF2" w14:textId="79963FBE" w:rsidR="00565635" w:rsidRDefault="006F5700" w:rsidP="00EF767D">
    <w:pPr>
      <w:pStyle w:val="Footer"/>
      <w:rPr>
        <w:sz w:val="20"/>
        <w:szCs w:val="20"/>
      </w:rPr>
    </w:pPr>
    <w:r>
      <w:rPr>
        <w:sz w:val="20"/>
        <w:szCs w:val="20"/>
      </w:rPr>
      <w:t>FMIzz_</w:t>
    </w:r>
    <w:r w:rsidR="00A56CC5">
      <w:rPr>
        <w:sz w:val="20"/>
        <w:szCs w:val="20"/>
      </w:rPr>
      <w:t>1</w:t>
    </w:r>
    <w:r w:rsidR="006F6FB8">
      <w:rPr>
        <w:sz w:val="20"/>
        <w:szCs w:val="20"/>
      </w:rPr>
      <w:t>8</w:t>
    </w:r>
    <w:r w:rsidR="00A56CC5">
      <w:rPr>
        <w:sz w:val="20"/>
        <w:szCs w:val="20"/>
      </w:rPr>
      <w:t>10</w:t>
    </w:r>
    <w:r w:rsidR="0045070D">
      <w:rPr>
        <w:sz w:val="20"/>
        <w:szCs w:val="20"/>
      </w:rPr>
      <w:t>21_VNIdivid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E910" w14:textId="3F5FC5FE" w:rsidR="00565635" w:rsidRDefault="006F5700" w:rsidP="001E38A0">
    <w:pPr>
      <w:pStyle w:val="Footer"/>
      <w:rPr>
        <w:sz w:val="20"/>
        <w:szCs w:val="20"/>
      </w:rPr>
    </w:pPr>
    <w:r>
      <w:rPr>
        <w:sz w:val="20"/>
        <w:szCs w:val="20"/>
      </w:rPr>
      <w:t>FMIzz_</w:t>
    </w:r>
    <w:r w:rsidR="00A56CC5">
      <w:rPr>
        <w:sz w:val="20"/>
        <w:szCs w:val="20"/>
      </w:rPr>
      <w:t>1</w:t>
    </w:r>
    <w:r w:rsidR="006F6FB8">
      <w:rPr>
        <w:sz w:val="20"/>
        <w:szCs w:val="20"/>
      </w:rPr>
      <w:t>8</w:t>
    </w:r>
    <w:r w:rsidR="00A56CC5">
      <w:rPr>
        <w:sz w:val="20"/>
        <w:szCs w:val="20"/>
      </w:rPr>
      <w:t>10</w:t>
    </w:r>
    <w:r w:rsidR="0045070D">
      <w:rPr>
        <w:sz w:val="20"/>
        <w:szCs w:val="20"/>
      </w:rPr>
      <w:t>21_VNIdivid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A68F1" w14:textId="77777777" w:rsidR="00E857B6" w:rsidRDefault="00E857B6">
      <w:r>
        <w:separator/>
      </w:r>
    </w:p>
  </w:footnote>
  <w:footnote w:type="continuationSeparator" w:id="0">
    <w:p w14:paraId="70E71A2E" w14:textId="77777777" w:rsidR="00E857B6" w:rsidRDefault="00E857B6">
      <w:r>
        <w:continuationSeparator/>
      </w:r>
    </w:p>
  </w:footnote>
  <w:footnote w:type="continuationNotice" w:id="1">
    <w:p w14:paraId="0CB0DA4F" w14:textId="77777777" w:rsidR="00E857B6" w:rsidRDefault="00E85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4275" w14:textId="4FF59478"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70037">
      <w:rPr>
        <w:rStyle w:val="PageNumber"/>
        <w:noProof/>
      </w:rPr>
      <w:t>9</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4"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2"/>
  </w:num>
  <w:num w:numId="8">
    <w:abstractNumId w:val="16"/>
  </w:num>
  <w:num w:numId="9">
    <w:abstractNumId w:val="20"/>
  </w:num>
  <w:num w:numId="10">
    <w:abstractNumId w:val="7"/>
  </w:num>
  <w:num w:numId="11">
    <w:abstractNumId w:val="8"/>
  </w:num>
  <w:num w:numId="12">
    <w:abstractNumId w:val="24"/>
  </w:num>
  <w:num w:numId="13">
    <w:abstractNumId w:val="2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2"/>
  </w:num>
  <w:num w:numId="19">
    <w:abstractNumId w:val="9"/>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15B4"/>
    <w:rsid w:val="000021AB"/>
    <w:rsid w:val="00005250"/>
    <w:rsid w:val="000062E9"/>
    <w:rsid w:val="0000636B"/>
    <w:rsid w:val="000064C8"/>
    <w:rsid w:val="00006A54"/>
    <w:rsid w:val="0000720D"/>
    <w:rsid w:val="000105B2"/>
    <w:rsid w:val="000119A1"/>
    <w:rsid w:val="000135DC"/>
    <w:rsid w:val="00014691"/>
    <w:rsid w:val="00015D88"/>
    <w:rsid w:val="00021378"/>
    <w:rsid w:val="0002163F"/>
    <w:rsid w:val="00021FCD"/>
    <w:rsid w:val="00025F6C"/>
    <w:rsid w:val="000264BE"/>
    <w:rsid w:val="00031482"/>
    <w:rsid w:val="00033013"/>
    <w:rsid w:val="00037AB3"/>
    <w:rsid w:val="00037F04"/>
    <w:rsid w:val="000416E5"/>
    <w:rsid w:val="00043FFF"/>
    <w:rsid w:val="00044048"/>
    <w:rsid w:val="0004610A"/>
    <w:rsid w:val="0004620D"/>
    <w:rsid w:val="0004671F"/>
    <w:rsid w:val="00050018"/>
    <w:rsid w:val="00051CC6"/>
    <w:rsid w:val="000534DE"/>
    <w:rsid w:val="00054A8A"/>
    <w:rsid w:val="00056916"/>
    <w:rsid w:val="00060B9D"/>
    <w:rsid w:val="00060BFD"/>
    <w:rsid w:val="000625F0"/>
    <w:rsid w:val="00062845"/>
    <w:rsid w:val="0006592E"/>
    <w:rsid w:val="00070B17"/>
    <w:rsid w:val="00070F69"/>
    <w:rsid w:val="00072035"/>
    <w:rsid w:val="0007538B"/>
    <w:rsid w:val="0007668E"/>
    <w:rsid w:val="00076C00"/>
    <w:rsid w:val="00077735"/>
    <w:rsid w:val="0008018C"/>
    <w:rsid w:val="000813C9"/>
    <w:rsid w:val="00081780"/>
    <w:rsid w:val="00082A73"/>
    <w:rsid w:val="00084571"/>
    <w:rsid w:val="00087FF4"/>
    <w:rsid w:val="00090793"/>
    <w:rsid w:val="00091A1B"/>
    <w:rsid w:val="00092D3A"/>
    <w:rsid w:val="0009335C"/>
    <w:rsid w:val="0009362A"/>
    <w:rsid w:val="0009458C"/>
    <w:rsid w:val="000951D4"/>
    <w:rsid w:val="00096939"/>
    <w:rsid w:val="000A005B"/>
    <w:rsid w:val="000A101F"/>
    <w:rsid w:val="000A5C40"/>
    <w:rsid w:val="000B327C"/>
    <w:rsid w:val="000B5DE2"/>
    <w:rsid w:val="000B78A0"/>
    <w:rsid w:val="000C10BD"/>
    <w:rsid w:val="000C2DBC"/>
    <w:rsid w:val="000C4A3E"/>
    <w:rsid w:val="000C53E9"/>
    <w:rsid w:val="000C5518"/>
    <w:rsid w:val="000C76E7"/>
    <w:rsid w:val="000D02B5"/>
    <w:rsid w:val="000D2F97"/>
    <w:rsid w:val="000D4628"/>
    <w:rsid w:val="000D7BA6"/>
    <w:rsid w:val="000E0939"/>
    <w:rsid w:val="000E1E39"/>
    <w:rsid w:val="000E2B82"/>
    <w:rsid w:val="000E38B2"/>
    <w:rsid w:val="000E5170"/>
    <w:rsid w:val="000E729F"/>
    <w:rsid w:val="000E7C67"/>
    <w:rsid w:val="000F0521"/>
    <w:rsid w:val="000F26AE"/>
    <w:rsid w:val="000F275B"/>
    <w:rsid w:val="000F46B9"/>
    <w:rsid w:val="00100E31"/>
    <w:rsid w:val="00100F2C"/>
    <w:rsid w:val="00102392"/>
    <w:rsid w:val="00103F6C"/>
    <w:rsid w:val="00104C4F"/>
    <w:rsid w:val="001064FF"/>
    <w:rsid w:val="00106C2D"/>
    <w:rsid w:val="0010753F"/>
    <w:rsid w:val="001106AE"/>
    <w:rsid w:val="00115C1A"/>
    <w:rsid w:val="001168C6"/>
    <w:rsid w:val="001172FB"/>
    <w:rsid w:val="00117771"/>
    <w:rsid w:val="001178A9"/>
    <w:rsid w:val="001214A3"/>
    <w:rsid w:val="00122F84"/>
    <w:rsid w:val="001239A1"/>
    <w:rsid w:val="00124493"/>
    <w:rsid w:val="00124FEE"/>
    <w:rsid w:val="00125653"/>
    <w:rsid w:val="00131263"/>
    <w:rsid w:val="00131C32"/>
    <w:rsid w:val="00137029"/>
    <w:rsid w:val="0013795D"/>
    <w:rsid w:val="00140157"/>
    <w:rsid w:val="00140A46"/>
    <w:rsid w:val="00141154"/>
    <w:rsid w:val="00141682"/>
    <w:rsid w:val="00141D74"/>
    <w:rsid w:val="001429FE"/>
    <w:rsid w:val="001438F7"/>
    <w:rsid w:val="001444C7"/>
    <w:rsid w:val="00144801"/>
    <w:rsid w:val="00147A9A"/>
    <w:rsid w:val="001502C0"/>
    <w:rsid w:val="00150CCD"/>
    <w:rsid w:val="0015155A"/>
    <w:rsid w:val="00153561"/>
    <w:rsid w:val="00154159"/>
    <w:rsid w:val="00156C89"/>
    <w:rsid w:val="00160040"/>
    <w:rsid w:val="00160CBB"/>
    <w:rsid w:val="00161F38"/>
    <w:rsid w:val="00162192"/>
    <w:rsid w:val="001641F7"/>
    <w:rsid w:val="0016452D"/>
    <w:rsid w:val="001653E6"/>
    <w:rsid w:val="00166290"/>
    <w:rsid w:val="0017091E"/>
    <w:rsid w:val="00170F27"/>
    <w:rsid w:val="00171A69"/>
    <w:rsid w:val="00172220"/>
    <w:rsid w:val="001731D4"/>
    <w:rsid w:val="001740DA"/>
    <w:rsid w:val="001754D3"/>
    <w:rsid w:val="00175C06"/>
    <w:rsid w:val="0017717A"/>
    <w:rsid w:val="001849A8"/>
    <w:rsid w:val="00184AA6"/>
    <w:rsid w:val="00185A3D"/>
    <w:rsid w:val="00185EAD"/>
    <w:rsid w:val="001863DA"/>
    <w:rsid w:val="00187C72"/>
    <w:rsid w:val="00187FD6"/>
    <w:rsid w:val="001905B2"/>
    <w:rsid w:val="00191111"/>
    <w:rsid w:val="00191181"/>
    <w:rsid w:val="00191E8A"/>
    <w:rsid w:val="00192159"/>
    <w:rsid w:val="00192507"/>
    <w:rsid w:val="00192D20"/>
    <w:rsid w:val="00194F86"/>
    <w:rsid w:val="00195FC0"/>
    <w:rsid w:val="00196B69"/>
    <w:rsid w:val="00196D76"/>
    <w:rsid w:val="001A0AC1"/>
    <w:rsid w:val="001A1CC0"/>
    <w:rsid w:val="001A2DF9"/>
    <w:rsid w:val="001A2E9A"/>
    <w:rsid w:val="001A3DAA"/>
    <w:rsid w:val="001A4AD0"/>
    <w:rsid w:val="001A5CBE"/>
    <w:rsid w:val="001A7347"/>
    <w:rsid w:val="001A77C9"/>
    <w:rsid w:val="001A7E3F"/>
    <w:rsid w:val="001B18A5"/>
    <w:rsid w:val="001C02F7"/>
    <w:rsid w:val="001C44B3"/>
    <w:rsid w:val="001C4E31"/>
    <w:rsid w:val="001C55EF"/>
    <w:rsid w:val="001C5689"/>
    <w:rsid w:val="001C60B4"/>
    <w:rsid w:val="001C734A"/>
    <w:rsid w:val="001D0878"/>
    <w:rsid w:val="001D20C9"/>
    <w:rsid w:val="001D3003"/>
    <w:rsid w:val="001D3C84"/>
    <w:rsid w:val="001D43B2"/>
    <w:rsid w:val="001D6A5C"/>
    <w:rsid w:val="001D6F66"/>
    <w:rsid w:val="001D71DA"/>
    <w:rsid w:val="001D71E2"/>
    <w:rsid w:val="001E0862"/>
    <w:rsid w:val="001E09FA"/>
    <w:rsid w:val="001E28ED"/>
    <w:rsid w:val="001E2DFF"/>
    <w:rsid w:val="001E3420"/>
    <w:rsid w:val="001E38A0"/>
    <w:rsid w:val="001E425F"/>
    <w:rsid w:val="001E466C"/>
    <w:rsid w:val="001E477F"/>
    <w:rsid w:val="001E5611"/>
    <w:rsid w:val="001E5EA7"/>
    <w:rsid w:val="001E658B"/>
    <w:rsid w:val="001E7864"/>
    <w:rsid w:val="001F3778"/>
    <w:rsid w:val="001F3D44"/>
    <w:rsid w:val="001F4846"/>
    <w:rsid w:val="001F7126"/>
    <w:rsid w:val="001F74E7"/>
    <w:rsid w:val="001F7E75"/>
    <w:rsid w:val="0020137D"/>
    <w:rsid w:val="0020233E"/>
    <w:rsid w:val="00203FEE"/>
    <w:rsid w:val="002044F5"/>
    <w:rsid w:val="00206857"/>
    <w:rsid w:val="00211AD2"/>
    <w:rsid w:val="00213421"/>
    <w:rsid w:val="00213A6B"/>
    <w:rsid w:val="00213BA2"/>
    <w:rsid w:val="002168CB"/>
    <w:rsid w:val="00217875"/>
    <w:rsid w:val="00220AA6"/>
    <w:rsid w:val="00220C5D"/>
    <w:rsid w:val="00222A26"/>
    <w:rsid w:val="002237A0"/>
    <w:rsid w:val="00224C8F"/>
    <w:rsid w:val="00225041"/>
    <w:rsid w:val="002251FC"/>
    <w:rsid w:val="002262BF"/>
    <w:rsid w:val="00226ACD"/>
    <w:rsid w:val="00226B67"/>
    <w:rsid w:val="00227007"/>
    <w:rsid w:val="002272A0"/>
    <w:rsid w:val="00227A26"/>
    <w:rsid w:val="002304FB"/>
    <w:rsid w:val="002323F3"/>
    <w:rsid w:val="002335DB"/>
    <w:rsid w:val="00235515"/>
    <w:rsid w:val="00235797"/>
    <w:rsid w:val="002364CE"/>
    <w:rsid w:val="0023742E"/>
    <w:rsid w:val="00241247"/>
    <w:rsid w:val="00242A9F"/>
    <w:rsid w:val="00243A49"/>
    <w:rsid w:val="00243E21"/>
    <w:rsid w:val="002473DD"/>
    <w:rsid w:val="00250F2E"/>
    <w:rsid w:val="00252078"/>
    <w:rsid w:val="0025648D"/>
    <w:rsid w:val="0025741F"/>
    <w:rsid w:val="00257B44"/>
    <w:rsid w:val="00261265"/>
    <w:rsid w:val="00261D0F"/>
    <w:rsid w:val="0026451C"/>
    <w:rsid w:val="00264A04"/>
    <w:rsid w:val="00267ABF"/>
    <w:rsid w:val="00271699"/>
    <w:rsid w:val="00271DE3"/>
    <w:rsid w:val="00273091"/>
    <w:rsid w:val="002735AF"/>
    <w:rsid w:val="0027721E"/>
    <w:rsid w:val="002774EC"/>
    <w:rsid w:val="0028007D"/>
    <w:rsid w:val="002829F2"/>
    <w:rsid w:val="002835B7"/>
    <w:rsid w:val="0028411D"/>
    <w:rsid w:val="0028601B"/>
    <w:rsid w:val="00290094"/>
    <w:rsid w:val="0029157A"/>
    <w:rsid w:val="00291AAA"/>
    <w:rsid w:val="002936CD"/>
    <w:rsid w:val="00295A5A"/>
    <w:rsid w:val="00296E8B"/>
    <w:rsid w:val="002974E1"/>
    <w:rsid w:val="00297AF3"/>
    <w:rsid w:val="002A2CE5"/>
    <w:rsid w:val="002A37F2"/>
    <w:rsid w:val="002A3B60"/>
    <w:rsid w:val="002A5804"/>
    <w:rsid w:val="002A5A9A"/>
    <w:rsid w:val="002A730D"/>
    <w:rsid w:val="002B09F8"/>
    <w:rsid w:val="002B2471"/>
    <w:rsid w:val="002B314F"/>
    <w:rsid w:val="002B3711"/>
    <w:rsid w:val="002B428D"/>
    <w:rsid w:val="002B4343"/>
    <w:rsid w:val="002B5D71"/>
    <w:rsid w:val="002B752F"/>
    <w:rsid w:val="002B7667"/>
    <w:rsid w:val="002C231C"/>
    <w:rsid w:val="002C2969"/>
    <w:rsid w:val="002C4F21"/>
    <w:rsid w:val="002D00D4"/>
    <w:rsid w:val="002D087C"/>
    <w:rsid w:val="002D08D4"/>
    <w:rsid w:val="002D0D7B"/>
    <w:rsid w:val="002D4812"/>
    <w:rsid w:val="002D5C46"/>
    <w:rsid w:val="002D670B"/>
    <w:rsid w:val="002D7874"/>
    <w:rsid w:val="002E0067"/>
    <w:rsid w:val="002E0286"/>
    <w:rsid w:val="002E0F8F"/>
    <w:rsid w:val="002E2FC9"/>
    <w:rsid w:val="002E6434"/>
    <w:rsid w:val="002E6F9B"/>
    <w:rsid w:val="002E76A8"/>
    <w:rsid w:val="002E77C8"/>
    <w:rsid w:val="002F1876"/>
    <w:rsid w:val="002F1E1F"/>
    <w:rsid w:val="002F3CBC"/>
    <w:rsid w:val="002F4604"/>
    <w:rsid w:val="002F5494"/>
    <w:rsid w:val="00302A2F"/>
    <w:rsid w:val="00303F8D"/>
    <w:rsid w:val="003043D8"/>
    <w:rsid w:val="00305282"/>
    <w:rsid w:val="00305E2E"/>
    <w:rsid w:val="00306EF0"/>
    <w:rsid w:val="00307767"/>
    <w:rsid w:val="003078B0"/>
    <w:rsid w:val="003102A2"/>
    <w:rsid w:val="00311412"/>
    <w:rsid w:val="00311FE4"/>
    <w:rsid w:val="00313957"/>
    <w:rsid w:val="00313B23"/>
    <w:rsid w:val="00313F39"/>
    <w:rsid w:val="0031571D"/>
    <w:rsid w:val="0031603F"/>
    <w:rsid w:val="003162A4"/>
    <w:rsid w:val="00317785"/>
    <w:rsid w:val="00321146"/>
    <w:rsid w:val="0032149A"/>
    <w:rsid w:val="00321DF9"/>
    <w:rsid w:val="00323685"/>
    <w:rsid w:val="00323996"/>
    <w:rsid w:val="00324525"/>
    <w:rsid w:val="00325B9B"/>
    <w:rsid w:val="00325FA4"/>
    <w:rsid w:val="003265C7"/>
    <w:rsid w:val="003267E4"/>
    <w:rsid w:val="00327816"/>
    <w:rsid w:val="00331477"/>
    <w:rsid w:val="00332409"/>
    <w:rsid w:val="003336EF"/>
    <w:rsid w:val="00333AAB"/>
    <w:rsid w:val="003351DA"/>
    <w:rsid w:val="00335574"/>
    <w:rsid w:val="003363FB"/>
    <w:rsid w:val="003369DF"/>
    <w:rsid w:val="00340876"/>
    <w:rsid w:val="00342CC6"/>
    <w:rsid w:val="003433B2"/>
    <w:rsid w:val="00344A55"/>
    <w:rsid w:val="00344E7F"/>
    <w:rsid w:val="00352F0F"/>
    <w:rsid w:val="00353DAC"/>
    <w:rsid w:val="003563CD"/>
    <w:rsid w:val="003569C4"/>
    <w:rsid w:val="00357430"/>
    <w:rsid w:val="003576A0"/>
    <w:rsid w:val="00361B99"/>
    <w:rsid w:val="00361C94"/>
    <w:rsid w:val="00362819"/>
    <w:rsid w:val="00366CBC"/>
    <w:rsid w:val="00367BEB"/>
    <w:rsid w:val="003831F9"/>
    <w:rsid w:val="0038504D"/>
    <w:rsid w:val="00385612"/>
    <w:rsid w:val="00387755"/>
    <w:rsid w:val="00390CBA"/>
    <w:rsid w:val="00393126"/>
    <w:rsid w:val="00393333"/>
    <w:rsid w:val="00393D93"/>
    <w:rsid w:val="0039438B"/>
    <w:rsid w:val="00396D7D"/>
    <w:rsid w:val="003A08D2"/>
    <w:rsid w:val="003A3E61"/>
    <w:rsid w:val="003A42C0"/>
    <w:rsid w:val="003A4830"/>
    <w:rsid w:val="003A4E60"/>
    <w:rsid w:val="003A59C1"/>
    <w:rsid w:val="003B0658"/>
    <w:rsid w:val="003B0739"/>
    <w:rsid w:val="003B0F47"/>
    <w:rsid w:val="003B1C27"/>
    <w:rsid w:val="003B27A7"/>
    <w:rsid w:val="003B2F39"/>
    <w:rsid w:val="003B3DEB"/>
    <w:rsid w:val="003B4A4B"/>
    <w:rsid w:val="003B4D7C"/>
    <w:rsid w:val="003B5935"/>
    <w:rsid w:val="003B59B2"/>
    <w:rsid w:val="003B5F28"/>
    <w:rsid w:val="003C0CC7"/>
    <w:rsid w:val="003C2ADB"/>
    <w:rsid w:val="003C4A3C"/>
    <w:rsid w:val="003C574A"/>
    <w:rsid w:val="003D0AF3"/>
    <w:rsid w:val="003D2429"/>
    <w:rsid w:val="003D24E5"/>
    <w:rsid w:val="003D2925"/>
    <w:rsid w:val="003D442E"/>
    <w:rsid w:val="003D4D8E"/>
    <w:rsid w:val="003D50F2"/>
    <w:rsid w:val="003D53C1"/>
    <w:rsid w:val="003D6E2A"/>
    <w:rsid w:val="003D7260"/>
    <w:rsid w:val="003E02A0"/>
    <w:rsid w:val="003E199E"/>
    <w:rsid w:val="003E226A"/>
    <w:rsid w:val="003E312D"/>
    <w:rsid w:val="003E3B87"/>
    <w:rsid w:val="003E3C63"/>
    <w:rsid w:val="003E4225"/>
    <w:rsid w:val="003E62CC"/>
    <w:rsid w:val="003E6D0F"/>
    <w:rsid w:val="003F1BA0"/>
    <w:rsid w:val="003F2015"/>
    <w:rsid w:val="003F210B"/>
    <w:rsid w:val="003F31F6"/>
    <w:rsid w:val="003F5248"/>
    <w:rsid w:val="003F6832"/>
    <w:rsid w:val="003F6FB7"/>
    <w:rsid w:val="003F71D5"/>
    <w:rsid w:val="003F7425"/>
    <w:rsid w:val="004011CF"/>
    <w:rsid w:val="004011FB"/>
    <w:rsid w:val="00402408"/>
    <w:rsid w:val="00402981"/>
    <w:rsid w:val="00402E8B"/>
    <w:rsid w:val="004034C5"/>
    <w:rsid w:val="00404930"/>
    <w:rsid w:val="004112F0"/>
    <w:rsid w:val="00412218"/>
    <w:rsid w:val="00412540"/>
    <w:rsid w:val="00414B82"/>
    <w:rsid w:val="00416BC6"/>
    <w:rsid w:val="00422CCB"/>
    <w:rsid w:val="004245D1"/>
    <w:rsid w:val="00424A98"/>
    <w:rsid w:val="00424B60"/>
    <w:rsid w:val="00430678"/>
    <w:rsid w:val="00431166"/>
    <w:rsid w:val="00432B42"/>
    <w:rsid w:val="00432DAB"/>
    <w:rsid w:val="00433488"/>
    <w:rsid w:val="00435018"/>
    <w:rsid w:val="00435AA4"/>
    <w:rsid w:val="004370C1"/>
    <w:rsid w:val="00440806"/>
    <w:rsid w:val="00441887"/>
    <w:rsid w:val="00442D31"/>
    <w:rsid w:val="00445150"/>
    <w:rsid w:val="00445493"/>
    <w:rsid w:val="0044557E"/>
    <w:rsid w:val="00447CDA"/>
    <w:rsid w:val="0045070D"/>
    <w:rsid w:val="004516F2"/>
    <w:rsid w:val="0045498C"/>
    <w:rsid w:val="004567B6"/>
    <w:rsid w:val="00457AD4"/>
    <w:rsid w:val="004600CF"/>
    <w:rsid w:val="0046194F"/>
    <w:rsid w:val="00461A97"/>
    <w:rsid w:val="00463073"/>
    <w:rsid w:val="00463351"/>
    <w:rsid w:val="00463880"/>
    <w:rsid w:val="0046413B"/>
    <w:rsid w:val="00464B8A"/>
    <w:rsid w:val="00464DA9"/>
    <w:rsid w:val="004656B6"/>
    <w:rsid w:val="00465AE3"/>
    <w:rsid w:val="00470581"/>
    <w:rsid w:val="00472957"/>
    <w:rsid w:val="00472D4D"/>
    <w:rsid w:val="004742CC"/>
    <w:rsid w:val="00477D93"/>
    <w:rsid w:val="00483C24"/>
    <w:rsid w:val="00490CE8"/>
    <w:rsid w:val="00493E8A"/>
    <w:rsid w:val="004954DF"/>
    <w:rsid w:val="004963EC"/>
    <w:rsid w:val="004A212C"/>
    <w:rsid w:val="004A58B6"/>
    <w:rsid w:val="004A6365"/>
    <w:rsid w:val="004B3F62"/>
    <w:rsid w:val="004B70E3"/>
    <w:rsid w:val="004C0D4B"/>
    <w:rsid w:val="004C2167"/>
    <w:rsid w:val="004C244C"/>
    <w:rsid w:val="004C33BF"/>
    <w:rsid w:val="004C643E"/>
    <w:rsid w:val="004D00E9"/>
    <w:rsid w:val="004D1123"/>
    <w:rsid w:val="004D14CE"/>
    <w:rsid w:val="004D1FEA"/>
    <w:rsid w:val="004D2A5F"/>
    <w:rsid w:val="004D3942"/>
    <w:rsid w:val="004D4374"/>
    <w:rsid w:val="004D546C"/>
    <w:rsid w:val="004D55F4"/>
    <w:rsid w:val="004D5B7E"/>
    <w:rsid w:val="004E0089"/>
    <w:rsid w:val="004E4F55"/>
    <w:rsid w:val="004E5B49"/>
    <w:rsid w:val="004E5CE4"/>
    <w:rsid w:val="004E6224"/>
    <w:rsid w:val="004E691D"/>
    <w:rsid w:val="004E75B9"/>
    <w:rsid w:val="004F1FE1"/>
    <w:rsid w:val="004F310A"/>
    <w:rsid w:val="004F4EF8"/>
    <w:rsid w:val="004F69B4"/>
    <w:rsid w:val="0050111C"/>
    <w:rsid w:val="00503178"/>
    <w:rsid w:val="00504140"/>
    <w:rsid w:val="00504BFE"/>
    <w:rsid w:val="00505492"/>
    <w:rsid w:val="005060BC"/>
    <w:rsid w:val="005105D9"/>
    <w:rsid w:val="00510C2A"/>
    <w:rsid w:val="005111DF"/>
    <w:rsid w:val="00512E4E"/>
    <w:rsid w:val="00514AB7"/>
    <w:rsid w:val="005165CB"/>
    <w:rsid w:val="00521CA6"/>
    <w:rsid w:val="005233D8"/>
    <w:rsid w:val="00523AD0"/>
    <w:rsid w:val="00525780"/>
    <w:rsid w:val="00525F75"/>
    <w:rsid w:val="005261F6"/>
    <w:rsid w:val="005300B7"/>
    <w:rsid w:val="00530CEC"/>
    <w:rsid w:val="00530D0C"/>
    <w:rsid w:val="00531D9C"/>
    <w:rsid w:val="0053212D"/>
    <w:rsid w:val="00532C1A"/>
    <w:rsid w:val="0053479E"/>
    <w:rsid w:val="00534BE1"/>
    <w:rsid w:val="005352AB"/>
    <w:rsid w:val="00536FF0"/>
    <w:rsid w:val="0053796B"/>
    <w:rsid w:val="00542BA7"/>
    <w:rsid w:val="005450D0"/>
    <w:rsid w:val="00545423"/>
    <w:rsid w:val="00545D67"/>
    <w:rsid w:val="005460EB"/>
    <w:rsid w:val="00546175"/>
    <w:rsid w:val="0054737C"/>
    <w:rsid w:val="0055003B"/>
    <w:rsid w:val="00552E39"/>
    <w:rsid w:val="00553F71"/>
    <w:rsid w:val="00554985"/>
    <w:rsid w:val="00555309"/>
    <w:rsid w:val="00557D26"/>
    <w:rsid w:val="00560542"/>
    <w:rsid w:val="00560958"/>
    <w:rsid w:val="005614B3"/>
    <w:rsid w:val="0056170C"/>
    <w:rsid w:val="005625E2"/>
    <w:rsid w:val="00565635"/>
    <w:rsid w:val="00566312"/>
    <w:rsid w:val="005669E1"/>
    <w:rsid w:val="0056746B"/>
    <w:rsid w:val="00570CF0"/>
    <w:rsid w:val="00571B76"/>
    <w:rsid w:val="00574917"/>
    <w:rsid w:val="00575459"/>
    <w:rsid w:val="005755A5"/>
    <w:rsid w:val="005755F4"/>
    <w:rsid w:val="00575653"/>
    <w:rsid w:val="00576309"/>
    <w:rsid w:val="00576B17"/>
    <w:rsid w:val="00577E4C"/>
    <w:rsid w:val="005878F0"/>
    <w:rsid w:val="00587BC4"/>
    <w:rsid w:val="00587D07"/>
    <w:rsid w:val="00587F6E"/>
    <w:rsid w:val="0059086B"/>
    <w:rsid w:val="005916F3"/>
    <w:rsid w:val="00591767"/>
    <w:rsid w:val="00591E06"/>
    <w:rsid w:val="00591FB3"/>
    <w:rsid w:val="0059478B"/>
    <w:rsid w:val="00594A40"/>
    <w:rsid w:val="00597631"/>
    <w:rsid w:val="005A08CA"/>
    <w:rsid w:val="005A13B2"/>
    <w:rsid w:val="005A2210"/>
    <w:rsid w:val="005A38EE"/>
    <w:rsid w:val="005A3D1E"/>
    <w:rsid w:val="005A577A"/>
    <w:rsid w:val="005A62CA"/>
    <w:rsid w:val="005A633F"/>
    <w:rsid w:val="005A6CEA"/>
    <w:rsid w:val="005A7A70"/>
    <w:rsid w:val="005B1E13"/>
    <w:rsid w:val="005B1F9B"/>
    <w:rsid w:val="005B2EE8"/>
    <w:rsid w:val="005B394F"/>
    <w:rsid w:val="005C0120"/>
    <w:rsid w:val="005D15D5"/>
    <w:rsid w:val="005D31B1"/>
    <w:rsid w:val="005D3AD9"/>
    <w:rsid w:val="005D5433"/>
    <w:rsid w:val="005D65D0"/>
    <w:rsid w:val="005D7F11"/>
    <w:rsid w:val="005E066D"/>
    <w:rsid w:val="005E3DF0"/>
    <w:rsid w:val="005E40F5"/>
    <w:rsid w:val="005E4E4B"/>
    <w:rsid w:val="005E618A"/>
    <w:rsid w:val="005E6CBC"/>
    <w:rsid w:val="005E7571"/>
    <w:rsid w:val="005F1A1F"/>
    <w:rsid w:val="005F2318"/>
    <w:rsid w:val="005F2C7F"/>
    <w:rsid w:val="005F2E07"/>
    <w:rsid w:val="005F44DE"/>
    <w:rsid w:val="005F47A1"/>
    <w:rsid w:val="005F4A14"/>
    <w:rsid w:val="005F52AE"/>
    <w:rsid w:val="005F6370"/>
    <w:rsid w:val="005F6455"/>
    <w:rsid w:val="005F6733"/>
    <w:rsid w:val="006007A2"/>
    <w:rsid w:val="0060088A"/>
    <w:rsid w:val="0060210C"/>
    <w:rsid w:val="00602799"/>
    <w:rsid w:val="00605E3A"/>
    <w:rsid w:val="00606FA6"/>
    <w:rsid w:val="006078AF"/>
    <w:rsid w:val="00611236"/>
    <w:rsid w:val="006131F2"/>
    <w:rsid w:val="00613948"/>
    <w:rsid w:val="006177B3"/>
    <w:rsid w:val="0061798F"/>
    <w:rsid w:val="00622B44"/>
    <w:rsid w:val="00623192"/>
    <w:rsid w:val="00623533"/>
    <w:rsid w:val="00625EF1"/>
    <w:rsid w:val="00626319"/>
    <w:rsid w:val="00626AB4"/>
    <w:rsid w:val="00630E37"/>
    <w:rsid w:val="006326A0"/>
    <w:rsid w:val="00635C97"/>
    <w:rsid w:val="006367DF"/>
    <w:rsid w:val="006371C6"/>
    <w:rsid w:val="00637C33"/>
    <w:rsid w:val="0064027D"/>
    <w:rsid w:val="0064168C"/>
    <w:rsid w:val="00641727"/>
    <w:rsid w:val="00642F57"/>
    <w:rsid w:val="00642F9E"/>
    <w:rsid w:val="0064320C"/>
    <w:rsid w:val="00643707"/>
    <w:rsid w:val="00645600"/>
    <w:rsid w:val="00652176"/>
    <w:rsid w:val="00653438"/>
    <w:rsid w:val="006541DF"/>
    <w:rsid w:val="00656ABD"/>
    <w:rsid w:val="0065771E"/>
    <w:rsid w:val="0066388E"/>
    <w:rsid w:val="00663A0A"/>
    <w:rsid w:val="006641BB"/>
    <w:rsid w:val="00671D5B"/>
    <w:rsid w:val="00671E8F"/>
    <w:rsid w:val="00674FAF"/>
    <w:rsid w:val="0067557E"/>
    <w:rsid w:val="006756BE"/>
    <w:rsid w:val="006764D1"/>
    <w:rsid w:val="00677972"/>
    <w:rsid w:val="00684D15"/>
    <w:rsid w:val="00686482"/>
    <w:rsid w:val="00686F96"/>
    <w:rsid w:val="00687B72"/>
    <w:rsid w:val="0069036D"/>
    <w:rsid w:val="00690B70"/>
    <w:rsid w:val="00690C0C"/>
    <w:rsid w:val="00692410"/>
    <w:rsid w:val="00692DDC"/>
    <w:rsid w:val="00694358"/>
    <w:rsid w:val="006959AA"/>
    <w:rsid w:val="00696661"/>
    <w:rsid w:val="006966FB"/>
    <w:rsid w:val="006A232A"/>
    <w:rsid w:val="006A33FF"/>
    <w:rsid w:val="006A3727"/>
    <w:rsid w:val="006A4044"/>
    <w:rsid w:val="006A7EB1"/>
    <w:rsid w:val="006B079D"/>
    <w:rsid w:val="006B0951"/>
    <w:rsid w:val="006B1AFC"/>
    <w:rsid w:val="006B2336"/>
    <w:rsid w:val="006B442F"/>
    <w:rsid w:val="006B444A"/>
    <w:rsid w:val="006B47FF"/>
    <w:rsid w:val="006B4DA9"/>
    <w:rsid w:val="006B7655"/>
    <w:rsid w:val="006C28EC"/>
    <w:rsid w:val="006C7C66"/>
    <w:rsid w:val="006D02B3"/>
    <w:rsid w:val="006D0662"/>
    <w:rsid w:val="006D1A9D"/>
    <w:rsid w:val="006D6871"/>
    <w:rsid w:val="006D699F"/>
    <w:rsid w:val="006D7ECC"/>
    <w:rsid w:val="006E0E59"/>
    <w:rsid w:val="006E17DE"/>
    <w:rsid w:val="006E3639"/>
    <w:rsid w:val="006E4A05"/>
    <w:rsid w:val="006E7641"/>
    <w:rsid w:val="006F025B"/>
    <w:rsid w:val="006F031A"/>
    <w:rsid w:val="006F20FB"/>
    <w:rsid w:val="006F37B3"/>
    <w:rsid w:val="006F4AE0"/>
    <w:rsid w:val="006F4D42"/>
    <w:rsid w:val="006F500F"/>
    <w:rsid w:val="006F55B9"/>
    <w:rsid w:val="006F5700"/>
    <w:rsid w:val="006F5BD4"/>
    <w:rsid w:val="006F6FB8"/>
    <w:rsid w:val="007007ED"/>
    <w:rsid w:val="00701277"/>
    <w:rsid w:val="00701B82"/>
    <w:rsid w:val="007030EA"/>
    <w:rsid w:val="00704B08"/>
    <w:rsid w:val="00704C66"/>
    <w:rsid w:val="00705C1F"/>
    <w:rsid w:val="00706E97"/>
    <w:rsid w:val="00706E9E"/>
    <w:rsid w:val="00707BF8"/>
    <w:rsid w:val="00707F21"/>
    <w:rsid w:val="007101C9"/>
    <w:rsid w:val="00711204"/>
    <w:rsid w:val="007119C9"/>
    <w:rsid w:val="00711F48"/>
    <w:rsid w:val="00716264"/>
    <w:rsid w:val="00716484"/>
    <w:rsid w:val="007207C3"/>
    <w:rsid w:val="0072151D"/>
    <w:rsid w:val="0072180D"/>
    <w:rsid w:val="00722FDE"/>
    <w:rsid w:val="0072592D"/>
    <w:rsid w:val="00725BA3"/>
    <w:rsid w:val="007269C9"/>
    <w:rsid w:val="0072702E"/>
    <w:rsid w:val="007301E9"/>
    <w:rsid w:val="00731DD4"/>
    <w:rsid w:val="0073225E"/>
    <w:rsid w:val="00733BCF"/>
    <w:rsid w:val="007426F4"/>
    <w:rsid w:val="00743874"/>
    <w:rsid w:val="00743FFC"/>
    <w:rsid w:val="00744315"/>
    <w:rsid w:val="0074555B"/>
    <w:rsid w:val="00746240"/>
    <w:rsid w:val="007500D9"/>
    <w:rsid w:val="00751C84"/>
    <w:rsid w:val="007527F4"/>
    <w:rsid w:val="007613CD"/>
    <w:rsid w:val="00761CA9"/>
    <w:rsid w:val="00762615"/>
    <w:rsid w:val="00765A82"/>
    <w:rsid w:val="00766923"/>
    <w:rsid w:val="00767658"/>
    <w:rsid w:val="00767B31"/>
    <w:rsid w:val="007702C1"/>
    <w:rsid w:val="00770C12"/>
    <w:rsid w:val="00772D91"/>
    <w:rsid w:val="00775C66"/>
    <w:rsid w:val="007803B4"/>
    <w:rsid w:val="0078087A"/>
    <w:rsid w:val="00780934"/>
    <w:rsid w:val="0078324C"/>
    <w:rsid w:val="00783C94"/>
    <w:rsid w:val="00792065"/>
    <w:rsid w:val="007926EF"/>
    <w:rsid w:val="0079333E"/>
    <w:rsid w:val="00794B0E"/>
    <w:rsid w:val="00794C70"/>
    <w:rsid w:val="007965CF"/>
    <w:rsid w:val="00797731"/>
    <w:rsid w:val="007978EC"/>
    <w:rsid w:val="007A13D2"/>
    <w:rsid w:val="007A1BCD"/>
    <w:rsid w:val="007A2494"/>
    <w:rsid w:val="007A285B"/>
    <w:rsid w:val="007A3014"/>
    <w:rsid w:val="007A58D4"/>
    <w:rsid w:val="007A5AA4"/>
    <w:rsid w:val="007A7447"/>
    <w:rsid w:val="007A757C"/>
    <w:rsid w:val="007B07C9"/>
    <w:rsid w:val="007B1B0C"/>
    <w:rsid w:val="007B22C1"/>
    <w:rsid w:val="007B2503"/>
    <w:rsid w:val="007B2B51"/>
    <w:rsid w:val="007B3933"/>
    <w:rsid w:val="007B3E99"/>
    <w:rsid w:val="007B4DB5"/>
    <w:rsid w:val="007B71AB"/>
    <w:rsid w:val="007C04AA"/>
    <w:rsid w:val="007C0F18"/>
    <w:rsid w:val="007C0F55"/>
    <w:rsid w:val="007C1F62"/>
    <w:rsid w:val="007D32A1"/>
    <w:rsid w:val="007D42CA"/>
    <w:rsid w:val="007D58A4"/>
    <w:rsid w:val="007E1A8F"/>
    <w:rsid w:val="007E32A2"/>
    <w:rsid w:val="007E5269"/>
    <w:rsid w:val="007E6A4B"/>
    <w:rsid w:val="007E773B"/>
    <w:rsid w:val="007F00FC"/>
    <w:rsid w:val="007F1B21"/>
    <w:rsid w:val="007F1C2A"/>
    <w:rsid w:val="007F2387"/>
    <w:rsid w:val="007F2D78"/>
    <w:rsid w:val="007F457A"/>
    <w:rsid w:val="007F4ACA"/>
    <w:rsid w:val="007F4B71"/>
    <w:rsid w:val="007F5884"/>
    <w:rsid w:val="007F6710"/>
    <w:rsid w:val="00800EDE"/>
    <w:rsid w:val="00801EAD"/>
    <w:rsid w:val="00801F0C"/>
    <w:rsid w:val="00803D97"/>
    <w:rsid w:val="00805215"/>
    <w:rsid w:val="008055E2"/>
    <w:rsid w:val="008079BD"/>
    <w:rsid w:val="008079DA"/>
    <w:rsid w:val="00811C1F"/>
    <w:rsid w:val="00812BF1"/>
    <w:rsid w:val="00812CF3"/>
    <w:rsid w:val="0081345E"/>
    <w:rsid w:val="00813B22"/>
    <w:rsid w:val="00816FC0"/>
    <w:rsid w:val="00820460"/>
    <w:rsid w:val="0082457B"/>
    <w:rsid w:val="00824E4C"/>
    <w:rsid w:val="00825F5C"/>
    <w:rsid w:val="008267BE"/>
    <w:rsid w:val="0082786E"/>
    <w:rsid w:val="00832EE5"/>
    <w:rsid w:val="0083618E"/>
    <w:rsid w:val="008365BB"/>
    <w:rsid w:val="00836D2F"/>
    <w:rsid w:val="0084680F"/>
    <w:rsid w:val="00847F60"/>
    <w:rsid w:val="008501CB"/>
    <w:rsid w:val="0085185C"/>
    <w:rsid w:val="00851D7F"/>
    <w:rsid w:val="00852935"/>
    <w:rsid w:val="0085495D"/>
    <w:rsid w:val="00854A83"/>
    <w:rsid w:val="008565D7"/>
    <w:rsid w:val="00856EAD"/>
    <w:rsid w:val="00857031"/>
    <w:rsid w:val="0085748D"/>
    <w:rsid w:val="0086031A"/>
    <w:rsid w:val="008604D2"/>
    <w:rsid w:val="008608B1"/>
    <w:rsid w:val="0086253B"/>
    <w:rsid w:val="00863376"/>
    <w:rsid w:val="00863A6F"/>
    <w:rsid w:val="0086414D"/>
    <w:rsid w:val="008655E8"/>
    <w:rsid w:val="00865606"/>
    <w:rsid w:val="00867A94"/>
    <w:rsid w:val="00871834"/>
    <w:rsid w:val="008728BE"/>
    <w:rsid w:val="00873DBE"/>
    <w:rsid w:val="00875C2F"/>
    <w:rsid w:val="008767A0"/>
    <w:rsid w:val="008768FF"/>
    <w:rsid w:val="00881E79"/>
    <w:rsid w:val="00882A20"/>
    <w:rsid w:val="00887983"/>
    <w:rsid w:val="008905EB"/>
    <w:rsid w:val="0089080C"/>
    <w:rsid w:val="00890DC4"/>
    <w:rsid w:val="00893568"/>
    <w:rsid w:val="008937B7"/>
    <w:rsid w:val="00894A9F"/>
    <w:rsid w:val="0089564F"/>
    <w:rsid w:val="008A13F5"/>
    <w:rsid w:val="008A33EA"/>
    <w:rsid w:val="008A4F46"/>
    <w:rsid w:val="008B0C11"/>
    <w:rsid w:val="008B17D2"/>
    <w:rsid w:val="008B1A68"/>
    <w:rsid w:val="008B2E18"/>
    <w:rsid w:val="008B307B"/>
    <w:rsid w:val="008B712E"/>
    <w:rsid w:val="008C2BEA"/>
    <w:rsid w:val="008C36FF"/>
    <w:rsid w:val="008C4EFE"/>
    <w:rsid w:val="008C679C"/>
    <w:rsid w:val="008D1395"/>
    <w:rsid w:val="008D175B"/>
    <w:rsid w:val="008D1D0C"/>
    <w:rsid w:val="008D1F04"/>
    <w:rsid w:val="008D204B"/>
    <w:rsid w:val="008D2054"/>
    <w:rsid w:val="008D2B17"/>
    <w:rsid w:val="008D72A4"/>
    <w:rsid w:val="008D7E18"/>
    <w:rsid w:val="008E0837"/>
    <w:rsid w:val="008E67F4"/>
    <w:rsid w:val="008E718B"/>
    <w:rsid w:val="008E749B"/>
    <w:rsid w:val="008E75AB"/>
    <w:rsid w:val="008F0D1E"/>
    <w:rsid w:val="008F3A50"/>
    <w:rsid w:val="008F71C5"/>
    <w:rsid w:val="008F791A"/>
    <w:rsid w:val="009006FE"/>
    <w:rsid w:val="00902043"/>
    <w:rsid w:val="00902972"/>
    <w:rsid w:val="00904AF1"/>
    <w:rsid w:val="00904E3A"/>
    <w:rsid w:val="00906B06"/>
    <w:rsid w:val="009140C6"/>
    <w:rsid w:val="00915EAC"/>
    <w:rsid w:val="0091605A"/>
    <w:rsid w:val="00916A77"/>
    <w:rsid w:val="00917830"/>
    <w:rsid w:val="00917E4B"/>
    <w:rsid w:val="00920C89"/>
    <w:rsid w:val="009218A4"/>
    <w:rsid w:val="00922D0C"/>
    <w:rsid w:val="009238FC"/>
    <w:rsid w:val="00923CA1"/>
    <w:rsid w:val="00924B03"/>
    <w:rsid w:val="00925374"/>
    <w:rsid w:val="00926C35"/>
    <w:rsid w:val="00930727"/>
    <w:rsid w:val="0093116B"/>
    <w:rsid w:val="009312E3"/>
    <w:rsid w:val="00932B94"/>
    <w:rsid w:val="00932C7F"/>
    <w:rsid w:val="00933A9A"/>
    <w:rsid w:val="009355C1"/>
    <w:rsid w:val="00935691"/>
    <w:rsid w:val="00936F0C"/>
    <w:rsid w:val="009400B5"/>
    <w:rsid w:val="00940B0D"/>
    <w:rsid w:val="00942583"/>
    <w:rsid w:val="0094520E"/>
    <w:rsid w:val="00945A31"/>
    <w:rsid w:val="00945A6A"/>
    <w:rsid w:val="00954ACA"/>
    <w:rsid w:val="0095544F"/>
    <w:rsid w:val="009574C8"/>
    <w:rsid w:val="0096517E"/>
    <w:rsid w:val="009658A2"/>
    <w:rsid w:val="00967AE5"/>
    <w:rsid w:val="00967EBF"/>
    <w:rsid w:val="00970507"/>
    <w:rsid w:val="009709B1"/>
    <w:rsid w:val="00973038"/>
    <w:rsid w:val="00973A9C"/>
    <w:rsid w:val="009740C9"/>
    <w:rsid w:val="009745EF"/>
    <w:rsid w:val="00974725"/>
    <w:rsid w:val="0098024B"/>
    <w:rsid w:val="0098087A"/>
    <w:rsid w:val="00981F74"/>
    <w:rsid w:val="009827E3"/>
    <w:rsid w:val="009828A6"/>
    <w:rsid w:val="009857D7"/>
    <w:rsid w:val="00986B30"/>
    <w:rsid w:val="009870B8"/>
    <w:rsid w:val="009903D7"/>
    <w:rsid w:val="00991406"/>
    <w:rsid w:val="00993A6A"/>
    <w:rsid w:val="009946B1"/>
    <w:rsid w:val="009A2A85"/>
    <w:rsid w:val="009A3061"/>
    <w:rsid w:val="009A4447"/>
    <w:rsid w:val="009A4EE7"/>
    <w:rsid w:val="009A541A"/>
    <w:rsid w:val="009A5542"/>
    <w:rsid w:val="009B28B5"/>
    <w:rsid w:val="009B44C2"/>
    <w:rsid w:val="009B4C9C"/>
    <w:rsid w:val="009B4EAB"/>
    <w:rsid w:val="009B6BDA"/>
    <w:rsid w:val="009B7751"/>
    <w:rsid w:val="009B7D32"/>
    <w:rsid w:val="009C1626"/>
    <w:rsid w:val="009C167C"/>
    <w:rsid w:val="009C5A3B"/>
    <w:rsid w:val="009D120E"/>
    <w:rsid w:val="009D2DA9"/>
    <w:rsid w:val="009D31DC"/>
    <w:rsid w:val="009D3AFA"/>
    <w:rsid w:val="009D5897"/>
    <w:rsid w:val="009D5C70"/>
    <w:rsid w:val="009D6990"/>
    <w:rsid w:val="009D7C9C"/>
    <w:rsid w:val="009E2BCC"/>
    <w:rsid w:val="009E6BBA"/>
    <w:rsid w:val="009E7C3A"/>
    <w:rsid w:val="009F0F84"/>
    <w:rsid w:val="009F1F3B"/>
    <w:rsid w:val="009F1FF6"/>
    <w:rsid w:val="009F367E"/>
    <w:rsid w:val="009F5BFE"/>
    <w:rsid w:val="009F663D"/>
    <w:rsid w:val="009F71BC"/>
    <w:rsid w:val="009F7382"/>
    <w:rsid w:val="009F793E"/>
    <w:rsid w:val="00A01230"/>
    <w:rsid w:val="00A051FF"/>
    <w:rsid w:val="00A077C9"/>
    <w:rsid w:val="00A106A1"/>
    <w:rsid w:val="00A10944"/>
    <w:rsid w:val="00A1155D"/>
    <w:rsid w:val="00A119F9"/>
    <w:rsid w:val="00A13C4A"/>
    <w:rsid w:val="00A15143"/>
    <w:rsid w:val="00A1516D"/>
    <w:rsid w:val="00A15360"/>
    <w:rsid w:val="00A15718"/>
    <w:rsid w:val="00A15D67"/>
    <w:rsid w:val="00A20CEB"/>
    <w:rsid w:val="00A21B44"/>
    <w:rsid w:val="00A22C08"/>
    <w:rsid w:val="00A241DC"/>
    <w:rsid w:val="00A25647"/>
    <w:rsid w:val="00A267DE"/>
    <w:rsid w:val="00A30527"/>
    <w:rsid w:val="00A32263"/>
    <w:rsid w:val="00A354D0"/>
    <w:rsid w:val="00A378BD"/>
    <w:rsid w:val="00A41504"/>
    <w:rsid w:val="00A424CE"/>
    <w:rsid w:val="00A43573"/>
    <w:rsid w:val="00A4381D"/>
    <w:rsid w:val="00A43ECB"/>
    <w:rsid w:val="00A442B1"/>
    <w:rsid w:val="00A4499C"/>
    <w:rsid w:val="00A450B8"/>
    <w:rsid w:val="00A45166"/>
    <w:rsid w:val="00A455E8"/>
    <w:rsid w:val="00A46E06"/>
    <w:rsid w:val="00A476BE"/>
    <w:rsid w:val="00A47BB2"/>
    <w:rsid w:val="00A5124E"/>
    <w:rsid w:val="00A53900"/>
    <w:rsid w:val="00A56CC5"/>
    <w:rsid w:val="00A60AE0"/>
    <w:rsid w:val="00A60B69"/>
    <w:rsid w:val="00A60DFF"/>
    <w:rsid w:val="00A634BF"/>
    <w:rsid w:val="00A645C7"/>
    <w:rsid w:val="00A64BCF"/>
    <w:rsid w:val="00A65489"/>
    <w:rsid w:val="00A66EBB"/>
    <w:rsid w:val="00A70897"/>
    <w:rsid w:val="00A709B4"/>
    <w:rsid w:val="00A73AEE"/>
    <w:rsid w:val="00A747EA"/>
    <w:rsid w:val="00A75F76"/>
    <w:rsid w:val="00A773E0"/>
    <w:rsid w:val="00A776C4"/>
    <w:rsid w:val="00A81B91"/>
    <w:rsid w:val="00A821A0"/>
    <w:rsid w:val="00A82A64"/>
    <w:rsid w:val="00A83F38"/>
    <w:rsid w:val="00A84640"/>
    <w:rsid w:val="00A84B1A"/>
    <w:rsid w:val="00A85A91"/>
    <w:rsid w:val="00A87C1F"/>
    <w:rsid w:val="00A87C91"/>
    <w:rsid w:val="00A90EC7"/>
    <w:rsid w:val="00A91754"/>
    <w:rsid w:val="00A953BB"/>
    <w:rsid w:val="00A959CA"/>
    <w:rsid w:val="00A95AAA"/>
    <w:rsid w:val="00A9695C"/>
    <w:rsid w:val="00AA0A40"/>
    <w:rsid w:val="00AA0A86"/>
    <w:rsid w:val="00AA11FA"/>
    <w:rsid w:val="00AA4576"/>
    <w:rsid w:val="00AA575B"/>
    <w:rsid w:val="00AB3E6F"/>
    <w:rsid w:val="00AB441C"/>
    <w:rsid w:val="00AB5954"/>
    <w:rsid w:val="00AB669E"/>
    <w:rsid w:val="00AC359E"/>
    <w:rsid w:val="00AC3A5E"/>
    <w:rsid w:val="00AC5A07"/>
    <w:rsid w:val="00AC60D6"/>
    <w:rsid w:val="00AD028D"/>
    <w:rsid w:val="00AD1644"/>
    <w:rsid w:val="00AD20FE"/>
    <w:rsid w:val="00AD23A1"/>
    <w:rsid w:val="00AD3C78"/>
    <w:rsid w:val="00AD5334"/>
    <w:rsid w:val="00AD55FB"/>
    <w:rsid w:val="00AD57D9"/>
    <w:rsid w:val="00AD6719"/>
    <w:rsid w:val="00AE0022"/>
    <w:rsid w:val="00AE2B2F"/>
    <w:rsid w:val="00AE2D46"/>
    <w:rsid w:val="00AE2EEA"/>
    <w:rsid w:val="00AE2EED"/>
    <w:rsid w:val="00AE3D9E"/>
    <w:rsid w:val="00AE4830"/>
    <w:rsid w:val="00AE4EE2"/>
    <w:rsid w:val="00AE4F0F"/>
    <w:rsid w:val="00AE57B0"/>
    <w:rsid w:val="00AF06D9"/>
    <w:rsid w:val="00AF1894"/>
    <w:rsid w:val="00AF2108"/>
    <w:rsid w:val="00AF22D5"/>
    <w:rsid w:val="00AF31E0"/>
    <w:rsid w:val="00AF3E2E"/>
    <w:rsid w:val="00AF4F5B"/>
    <w:rsid w:val="00AF59B2"/>
    <w:rsid w:val="00AF6145"/>
    <w:rsid w:val="00AF6BAB"/>
    <w:rsid w:val="00B014E4"/>
    <w:rsid w:val="00B02AE9"/>
    <w:rsid w:val="00B04171"/>
    <w:rsid w:val="00B04D02"/>
    <w:rsid w:val="00B11696"/>
    <w:rsid w:val="00B119EB"/>
    <w:rsid w:val="00B11E2D"/>
    <w:rsid w:val="00B13AEC"/>
    <w:rsid w:val="00B17999"/>
    <w:rsid w:val="00B20983"/>
    <w:rsid w:val="00B22453"/>
    <w:rsid w:val="00B226EC"/>
    <w:rsid w:val="00B22E71"/>
    <w:rsid w:val="00B23B37"/>
    <w:rsid w:val="00B24129"/>
    <w:rsid w:val="00B25890"/>
    <w:rsid w:val="00B26491"/>
    <w:rsid w:val="00B264A4"/>
    <w:rsid w:val="00B27739"/>
    <w:rsid w:val="00B30D67"/>
    <w:rsid w:val="00B32C3C"/>
    <w:rsid w:val="00B3628E"/>
    <w:rsid w:val="00B37BB0"/>
    <w:rsid w:val="00B41B06"/>
    <w:rsid w:val="00B509D2"/>
    <w:rsid w:val="00B5156C"/>
    <w:rsid w:val="00B5295B"/>
    <w:rsid w:val="00B53248"/>
    <w:rsid w:val="00B534E1"/>
    <w:rsid w:val="00B54ED8"/>
    <w:rsid w:val="00B557F2"/>
    <w:rsid w:val="00B610B7"/>
    <w:rsid w:val="00B63264"/>
    <w:rsid w:val="00B63B50"/>
    <w:rsid w:val="00B64CB2"/>
    <w:rsid w:val="00B65646"/>
    <w:rsid w:val="00B66CD9"/>
    <w:rsid w:val="00B70843"/>
    <w:rsid w:val="00B715C0"/>
    <w:rsid w:val="00B734F2"/>
    <w:rsid w:val="00B74678"/>
    <w:rsid w:val="00B749A1"/>
    <w:rsid w:val="00B815FC"/>
    <w:rsid w:val="00B817C2"/>
    <w:rsid w:val="00B81B71"/>
    <w:rsid w:val="00B838F8"/>
    <w:rsid w:val="00B83F42"/>
    <w:rsid w:val="00B871EC"/>
    <w:rsid w:val="00B940AD"/>
    <w:rsid w:val="00B944E6"/>
    <w:rsid w:val="00B9661D"/>
    <w:rsid w:val="00B96B79"/>
    <w:rsid w:val="00B96B9D"/>
    <w:rsid w:val="00BA053F"/>
    <w:rsid w:val="00BA0574"/>
    <w:rsid w:val="00BA0D51"/>
    <w:rsid w:val="00BA23EB"/>
    <w:rsid w:val="00BA2C3F"/>
    <w:rsid w:val="00BA32D7"/>
    <w:rsid w:val="00BA4278"/>
    <w:rsid w:val="00BA5438"/>
    <w:rsid w:val="00BA5C9F"/>
    <w:rsid w:val="00BB1BA8"/>
    <w:rsid w:val="00BB2331"/>
    <w:rsid w:val="00BB55BA"/>
    <w:rsid w:val="00BB5BAD"/>
    <w:rsid w:val="00BB5E0D"/>
    <w:rsid w:val="00BC14F9"/>
    <w:rsid w:val="00BC1DD7"/>
    <w:rsid w:val="00BC1DF7"/>
    <w:rsid w:val="00BC29D5"/>
    <w:rsid w:val="00BC30B8"/>
    <w:rsid w:val="00BC30BA"/>
    <w:rsid w:val="00BC3DDB"/>
    <w:rsid w:val="00BC4C64"/>
    <w:rsid w:val="00BD06E8"/>
    <w:rsid w:val="00BD0D8D"/>
    <w:rsid w:val="00BD0DE0"/>
    <w:rsid w:val="00BD13E4"/>
    <w:rsid w:val="00BD1654"/>
    <w:rsid w:val="00BD3BEF"/>
    <w:rsid w:val="00BD3CE6"/>
    <w:rsid w:val="00BD4A80"/>
    <w:rsid w:val="00BD5F34"/>
    <w:rsid w:val="00BD7D3C"/>
    <w:rsid w:val="00BE1689"/>
    <w:rsid w:val="00BE1A1D"/>
    <w:rsid w:val="00BE1FBD"/>
    <w:rsid w:val="00BE2D6A"/>
    <w:rsid w:val="00BE6551"/>
    <w:rsid w:val="00BE65CD"/>
    <w:rsid w:val="00BE7F69"/>
    <w:rsid w:val="00BF1C97"/>
    <w:rsid w:val="00C00C6E"/>
    <w:rsid w:val="00C02E4C"/>
    <w:rsid w:val="00C0443A"/>
    <w:rsid w:val="00C06925"/>
    <w:rsid w:val="00C06A27"/>
    <w:rsid w:val="00C10B1B"/>
    <w:rsid w:val="00C10EBA"/>
    <w:rsid w:val="00C11510"/>
    <w:rsid w:val="00C13709"/>
    <w:rsid w:val="00C14C53"/>
    <w:rsid w:val="00C17C9A"/>
    <w:rsid w:val="00C229A6"/>
    <w:rsid w:val="00C23305"/>
    <w:rsid w:val="00C23BB0"/>
    <w:rsid w:val="00C24697"/>
    <w:rsid w:val="00C24D3D"/>
    <w:rsid w:val="00C269D0"/>
    <w:rsid w:val="00C26ADC"/>
    <w:rsid w:val="00C2794F"/>
    <w:rsid w:val="00C306ED"/>
    <w:rsid w:val="00C32DB2"/>
    <w:rsid w:val="00C330F8"/>
    <w:rsid w:val="00C342EE"/>
    <w:rsid w:val="00C36689"/>
    <w:rsid w:val="00C36B64"/>
    <w:rsid w:val="00C4095C"/>
    <w:rsid w:val="00C40969"/>
    <w:rsid w:val="00C429A4"/>
    <w:rsid w:val="00C43C50"/>
    <w:rsid w:val="00C469D8"/>
    <w:rsid w:val="00C46E4D"/>
    <w:rsid w:val="00C504AD"/>
    <w:rsid w:val="00C51EB8"/>
    <w:rsid w:val="00C52069"/>
    <w:rsid w:val="00C532C9"/>
    <w:rsid w:val="00C55B19"/>
    <w:rsid w:val="00C60D02"/>
    <w:rsid w:val="00C62A92"/>
    <w:rsid w:val="00C6364A"/>
    <w:rsid w:val="00C63F54"/>
    <w:rsid w:val="00C64FA9"/>
    <w:rsid w:val="00C66704"/>
    <w:rsid w:val="00C6711E"/>
    <w:rsid w:val="00C67D12"/>
    <w:rsid w:val="00C70037"/>
    <w:rsid w:val="00C7091C"/>
    <w:rsid w:val="00C71120"/>
    <w:rsid w:val="00C717D2"/>
    <w:rsid w:val="00C730FD"/>
    <w:rsid w:val="00C739A1"/>
    <w:rsid w:val="00C7401F"/>
    <w:rsid w:val="00C74030"/>
    <w:rsid w:val="00C743CE"/>
    <w:rsid w:val="00C8126F"/>
    <w:rsid w:val="00C815B0"/>
    <w:rsid w:val="00C816F3"/>
    <w:rsid w:val="00C81F73"/>
    <w:rsid w:val="00C83D67"/>
    <w:rsid w:val="00C8481C"/>
    <w:rsid w:val="00C87780"/>
    <w:rsid w:val="00C91FDE"/>
    <w:rsid w:val="00C9438B"/>
    <w:rsid w:val="00C947C2"/>
    <w:rsid w:val="00CA0D4E"/>
    <w:rsid w:val="00CA158C"/>
    <w:rsid w:val="00CA408C"/>
    <w:rsid w:val="00CA475C"/>
    <w:rsid w:val="00CA6710"/>
    <w:rsid w:val="00CA6BA4"/>
    <w:rsid w:val="00CA6E4F"/>
    <w:rsid w:val="00CA7F46"/>
    <w:rsid w:val="00CA7F53"/>
    <w:rsid w:val="00CB08E4"/>
    <w:rsid w:val="00CB093B"/>
    <w:rsid w:val="00CB0A1B"/>
    <w:rsid w:val="00CB1191"/>
    <w:rsid w:val="00CB3218"/>
    <w:rsid w:val="00CB3314"/>
    <w:rsid w:val="00CB4C09"/>
    <w:rsid w:val="00CB5587"/>
    <w:rsid w:val="00CB6BA0"/>
    <w:rsid w:val="00CB6DCC"/>
    <w:rsid w:val="00CB7F8B"/>
    <w:rsid w:val="00CC0048"/>
    <w:rsid w:val="00CC0C9F"/>
    <w:rsid w:val="00CC2E54"/>
    <w:rsid w:val="00CC328D"/>
    <w:rsid w:val="00CC383A"/>
    <w:rsid w:val="00CC406D"/>
    <w:rsid w:val="00CC77F3"/>
    <w:rsid w:val="00CD24F4"/>
    <w:rsid w:val="00CD2B58"/>
    <w:rsid w:val="00CD579B"/>
    <w:rsid w:val="00CD71AD"/>
    <w:rsid w:val="00CD72C4"/>
    <w:rsid w:val="00CD734F"/>
    <w:rsid w:val="00CD73ED"/>
    <w:rsid w:val="00CD7494"/>
    <w:rsid w:val="00CE2AC1"/>
    <w:rsid w:val="00CE7A34"/>
    <w:rsid w:val="00CF00A6"/>
    <w:rsid w:val="00CF2108"/>
    <w:rsid w:val="00CF282D"/>
    <w:rsid w:val="00CF2D9D"/>
    <w:rsid w:val="00CF5FB4"/>
    <w:rsid w:val="00CF6FAE"/>
    <w:rsid w:val="00CF6FF5"/>
    <w:rsid w:val="00CF71C5"/>
    <w:rsid w:val="00CF74DD"/>
    <w:rsid w:val="00D001F7"/>
    <w:rsid w:val="00D01257"/>
    <w:rsid w:val="00D022A1"/>
    <w:rsid w:val="00D031DE"/>
    <w:rsid w:val="00D037B3"/>
    <w:rsid w:val="00D040EB"/>
    <w:rsid w:val="00D05FF4"/>
    <w:rsid w:val="00D06039"/>
    <w:rsid w:val="00D06A8E"/>
    <w:rsid w:val="00D06DD1"/>
    <w:rsid w:val="00D12CE8"/>
    <w:rsid w:val="00D135FF"/>
    <w:rsid w:val="00D16FA9"/>
    <w:rsid w:val="00D17B42"/>
    <w:rsid w:val="00D217F0"/>
    <w:rsid w:val="00D225BB"/>
    <w:rsid w:val="00D249EE"/>
    <w:rsid w:val="00D26C4E"/>
    <w:rsid w:val="00D27962"/>
    <w:rsid w:val="00D3103B"/>
    <w:rsid w:val="00D31062"/>
    <w:rsid w:val="00D32AA9"/>
    <w:rsid w:val="00D335F6"/>
    <w:rsid w:val="00D33F7A"/>
    <w:rsid w:val="00D345C9"/>
    <w:rsid w:val="00D3469D"/>
    <w:rsid w:val="00D35286"/>
    <w:rsid w:val="00D3535D"/>
    <w:rsid w:val="00D378B7"/>
    <w:rsid w:val="00D400A4"/>
    <w:rsid w:val="00D40A7C"/>
    <w:rsid w:val="00D40B79"/>
    <w:rsid w:val="00D421E6"/>
    <w:rsid w:val="00D42D20"/>
    <w:rsid w:val="00D445BF"/>
    <w:rsid w:val="00D4576B"/>
    <w:rsid w:val="00D45AA8"/>
    <w:rsid w:val="00D45B5C"/>
    <w:rsid w:val="00D45BFA"/>
    <w:rsid w:val="00D4732C"/>
    <w:rsid w:val="00D4775D"/>
    <w:rsid w:val="00D52B14"/>
    <w:rsid w:val="00D533A1"/>
    <w:rsid w:val="00D54E86"/>
    <w:rsid w:val="00D56E00"/>
    <w:rsid w:val="00D609C6"/>
    <w:rsid w:val="00D609F6"/>
    <w:rsid w:val="00D62B82"/>
    <w:rsid w:val="00D62C4F"/>
    <w:rsid w:val="00D64BDC"/>
    <w:rsid w:val="00D64CB0"/>
    <w:rsid w:val="00D675AF"/>
    <w:rsid w:val="00D704A3"/>
    <w:rsid w:val="00D71926"/>
    <w:rsid w:val="00D72975"/>
    <w:rsid w:val="00D7645A"/>
    <w:rsid w:val="00D76F0F"/>
    <w:rsid w:val="00D80366"/>
    <w:rsid w:val="00D8048A"/>
    <w:rsid w:val="00D80AB6"/>
    <w:rsid w:val="00D828BB"/>
    <w:rsid w:val="00D8431F"/>
    <w:rsid w:val="00D85128"/>
    <w:rsid w:val="00D852C8"/>
    <w:rsid w:val="00D85515"/>
    <w:rsid w:val="00D85519"/>
    <w:rsid w:val="00D85AEE"/>
    <w:rsid w:val="00D85BEA"/>
    <w:rsid w:val="00D92ED0"/>
    <w:rsid w:val="00D9460D"/>
    <w:rsid w:val="00D9496E"/>
    <w:rsid w:val="00D952EC"/>
    <w:rsid w:val="00D95900"/>
    <w:rsid w:val="00DA0928"/>
    <w:rsid w:val="00DA1208"/>
    <w:rsid w:val="00DA20F9"/>
    <w:rsid w:val="00DA2BD8"/>
    <w:rsid w:val="00DA4A77"/>
    <w:rsid w:val="00DA734F"/>
    <w:rsid w:val="00DB0A48"/>
    <w:rsid w:val="00DB7297"/>
    <w:rsid w:val="00DB7742"/>
    <w:rsid w:val="00DC2A80"/>
    <w:rsid w:val="00DC42BF"/>
    <w:rsid w:val="00DC4CE6"/>
    <w:rsid w:val="00DC5612"/>
    <w:rsid w:val="00DC59D0"/>
    <w:rsid w:val="00DD0688"/>
    <w:rsid w:val="00DD10B2"/>
    <w:rsid w:val="00DD15E2"/>
    <w:rsid w:val="00DD387B"/>
    <w:rsid w:val="00DD3CA1"/>
    <w:rsid w:val="00DD5007"/>
    <w:rsid w:val="00DD5E28"/>
    <w:rsid w:val="00DE1060"/>
    <w:rsid w:val="00DE28DA"/>
    <w:rsid w:val="00DE3B48"/>
    <w:rsid w:val="00DE56D6"/>
    <w:rsid w:val="00DF1551"/>
    <w:rsid w:val="00DF15EE"/>
    <w:rsid w:val="00DF1D52"/>
    <w:rsid w:val="00DF76A4"/>
    <w:rsid w:val="00DF782F"/>
    <w:rsid w:val="00E0013B"/>
    <w:rsid w:val="00E0079E"/>
    <w:rsid w:val="00E0149A"/>
    <w:rsid w:val="00E0224B"/>
    <w:rsid w:val="00E03324"/>
    <w:rsid w:val="00E05314"/>
    <w:rsid w:val="00E06BF6"/>
    <w:rsid w:val="00E06CEF"/>
    <w:rsid w:val="00E06D45"/>
    <w:rsid w:val="00E071B0"/>
    <w:rsid w:val="00E07CFE"/>
    <w:rsid w:val="00E104FA"/>
    <w:rsid w:val="00E108F6"/>
    <w:rsid w:val="00E11AC4"/>
    <w:rsid w:val="00E12810"/>
    <w:rsid w:val="00E12C21"/>
    <w:rsid w:val="00E12D30"/>
    <w:rsid w:val="00E130E5"/>
    <w:rsid w:val="00E1330E"/>
    <w:rsid w:val="00E156B9"/>
    <w:rsid w:val="00E15C82"/>
    <w:rsid w:val="00E15F0F"/>
    <w:rsid w:val="00E165AE"/>
    <w:rsid w:val="00E17147"/>
    <w:rsid w:val="00E1730A"/>
    <w:rsid w:val="00E21533"/>
    <w:rsid w:val="00E2184B"/>
    <w:rsid w:val="00E21BB8"/>
    <w:rsid w:val="00E22B25"/>
    <w:rsid w:val="00E23F05"/>
    <w:rsid w:val="00E2511B"/>
    <w:rsid w:val="00E25716"/>
    <w:rsid w:val="00E2620C"/>
    <w:rsid w:val="00E27CAB"/>
    <w:rsid w:val="00E3005F"/>
    <w:rsid w:val="00E30F5D"/>
    <w:rsid w:val="00E312E7"/>
    <w:rsid w:val="00E413A6"/>
    <w:rsid w:val="00E4322F"/>
    <w:rsid w:val="00E47D99"/>
    <w:rsid w:val="00E53F16"/>
    <w:rsid w:val="00E53FBF"/>
    <w:rsid w:val="00E5528A"/>
    <w:rsid w:val="00E561E9"/>
    <w:rsid w:val="00E56F32"/>
    <w:rsid w:val="00E612DE"/>
    <w:rsid w:val="00E6144B"/>
    <w:rsid w:val="00E616F7"/>
    <w:rsid w:val="00E62D47"/>
    <w:rsid w:val="00E65C65"/>
    <w:rsid w:val="00E65F1C"/>
    <w:rsid w:val="00E66F22"/>
    <w:rsid w:val="00E677BD"/>
    <w:rsid w:val="00E71307"/>
    <w:rsid w:val="00E733D8"/>
    <w:rsid w:val="00E73433"/>
    <w:rsid w:val="00E7454E"/>
    <w:rsid w:val="00E75ADC"/>
    <w:rsid w:val="00E75C59"/>
    <w:rsid w:val="00E81B40"/>
    <w:rsid w:val="00E83CE9"/>
    <w:rsid w:val="00E84037"/>
    <w:rsid w:val="00E8462E"/>
    <w:rsid w:val="00E8513B"/>
    <w:rsid w:val="00E85647"/>
    <w:rsid w:val="00E857B6"/>
    <w:rsid w:val="00E90B55"/>
    <w:rsid w:val="00E91320"/>
    <w:rsid w:val="00E927D9"/>
    <w:rsid w:val="00E9424E"/>
    <w:rsid w:val="00E94B60"/>
    <w:rsid w:val="00E9563F"/>
    <w:rsid w:val="00E95B31"/>
    <w:rsid w:val="00E963A0"/>
    <w:rsid w:val="00EA01AF"/>
    <w:rsid w:val="00EA070C"/>
    <w:rsid w:val="00EA12FA"/>
    <w:rsid w:val="00EA3181"/>
    <w:rsid w:val="00EA3DD6"/>
    <w:rsid w:val="00EA4017"/>
    <w:rsid w:val="00EA49D9"/>
    <w:rsid w:val="00EA53A1"/>
    <w:rsid w:val="00EA6D79"/>
    <w:rsid w:val="00EB01EF"/>
    <w:rsid w:val="00EB0BAF"/>
    <w:rsid w:val="00EB1BA1"/>
    <w:rsid w:val="00EB3DFB"/>
    <w:rsid w:val="00EC24D8"/>
    <w:rsid w:val="00EC5767"/>
    <w:rsid w:val="00EC5C89"/>
    <w:rsid w:val="00EC711B"/>
    <w:rsid w:val="00EC7BA0"/>
    <w:rsid w:val="00ED5B0E"/>
    <w:rsid w:val="00ED6064"/>
    <w:rsid w:val="00EE0A78"/>
    <w:rsid w:val="00EE3B00"/>
    <w:rsid w:val="00EE4758"/>
    <w:rsid w:val="00EE7598"/>
    <w:rsid w:val="00EE7B43"/>
    <w:rsid w:val="00EF0DD3"/>
    <w:rsid w:val="00EF13FF"/>
    <w:rsid w:val="00EF1425"/>
    <w:rsid w:val="00EF14E0"/>
    <w:rsid w:val="00EF246D"/>
    <w:rsid w:val="00EF2C88"/>
    <w:rsid w:val="00EF759A"/>
    <w:rsid w:val="00EF767D"/>
    <w:rsid w:val="00EF7955"/>
    <w:rsid w:val="00F009F7"/>
    <w:rsid w:val="00F00AAB"/>
    <w:rsid w:val="00F03F2C"/>
    <w:rsid w:val="00F04646"/>
    <w:rsid w:val="00F04D8F"/>
    <w:rsid w:val="00F06035"/>
    <w:rsid w:val="00F0652B"/>
    <w:rsid w:val="00F10064"/>
    <w:rsid w:val="00F10E7B"/>
    <w:rsid w:val="00F11523"/>
    <w:rsid w:val="00F14283"/>
    <w:rsid w:val="00F14FAF"/>
    <w:rsid w:val="00F16065"/>
    <w:rsid w:val="00F167DA"/>
    <w:rsid w:val="00F174A7"/>
    <w:rsid w:val="00F225EF"/>
    <w:rsid w:val="00F22B65"/>
    <w:rsid w:val="00F25257"/>
    <w:rsid w:val="00F25814"/>
    <w:rsid w:val="00F27B1C"/>
    <w:rsid w:val="00F30361"/>
    <w:rsid w:val="00F30557"/>
    <w:rsid w:val="00F33109"/>
    <w:rsid w:val="00F3737F"/>
    <w:rsid w:val="00F40037"/>
    <w:rsid w:val="00F40479"/>
    <w:rsid w:val="00F4265B"/>
    <w:rsid w:val="00F429ED"/>
    <w:rsid w:val="00F4337B"/>
    <w:rsid w:val="00F43D29"/>
    <w:rsid w:val="00F45C29"/>
    <w:rsid w:val="00F46FF8"/>
    <w:rsid w:val="00F4763C"/>
    <w:rsid w:val="00F507CB"/>
    <w:rsid w:val="00F52929"/>
    <w:rsid w:val="00F52B48"/>
    <w:rsid w:val="00F53F18"/>
    <w:rsid w:val="00F55772"/>
    <w:rsid w:val="00F561EB"/>
    <w:rsid w:val="00F56EB2"/>
    <w:rsid w:val="00F62175"/>
    <w:rsid w:val="00F64FEB"/>
    <w:rsid w:val="00F65ADC"/>
    <w:rsid w:val="00F6629F"/>
    <w:rsid w:val="00F702F4"/>
    <w:rsid w:val="00F70F62"/>
    <w:rsid w:val="00F730CF"/>
    <w:rsid w:val="00F73AB9"/>
    <w:rsid w:val="00F81A21"/>
    <w:rsid w:val="00F81F2B"/>
    <w:rsid w:val="00F82D56"/>
    <w:rsid w:val="00F8302F"/>
    <w:rsid w:val="00F8468C"/>
    <w:rsid w:val="00F85349"/>
    <w:rsid w:val="00F867BF"/>
    <w:rsid w:val="00F8724A"/>
    <w:rsid w:val="00F91118"/>
    <w:rsid w:val="00F92AFA"/>
    <w:rsid w:val="00F93479"/>
    <w:rsid w:val="00F935CA"/>
    <w:rsid w:val="00F950BF"/>
    <w:rsid w:val="00F95228"/>
    <w:rsid w:val="00F95BA8"/>
    <w:rsid w:val="00F97106"/>
    <w:rsid w:val="00F9721A"/>
    <w:rsid w:val="00FA5359"/>
    <w:rsid w:val="00FA5A7D"/>
    <w:rsid w:val="00FA66BD"/>
    <w:rsid w:val="00FB3D21"/>
    <w:rsid w:val="00FB40F0"/>
    <w:rsid w:val="00FC40EA"/>
    <w:rsid w:val="00FC45AD"/>
    <w:rsid w:val="00FC4806"/>
    <w:rsid w:val="00FD0912"/>
    <w:rsid w:val="00FD0FDC"/>
    <w:rsid w:val="00FD2D7C"/>
    <w:rsid w:val="00FD37AB"/>
    <w:rsid w:val="00FD60AC"/>
    <w:rsid w:val="00FD619A"/>
    <w:rsid w:val="00FD75D5"/>
    <w:rsid w:val="00FE0409"/>
    <w:rsid w:val="00FE1637"/>
    <w:rsid w:val="00FE32D6"/>
    <w:rsid w:val="00FE61F9"/>
    <w:rsid w:val="00FF0D96"/>
    <w:rsid w:val="00FF0DA3"/>
    <w:rsid w:val="00FF29A8"/>
    <w:rsid w:val="00FF3A78"/>
    <w:rsid w:val="00FF3D0D"/>
    <w:rsid w:val="00FF4E00"/>
    <w:rsid w:val="00FF5CBF"/>
    <w:rsid w:val="00FF63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customStyle="1" w:styleId="UnresolvedMention1">
    <w:name w:val="Unresolved Mention1"/>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3785">
      <w:bodyDiv w:val="1"/>
      <w:marLeft w:val="0"/>
      <w:marRight w:val="0"/>
      <w:marTop w:val="0"/>
      <w:marBottom w:val="0"/>
      <w:divBdr>
        <w:top w:val="none" w:sz="0" w:space="0" w:color="auto"/>
        <w:left w:val="none" w:sz="0" w:space="0" w:color="auto"/>
        <w:bottom w:val="none" w:sz="0" w:space="0" w:color="auto"/>
        <w:right w:val="none" w:sz="0" w:space="0" w:color="auto"/>
      </w:divBdr>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is.Urtans@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71E69-3E97-4D65-8C01-01EEEA2010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225D96-B531-4063-BEF3-F91645EC7C44}">
  <ds:schemaRefs>
    <ds:schemaRef ds:uri="http://schemas.openxmlformats.org/officeDocument/2006/bibliography"/>
  </ds:schemaRefs>
</ds:datastoreItem>
</file>

<file path=customXml/itemProps3.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163CC-68E5-4B18-8D14-DCE205BB6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18551</Words>
  <Characters>10575</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Ministru kabineta rīkojums projekts “Par atšķirīgu dividendēs izmaksājamo valsts akciju sabiedrības “Valsts nekustamie īpašumi” peļņas daļu par 2020. gadu”</vt:lpstr>
    </vt:vector>
  </TitlesOfParts>
  <Company>Finanšu ministrija (VNĪ)</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projekts “Par atšķirīgu dividendēs izmaksājamo valsts akciju sabiedrības “Valsts nekustamie īpašumi” peļņas daļu par 2020. gadu”</dc:title>
  <dc:subject>Izziņa par atzinumos sniegtajiem iebildumiem</dc:subject>
  <dc:creator>Liga.Rozenberga@vni.lv</dc:creator>
  <cp:keywords/>
  <dc:description>Liga.Rozenberga@vni.lv
22046774</dc:description>
  <cp:lastModifiedBy>Līga Rozenberga</cp:lastModifiedBy>
  <cp:revision>2</cp:revision>
  <cp:lastPrinted>2020-06-29T08:34:00Z</cp:lastPrinted>
  <dcterms:created xsi:type="dcterms:W3CDTF">2021-10-19T10:21:00Z</dcterms:created>
  <dcterms:modified xsi:type="dcterms:W3CDTF">2021-10-19T10:21:00Z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