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24-TA-698: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Maksājumu pakalpojumu un elektroniskās naudas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Par Eiropas Parlamenta un Padomes 2012. gada 4. marta regulas Nr. 260/2012, ar ko nosaka tehniskās un darbības prasības kredīta pārvedumiem un tiešā debeta maksājumiem </w:t>
            </w:r>
            <w:r w:rsidR="00000000" w:rsidRPr="00000000" w:rsidDel="00000000">
              <w:rPr>
                <w:i w:val="1"/>
                <w:rtl w:val="0"/>
              </w:rPr>
              <w:t xml:space="preserve">euro</w:t>
            </w:r>
            <w:r w:rsidR="00000000" w:rsidRPr="00000000" w:rsidDel="00000000">
              <w:rPr>
                <w:rtl w:val="0"/>
              </w:rPr>
              <w:t xml:space="preserve"> un groza regulu (EK) Nr. 924/2009 (Dokuments attiecas uz EEZ) 5.d pantā noteikto prasību pārkāpumiem Latvijas Banka ir tiesīga piemērot šādas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uzlikt juridiskajai personai soda naudu līdz 10 procentiem no kopējā gada apgrozījuma saskaņā ar minētās juridiskās personas pēdējo pieejamo revidēto gada pārskatu. Ja maksājumu pakalpojumu sniedzējs ir mātes sabiedrības meitas sabiedrība, attiecīgais kopējais gada apgrozījums ir kopējais gada apgrozījums vai atbilstoša veida ienākumi saskaņā ar attiecīgajiem normatīvajiem aktiem un pēdējiem pieejamiem konsolidētajiem pārskatiem, kurus apstiprinājusi galvenā mātes sabiedrības vadības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uzlikt fiziskai personai soda naudu līdz 5 000 000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3. pantā atsaukties uz konkrētu normatīvo aktu jomu ("saskaņā ar attiecīgajiem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Izlabots: "saskaņā ar izcelsmes dalībvalsts attiecīgajiem normatīvajiem aktiem grāmatvedības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Par Eiropas Parlamenta un Padomes 2012. gada 4. marta regulas Nr. 260/2012, ar ko nosaka tehniskās un darbības prasības kredīta pārvedumiem un tiešā debeta maksājumiem </w:t>
            </w:r>
            <w:r w:rsidR="00000000" w:rsidRPr="00000000" w:rsidDel="00000000">
              <w:rPr>
                <w:i w:val="1"/>
                <w:rtl w:val="0"/>
              </w:rPr>
              <w:t xml:space="preserve">euro</w:t>
            </w:r>
            <w:r w:rsidR="00000000" w:rsidRPr="00000000" w:rsidDel="00000000">
              <w:rPr>
                <w:rtl w:val="0"/>
              </w:rPr>
              <w:t xml:space="preserve"> un groza regulu (EK) Nr. 924/2009 (Dokuments attiecas uz EEZ), 5.d pantā noteiktā pienākuma maksājumu pakalpojumu sniedzējiem, kuri piedāvā tūlītējus kredīta pārvedumus, pārbaudīt, vai kādam no to maksājumu pakalpojumu izmantotājiem piemēro mērķtiecīgus finansiālus ierobežojošus pasākumus, neizpildi Latvijas Banka ir tiesīga piemērot šādas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uzlikt juridiskajai personai soda naudu līdz 10 procentiem no kopējā gada apgrozījuma saskaņā ar minētās juridiskās personas pēdējo pieejamo revidēto gada pārskatu. Ja maksājumu pakalpojumu sniedzējs ir mātes sabiedrības meitas sabiedrība, attiecīgais kopējais gada apgrozījums ir kopējais gada apgrozījums vai atbilstoša veida ienākumi saskaņā ar izcelsmes dalībvalsts attiecīgajiem normatīvajiem aktiem grāmatvedības jomā un pēdējiem pieejamiem konsolidētajiem pārskatiem, kurus apstiprinājusi galvenā mātes sabiedrības vadības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uzlikt fiziskai personai soda naudu līdz 5 000 000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Par Eiropas Parlamenta un Padomes 2012. gada 4. marta regulas Nr. 260/2012, ar ko nosaka tehniskās un darbības prasības kredīta pārvedumiem un tiešā debeta maksājumiem </w:t>
            </w:r>
            <w:r w:rsidR="00000000" w:rsidRPr="00000000" w:rsidDel="00000000">
              <w:rPr>
                <w:i w:val="1"/>
                <w:rtl w:val="0"/>
              </w:rPr>
              <w:t xml:space="preserve">euro</w:t>
            </w:r>
            <w:r w:rsidR="00000000" w:rsidRPr="00000000" w:rsidDel="00000000">
              <w:rPr>
                <w:rtl w:val="0"/>
              </w:rPr>
              <w:t xml:space="preserve"> un groza regulu (EK) Nr. 924/2009 (Dokuments attiecas uz EEZ) 5.d pantā noteikto prasību pārkāpumiem Latvijas Banka ir tiesīga piemērot šādas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uzlikt juridiskajai personai soda naudu līdz 10 procentiem no kopējā gada apgrozījuma saskaņā ar minētās juridiskās personas pēdējo pieejamo revidēto gada pārskatu. Ja maksājumu pakalpojumu sniedzējs ir mātes sabiedrības meitas sabiedrība, attiecīgais kopējais gada apgrozījums ir kopējais gada apgrozījums vai atbilstoša veida ienākumi saskaņā ar attiecīgajiem normatīvajiem aktiem un pēdējiem pieejamiem konsolidētajiem pārskatiem, kurus apstiprinājusi galvenā mātes sabiedrības vadības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uzlikt fiziskai personai soda naudu līdz 5 000 000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norādīt pārkāpumus, par kuriem Latvijas Banka varēs piemērot likumprojektā minētās sankcijas. Neskatoties uz atsauces esību, ir jānorāda visas nepieciešamās pārkāpuma pazīmes. Atsaucei uz regulu var būt tikai informatīva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Pārkāpumu formulēšanas aspektā aicinām pievērst īpašu uzmanību blanketajām normām. Atbildību noteicošas normas nevar atzīt par neskaidrām tāpēc vien, ka to saturs noskaidrojams, pamatojoties uz citām tiesību normām vai normatīvajiem aktiem</w:t>
            </w:r>
            <w:r w:rsidR="00000000" w:rsidRPr="00000000" w:rsidDel="00000000">
              <w:rPr>
                <w:i w:val="1"/>
                <w:rtl w:val="0"/>
              </w:rPr>
              <w:t xml:space="preserve"> (sal. Satversmes tiesas 19.02.2021. sprieduma lietā Nr. 2020-23-01 15. punkts)</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likumprojektā ietvertajam pārkāpuma aprakstam, lai arī ļoti vispārīgi, bet ir jāsatur visas pārkāpuma pazīmes pat tad, ja tas satur informatīvas atsauces uz regulas vienībām. Arī no juridiskās tehniskas viedokļa atsauču lietojumam jābūt tādam, lai likumprojekta regulējumu varētu vispārīgi saprast, neizlasot atsaucē norādīto cita normatīvā akta vienību. Tādēļ likumprojektā pārkāpumu saturošā vienība veidojama tā, lai atsauci var izņemt vai lasot izlaist un tas neietekmētu pārkāpuma pazīmju esību un regulējuma skaidrību un saprotamību. Savukārt atsauces uz nacionālajiem normatīvajiem aktiem pārkāpuma pazīmju formulējumā vispār nav nepieciešamas un nav vēlamas.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grozāmā likuma 56. panta 2.</w:t>
            </w:r>
            <w:r w:rsidR="00000000" w:rsidRPr="00000000" w:rsidDel="00000000">
              <w:rPr>
                <w:vertAlign w:val="superscript"/>
                <w:rtl w:val="0"/>
              </w:rPr>
              <w:t xml:space="preserve">3 </w:t>
            </w:r>
            <w:r w:rsidR="00000000" w:rsidRPr="00000000" w:rsidDel="00000000">
              <w:rPr>
                <w:rtl w:val="0"/>
              </w:rPr>
              <w:t xml:space="preserve">daļā ietvertā pārkāpuma formulējumu. Salīdzinājumam var izmantot Informācijas sabiedrības pakalpojumu likuma 20. pantā ietverto administratīvās atbildības regulējumu. Turklāt pat par šāda detalizācijas līmeņa pārkāpuma pazīmēm Saeimas Juridiskās komisijas Krimināltiesību un sodu politikas apakškomisija norādīja, ka "likumprojektā ietvertās dispozīcijas ir smagnējas un grūti uztveramas, un tādēļ aicinām tās formulēt tā, lai lietotājam tās būtu vieglāk saprotamas"</w:t>
            </w:r>
            <w:r w:rsidR="00000000" w:rsidRPr="00000000" w:rsidDel="00000000">
              <w:rPr>
                <w:i w:val="1"/>
                <w:rtl w:val="0"/>
              </w:rPr>
              <w:t xml:space="preserve"> (Juridiskās komisijas Krimināltiesību un sodu politikas apakškomisijas vēstule Nr. 142.1.9/3-12-14/23; Juridiskās komisijas Krimināltiesību un sodu politikas apakškomisijas 2023. gada 21. februāra sēdes protokols Nr. 141.1.9/3/1-4-14/23).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Izlabots: "Par .. regulas Nr. 260/2012 .. 5.d pantā noteiktā pienākuma maksājumu pakalpojumu sniedzējiem, kuri piedāvā tūlītējus kredīta pārvedumus, pārbaudīt, vai kādam no to maksājumu pakalpojumu izmantotājiem piemēro mērķtiecīgus finansiālus ierobežojošus pasākumus, neizpildi.."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Par Eiropas Parlamenta un Padomes 2012. gada 4. marta regulas Nr. 260/2012, ar ko nosaka tehniskās un darbības prasības kredīta pārvedumiem un tiešā debeta maksājumiem </w:t>
            </w:r>
            <w:r w:rsidR="00000000" w:rsidRPr="00000000" w:rsidDel="00000000">
              <w:rPr>
                <w:i w:val="1"/>
                <w:rtl w:val="0"/>
              </w:rPr>
              <w:t xml:space="preserve">euro</w:t>
            </w:r>
            <w:r w:rsidR="00000000" w:rsidRPr="00000000" w:rsidDel="00000000">
              <w:rPr>
                <w:rtl w:val="0"/>
              </w:rPr>
              <w:t xml:space="preserve"> un groza regulu (EK) Nr. 924/2009 (Dokuments attiecas uz EEZ), 5.d pantā noteiktā pienākuma maksājumu pakalpojumu sniedzējiem, kuri piedāvā tūlītējus kredīta pārvedumus, pārbaudīt, vai kādam no to maksājumu pakalpojumu izmantotājiem piemēro mērķtiecīgus finansiālus ierobežojošus pasākumus, neizpildi Latvijas Banka ir tiesīga piemērot šādas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uzlikt juridiskajai personai soda naudu līdz 10 procentiem no kopējā gada apgrozījuma saskaņā ar minētās juridiskās personas pēdējo pieejamo revidēto gada pārskatu. Ja maksājumu pakalpojumu sniedzējs ir mātes sabiedrības meitas sabiedrība, attiecīgais kopējais gada apgrozījums ir kopējais gada apgrozījums vai atbilstoša veida ienākumi saskaņā ar izcelsmes dalībvalsts attiecīgajiem normatīvajiem aktiem grāmatvedības jomā un pēdējiem pieejamiem konsolidētajiem pārskatiem, kurus apstiprinājusi galvenā mātes sabiedrības vadības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uzlikt fiziskai personai soda naudu līdz 5 000 000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w:t>
            </w:r>
            <w:r w:rsidR="00000000" w:rsidRPr="00000000" w:rsidDel="00000000">
              <w:rPr>
                <w:vertAlign w:val="superscript"/>
                <w:rtl w:val="0"/>
              </w:rPr>
              <w:t xml:space="preserve">1</w:t>
            </w:r>
            <w:r w:rsidR="00000000" w:rsidRPr="00000000" w:rsidDel="00000000">
              <w:rPr>
                <w:rtl w:val="0"/>
              </w:rPr>
              <w:t xml:space="preserve"> Iestādes dalība maksājumu sistēmās un piekļuve kredītiestādes sniegtajiem maksājumu konta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pants. Reģistrētiem maksājumu pakalpojumu sniedzējiem – juridiskajām personām – Latvijā funkcionējošās maksājumu sistēmas nodrošina objektīvus, nediskriminējošus un samērīgus piekļuves (dalības) nosacījumus. Maksājumu sistēmām nav tiesību ierobežot piekļuvi sistēmai (dalību sistēmā) vairāk, nekā tas pamatoti nepieciešams, lai aizsargātu sistēmu pret norēķina, operacionālajiem un komercdarbības riskiem vai nodrošinātu sistēmas operacionālo vai finansiālo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pants. (1) Latvijā funkcionējošām maksājumu sistēmām nav atļauts noteikt maksājumu pakalpojumu sniedzējiem, maksājumu pakalpojumu izmantotājiem vai citām maksājumu sistēmām nevienu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ierobežojošus nosacījumus attiecībā uz faktisku dalību citās maksājumu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 kas savstarpēji diskriminē licenci saņēmušos maksājumu pakalpojumu sniedzējus vai reģistrētus maksājumu pakalpojumu sniedzējus attiecībā uz to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nosacījumu, kas ietver ierobežojumu, kura pamatā ir iestādes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pirmo daļu un šā likuma 56.</w:t>
            </w:r>
            <w:r w:rsidR="00000000" w:rsidRPr="00000000" w:rsidDel="00000000">
              <w:rPr>
                <w:vertAlign w:val="superscript"/>
                <w:rtl w:val="0"/>
              </w:rPr>
              <w:t xml:space="preserve">1</w:t>
            </w:r>
            <w:r w:rsidR="00000000" w:rsidRPr="00000000" w:rsidDel="00000000">
              <w:rPr>
                <w:rtl w:val="0"/>
              </w:rPr>
              <w:t xml:space="preserve"> panta noteikumus nepiemēro maksājumu sistēmām, kas aptver tikai tādus maksājumu pakalpojumu sniedzējus, kuri ietilpst vienā komercsabiedrību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likumā “Par norēķinu galīgumu maksājumu un finanšu instrumentu norēķinu sistēmās” noteiktās maksājumu sistēmas noteikumi to paredz, un sistēmas dalībnieks nodrošina iespēju maksājumu pakalpojumu sniedzējam, kas nav sistēmas dalībnieks, veikt pārskaitījumus caur sistēmu, dalībniekam ir pienākums šādu iespēju nodrošināt arī citam maksājumu pakalpojumu sniedzējam objektīvā, samērīgā un nediskriminējošā veidā atbilstoši šā likuma 56.</w:t>
            </w:r>
            <w:r w:rsidR="00000000" w:rsidRPr="00000000" w:rsidDel="00000000">
              <w:rPr>
                <w:vertAlign w:val="superscript"/>
                <w:rtl w:val="0"/>
              </w:rPr>
              <w:t xml:space="preserve">1</w:t>
            </w:r>
            <w:r w:rsidR="00000000" w:rsidRPr="00000000" w:rsidDel="00000000">
              <w:rPr>
                <w:rtl w:val="0"/>
              </w:rPr>
              <w:t xml:space="preserve">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panta trešajā daļā minētās sistēmas dalībnieks iestādei liedz pārskaitījumu veikšanu caur attiecīgo sistēmu, tas pamato iestādei savu atteikumu.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w:t>
            </w:r>
            <w:r w:rsidR="00000000" w:rsidRPr="00000000" w:rsidDel="00000000">
              <w:rPr>
                <w:rtl w:val="0"/>
              </w:rPr>
              <w:t xml:space="preserve"> pants. (1) Dalībvalstī licencēta iestāde, kas ir vai vēlas kļūt par maksājumu sistēmas likuma “Par norēķinu galīgumu maksājumu un finanšu instrumentu norēķinu sistēmās” 1. panta 1. punkta izpratnē dalībnieku,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pasākumus, lai aizsargātu maksājumu pakalpojumu izmantotāju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2022. gada 14. decembra regulas (ES) Nr. 2022/2554 par finanšu nozares digitālās darbības noturību un ar ko groza regulas (EK) Nr. 1060/2009, (ES) Nr. 648/2012, (ES) Nr. 600/2014, (ES) Nr. 909/2014 un (ES) 2016/1011 (Dokuments attiecas uz EEZ) 6. un 7. panta prasībām atbilstošus, samērīgus, piemērotus, pareizus un pietiekamus pārvaldības pasākumus un iekšējās kontroles mehānismus attiecībā uz maksājumu pakalpojumiem vai elektroniskās naudas pakalpojumiem, ko tā plāno sniegt vai sniedz, tostarp administratīvās, risku pārvaldības un grāmatvedības procedūras, un informācijas un komunikācijas tehnoloģiju pakalpojumu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aktuālu likvidācijas plānu neizdošanās gadījumā, kas ir atbilstošs iestādes paredzētajam lielumam un biznesa modelim, un ietver risku mazināšanas pasākumus, ko iestāde ir paredzējusi veikt savu maksājumu pakalpojumu izbeigšanas gadījumā, tai skaitā, lai nodrošinātu nepabeigto maksājumu izpildi un spēkā esošo līgumu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punkta izpildei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tā maksājumu pakalpojumu izmantotāju naudu aizsargā, noguldot tos atsevišķā kontā kredītiestādē vai ieguldot drošos, likvīdos zema riska aktīvos,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nodrošina tādu ieguldījumu politiku, ka izvēlētie aktīvi ir likvīdi, droši un zema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nosaka personu loku, kam ir piekļuve šajā punktā minētajam aizsardzību nodrošinošajam kontam, un viņu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nodrošina, ka maksājumu pakalpojumu izmantotāju nauda netiek iekļauta tajā iestādes mantā, no kuras tiek segti citu šīs iestādes kreditoru prasījumi, īpaši iestādes maksātnespējas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ir noslēgusi līgumu ar kredītiestādi par konta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tā maksājumu pakalpojumu izmantotāju naudu aizsargā ar apdrošinātāja vai kredītiestādes izsniegtu galvojuma apdrošināšanas polisi vai citu garantiju,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nodrošina, ka izvēlētais apdrošinātājs vai kredītiestāde neietilpst vienā komercsabiedrību grupā ar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nodrošina, ka apdrošināšanas polise vai cita atbilstošā garantija ir pietiekama, lai nosegtu iestādes saistības jebkurā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noslēgusi apdrošināšanas vai citas atbilstošas garantijas līgumu ar atbilstošu seguma termiņu un atjaunošanas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2. punktā minētie pārvaldības un iekšējās kontroles mehānismi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iestādes risku identificēšanas pasākumus un identificēto risku novērtēšanas un novēršanas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procedūras periodisko un pastāvīgo kontroļu veikšanai, norādot to biežumu un atvēlētos cilvēkresursus;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grāmatvedības procedūras, ar kurām iestāde reģistrē un paziņo savu finanšu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tās personas vai personu identitāti, kas ir atbildīgas par iekšējās kontroles funkcijām, tostarp par periodisko, pastāvīgo un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informāciju par revidentu, kas nav zvērināts revidents Revīzijas pakalpojumu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informāciju par vadības struktūru un citas pārraudzības struktūras vai komitejas sastāvu, ja tādas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informāciju par to, kā tiek uzraudzītas un kontrolētas ārpakalpojumu sniedzējiem uzticētās funkcijas, lai izvairītos no iestādes iekšējās kontroles kvalitātes pasliktināšanās;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informāciju par to, kā iestādes iekšējās kontroles ietvaros tiek veikta pārstāvju un filiāļu uzraudzība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ja iestāde ir citas dalībvalsts regulētas komercsabiedrības meitas sabiedrība, grupas pārvaldības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4</w:t>
            </w:r>
            <w:r w:rsidR="00000000" w:rsidRPr="00000000" w:rsidDel="00000000">
              <w:rPr>
                <w:rtl w:val="0"/>
              </w:rPr>
              <w:t xml:space="preserve"> pants. Latvijā licencēta iestāde, kas vēlas kļūt par maksājumu sistēmas likuma “Par norēķinu galīgumu maksājumu un finanšu instrumentu norēķinu sistēmās” 1. panta 1. punkta izpratnē dalībnieku, iesniedz sistēmas operatoram apliecinājumu par tās atbilstību šā likuma 56.</w:t>
            </w:r>
            <w:r w:rsidR="00000000" w:rsidRPr="00000000" w:rsidDel="00000000">
              <w:rPr>
                <w:vertAlign w:val="superscript"/>
                <w:rtl w:val="0"/>
              </w:rPr>
              <w:t xml:space="preserve">3</w:t>
            </w:r>
            <w:r w:rsidR="00000000" w:rsidRPr="00000000" w:rsidDel="00000000">
              <w:rPr>
                <w:rtl w:val="0"/>
              </w:rPr>
              <w:t xml:space="preserve"> pantā minētajām prasībām. Pēc sistēmas operatora pieprasījuma iestāde sniedz šādu apliecinājumu atkārtoti.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5</w:t>
            </w:r>
            <w:r w:rsidR="00000000" w:rsidRPr="00000000" w:rsidDel="00000000">
              <w:rPr>
                <w:rtl w:val="0"/>
              </w:rPr>
              <w:t xml:space="preserve"> pants. (1) Kredītiestādei ir pienākums nodrošināt iestādēm un valūtu tirdzniecības sabiedrībām objektīvu, samērīgu un nediskriminējošu piekļuvi kredītiestādes sniegtajiem maksājumu konta pakalpojumiem. Šāda piekļuve ir pietiekami plaša, lai iestāde un valūtu tirdzniecības sabiedrība spētu efektīvi un netraucēti sniegt maksājumu pakalpojumus, elektroniskās naudas pakalpojumus un valūtu tirdzniecības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Kredītiestāde nekavējoties, bet ne vēlāk kā piecu darba dienu laikā ziņo Latvijas Bankai par katru šā panta pirmajā daļā minētās piekļuves atteikumu, klāt pievienojot attiecīgu pamatojumu. Kredītiestāde šādu ziņojumu Latvijas Bankai nosūta elektroniskā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likumprojektā un tā anotācijā skaidrot, kādos gadījumos apliecinājums par atbilstību šā likuma 56.</w:t>
            </w:r>
            <w:r w:rsidR="00000000" w:rsidRPr="00000000" w:rsidDel="00000000">
              <w:rPr>
                <w:vertAlign w:val="superscript"/>
                <w:rtl w:val="0"/>
              </w:rPr>
              <w:t xml:space="preserve">3</w:t>
            </w:r>
            <w:r w:rsidR="00000000" w:rsidRPr="00000000" w:rsidDel="00000000">
              <w:rPr>
                <w:rtl w:val="0"/>
              </w:rPr>
              <w:t xml:space="preserve"> pantā minētajām prasībām būtu sniedzams sistēmas operatoram atkārtoti, tādējādi nodrošinot konkrētās likumprojekta prasības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 apliecinājuma pieprasīšana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w:t>
            </w:r>
            <w:r w:rsidR="00000000" w:rsidRPr="00000000" w:rsidDel="00000000">
              <w:rPr>
                <w:vertAlign w:val="superscript"/>
                <w:rtl w:val="0"/>
              </w:rPr>
              <w:t xml:space="preserve">1</w:t>
            </w:r>
            <w:r w:rsidR="00000000" w:rsidRPr="00000000" w:rsidDel="00000000">
              <w:rPr>
                <w:rtl w:val="0"/>
              </w:rPr>
              <w:t xml:space="preserve"> Iestādes dalība maksājumu sistēmās un piekļuve kredītiestādes sniegtajiem maksājumu konta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pants. Reģistrētiem maksājumu pakalpojumu sniedzējiem – juridiskajām personām – Latvijā funkcionējošās maksājumu sistēmas nodrošina objektīvus, nediskriminējošus un samērīgus piekļuves (dalības) nosacījumus. Maksājumu sistēmām nav tiesību ierobežot piekļuvi sistēmai (dalību sistēmā) vairāk, nekā tas pamatoti nepieciešams, lai aizsargātu sistēmu pret norēķina, operacionālajiem un komercdarbības riskiem vai nodrošinātu sistēmas operacionālo vai finansiālo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pants. (1) Latvijā funkcionējošām maksājumu sistēmām nav atļauts noteikt maksājumu pakalpojumu sniedzējiem, maksājumu pakalpojumu izmantotājiem vai citām maksājumu sistēmām nevienu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ierobežojošus nosacījumus attiecībā uz faktisku dalību citās maksājumu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 kas savstarpēji diskriminē licenci saņēmušos maksājumu pakalpojumu sniedzējus vai reģistrētus maksājumu pakalpojumu sniedzējus attiecībā uz to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nosacījumu, kas ietver ierobežojumu, kura pamatā ir iestādes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pirmo daļu un šā likuma 56.</w:t>
            </w:r>
            <w:r w:rsidR="00000000" w:rsidRPr="00000000" w:rsidDel="00000000">
              <w:rPr>
                <w:vertAlign w:val="superscript"/>
                <w:rtl w:val="0"/>
              </w:rPr>
              <w:t xml:space="preserve">1</w:t>
            </w:r>
            <w:r w:rsidR="00000000" w:rsidRPr="00000000" w:rsidDel="00000000">
              <w:rPr>
                <w:rtl w:val="0"/>
              </w:rPr>
              <w:t xml:space="preserve"> panta noteikumus nepiemēro maksājumu sistēmām, kas aptver tikai tādus maksājumu pakalpojumu sniedzējus, kuri ietilpst vienā komercsabiedrību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likumā “Par norēķinu galīgumu maksājumu un finanšu instrumentu norēķinu sistēmās” noteiktās maksājumu sistēmas noteikumi to paredz, un sistēmas dalībnieks nodrošina iespēju maksājumu pakalpojumu sniedzējam, kas nav sistēmas dalībnieks, veikt pārskaitījumus caur sistēmu, dalībniekam ir pienākums šādu iespēju nodrošināt arī citam maksājumu pakalpojumu sniedzējam objektīvā, samērīgā un nediskriminējošā veidā atbilstoši šā likuma 56.</w:t>
            </w:r>
            <w:r w:rsidR="00000000" w:rsidRPr="00000000" w:rsidDel="00000000">
              <w:rPr>
                <w:vertAlign w:val="superscript"/>
                <w:rtl w:val="0"/>
              </w:rPr>
              <w:t xml:space="preserve">1</w:t>
            </w:r>
            <w:r w:rsidR="00000000" w:rsidRPr="00000000" w:rsidDel="00000000">
              <w:rPr>
                <w:rtl w:val="0"/>
              </w:rPr>
              <w:t xml:space="preserve">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panta trešajā daļā minētās sistēmas dalībnieks iestādei liedz pārskaitījumu veikšanu caur attiecīgo sistēmu, tas pamato iestādei savu atteikumu.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w:t>
            </w:r>
            <w:r w:rsidR="00000000" w:rsidRPr="00000000" w:rsidDel="00000000">
              <w:rPr>
                <w:rtl w:val="0"/>
              </w:rPr>
              <w:t xml:space="preserve"> pants. (1) Dalībvalstī licencētai iestādei, kas ir vai vēlas kļūt par maksājumu sistēmas likuma “Par norēķinu galīgumu maksājumu un finanšu instrumentu norēķinu sistēmās” 1. panta 1. punkta izpratnē dalībnieku, ir turpmāk minētie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tādu pasākumu apraksts, kas veikti, lai aizsargātu maksājumu pakalpojumu izmantotāju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apraksts par iekšējās pārvaldības pasākumiem un iekšējās kontroles mehānismiem attiecībā uz maksājumu pakalpojumiem vai elektroniskās naudas pakalpojumiem, ko tā plāno sniegt vai sniedz, tostarp par administratīvajām, risku pārvaldības un grāmatvedības procedūrām, un apraksts par informācijas un komunikācijas tehnoloģiju pakalpojumu izmantošanas kārtību atbilstoši Eiropas Parlamenta un Padomes 2022. gada 14. decembra regulas (ES) Nr. 2022/2554 par finanšu nozares digitālās darbības noturību un ar ko groza regulas (EK) Nr. 1060/2009, (ES) Nr. 648/2012, (ES) Nr. 600/2014, (ES) Nr. 909/2014 un (ES) 2016/1011 (Dokuments attiecas uz EEZ) 6. un 7. pantā norādītajām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aktuāls likvidācijas plāns neizdošanās gadījumā, kas ir atbilstošs iestādes paredzētajam lielumam un biznesa modelim, un ietver risku mazināšanas pasākumus, ko iestāde ir paredzējusi veikt savu maksājumu pakalpojumu izbeigšanas gadījumā, lai nodrošinātu nepabeigto maksājumu izpildi un spēkā esošo līgumu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punkta izpildei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tā maksājumu pakalpojumu izmantotāju naudu aizsargā, noguldot tos atsevišķā kontā kredītiestādē vai ieguldot drošos, likvīdos zema riska aktīvos,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nodrošina tādu ieguldījumu politiku, ka izvēlētie aktīvi ir likvīdi, droši un zema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nosaka personu loku, kam ir piekļuve šajā punktā minētajam aizsardzību nodrošinošajam kontam, un viņu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nodrošina, ka maksājumu pakalpojumu izmantotāju nauda netiek iekļauta tajā iestādes mantā, no kuras tiek segti citu šīs iestādes kreditoru prasījumi, īpaši iestādes maksātnespējas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ir noslēgusi līgumu ar kredītiestādi par konta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apliecina, ka nodrošina šā likuma 38. panta pirmajā daļā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tā maksājumu pakalpojumu izmantotāju naudu aizsargā ar apdrošinātāja vai kredītiestādes izsniegtu galvojuma apdrošināšanas polisi vai citu garantiju,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nodrošina, ka izvēlētais apdrošinātājs vai kredītiestāde neietilpst vienā komercsabiedrību grupā ar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nodrošina, ka apdrošināšanas polise vai cita atbilstošā garantija ir pietiekama, lai nosegtu iestādes saistības jebkurā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noslēgusi apdrošināšanas vai citas atbilstošas garantijas līgumu ar atbilstošu seguma termiņu un atjaunošanas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2. punktā minētie pārvaldības un iekšējās kontroles mehānismi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iestādes risku identificēšanas pasākumus un identificēto risku novērtēšanas un novēršanas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procedūras periodisko un pastāvīgo kontroļu veikšanai, norādot to biežumu un atvēlētos cilvēkresursus;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grāmatvedības procedūras, ar kurām iestāde reģistrē un paziņo savu finanšu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tās personas vai personu identitāti, kas ir atbildīgas par iekšējās kontroles funkcijām, tostarp par periodisko, pastāvīgo un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informāciju par revidentu, kas nav zvērināts revidents Revīzijas pakalpojumu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informāciju par vadības struktūru un citas pārraudzības struktūras vai komitejas sastāvu, ja tādas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informāciju par to, kā tiek uzraudzītas un kontrolētas ārpakalpojumu sniedzējiem uzticētās funkcijas, lai izvairītos no iestādes iekšējās kontroles kvalitātes pasliktināšanās;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informāciju par to, kā iestādes iekšējās kontroles ietvaros tiek veikta pārstāvju un filiāļu uzraudzība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ja iestāde ir citas dalībvalsts regulētas komercsabiedrības meitas sabiedrība, grupas pārvaldības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4</w:t>
            </w:r>
            <w:r w:rsidR="00000000" w:rsidRPr="00000000" w:rsidDel="00000000">
              <w:rPr>
                <w:rtl w:val="0"/>
              </w:rPr>
              <w:t xml:space="preserve"> pants. Latvijā licencēta iestāde, kas vēlas kļūt par maksājumu sistēmas likuma “Par norēķinu galīgumu maksājumu un finanšu instrumentu norēķinu sistēmās” 1. panta 1. punkta izpratnē dalībnieku, iesniedz sistēmas operatoram apliecinājumu par tās atbilstību šā likuma 56.</w:t>
            </w:r>
            <w:r w:rsidR="00000000" w:rsidRPr="00000000" w:rsidDel="00000000">
              <w:rPr>
                <w:vertAlign w:val="superscript"/>
                <w:rtl w:val="0"/>
              </w:rPr>
              <w:t xml:space="preserve">3</w:t>
            </w:r>
            <w:r w:rsidR="00000000" w:rsidRPr="00000000" w:rsidDel="00000000">
              <w:rPr>
                <w:rtl w:val="0"/>
              </w:rPr>
              <w:t xml:space="preserve"> 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5</w:t>
            </w:r>
            <w:r w:rsidR="00000000" w:rsidRPr="00000000" w:rsidDel="00000000">
              <w:rPr>
                <w:rtl w:val="0"/>
              </w:rPr>
              <w:t xml:space="preserve"> pants. (1) Kredītiestādei ir pienākums nodrošināt iestādēm un valūtu tirdzniecības sabiedrībām objektīvu, samērīgu un nediskriminējošu piekļuvi kredītiestādes sniegtajiem maksājumu konta pakalpojumiem. Šāda piekļuve ir pietiekami plaša, lai iestāde un valūtu tirdzniecības sabiedrība spētu efektīvi un netraucēti sniegt maksājumu pakalpojumus, elektroniskās naudas pakalpojumus un valūtu tirdzniecības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Kredītiestāde nekavējoties, bet ne vēlāk kā piecu darba dienu laikā ziņo Latvijas Bankai par katru šā panta pirmajā daļā minētās piekļuves atteikumu, klāt pievienojot attiecīgu pamatojumu. Kredītiestāde šādu ziņojumu Latvijas Bankai nosūta elektroniskā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w:t>
            </w:r>
            <w:r w:rsidR="00000000" w:rsidRPr="00000000" w:rsidDel="00000000">
              <w:rPr>
                <w:vertAlign w:val="superscript"/>
                <w:rtl w:val="0"/>
              </w:rPr>
              <w:t xml:space="preserve">1</w:t>
            </w:r>
            <w:r w:rsidR="00000000" w:rsidRPr="00000000" w:rsidDel="00000000">
              <w:rPr>
                <w:rtl w:val="0"/>
              </w:rPr>
              <w:t xml:space="preserve"> Iestādes dalība maksājumu sistēmās un piekļuve kredītiestādes sniegtajiem maksājumu konta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pants. Reģistrētiem maksājumu pakalpojumu sniedzējiem – juridiskajām personām – Latvijā funkcionējošās maksājumu sistēmas nodrošina objektīvus, nediskriminējošus un samērīgus piekļuves (dalības) nosacījumus. Maksājumu sistēmām nav tiesību ierobežot piekļuvi sistēmai (dalību sistēmā) vairāk, nekā tas pamatoti nepieciešams, lai aizsargātu sistēmu pret norēķina, operacionālajiem un komercdarbības riskiem vai nodrošinātu sistēmas operacionālo vai finansiālo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pants. (1) Latvijā funkcionējošām maksājumu sistēmām nav atļauts noteikt maksājumu pakalpojumu sniedzējiem, maksājumu pakalpojumu izmantotājiem vai citām maksājumu sistēmām nevienu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ierobežojošus nosacījumus attiecībā uz faktisku dalību citās maksājumu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 kas savstarpēji diskriminē licenci saņēmušos maksājumu pakalpojumu sniedzējus vai reģistrētus maksājumu pakalpojumu sniedzējus attiecībā uz to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nosacījumu, kas ietver ierobežojumu, kura pamatā ir iestādes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pirmo daļu un šā likuma 56.</w:t>
            </w:r>
            <w:r w:rsidR="00000000" w:rsidRPr="00000000" w:rsidDel="00000000">
              <w:rPr>
                <w:vertAlign w:val="superscript"/>
                <w:rtl w:val="0"/>
              </w:rPr>
              <w:t xml:space="preserve">1</w:t>
            </w:r>
            <w:r w:rsidR="00000000" w:rsidRPr="00000000" w:rsidDel="00000000">
              <w:rPr>
                <w:rtl w:val="0"/>
              </w:rPr>
              <w:t xml:space="preserve"> panta noteikumus nepiemēro maksājumu sistēmām, kas aptver tikai tādus maksājumu pakalpojumu sniedzējus, kuri ietilpst vienā komercsabiedrību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likumā “Par norēķinu galīgumu maksājumu un finanšu instrumentu norēķinu sistēmās” noteiktās maksājumu sistēmas noteikumi to paredz, un sistēmas dalībnieks nodrošina iespēju maksājumu pakalpojumu sniedzējam, kas nav sistēmas dalībnieks, veikt pārskaitījumus caur sistēmu, dalībniekam ir pienākums šādu iespēju nodrošināt arī citam maksājumu pakalpojumu sniedzējam objektīvā, samērīgā un nediskriminējošā veidā atbilstoši šā likuma 56.</w:t>
            </w:r>
            <w:r w:rsidR="00000000" w:rsidRPr="00000000" w:rsidDel="00000000">
              <w:rPr>
                <w:vertAlign w:val="superscript"/>
                <w:rtl w:val="0"/>
              </w:rPr>
              <w:t xml:space="preserve">1</w:t>
            </w:r>
            <w:r w:rsidR="00000000" w:rsidRPr="00000000" w:rsidDel="00000000">
              <w:rPr>
                <w:rtl w:val="0"/>
              </w:rPr>
              <w:t xml:space="preserve">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panta trešajā daļā minētās sistēmas dalībnieks iestādei liedz pārskaitījumu veikšanu caur attiecīgo sistēmu, tas pamato iestādei savu atteikumu.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w:t>
            </w:r>
            <w:r w:rsidR="00000000" w:rsidRPr="00000000" w:rsidDel="00000000">
              <w:rPr>
                <w:rtl w:val="0"/>
              </w:rPr>
              <w:t xml:space="preserve"> pants. (1) Dalībvalstī licencēta iestāde, kas ir vai vēlas kļūt par maksājumu sistēmas likuma “Par norēķinu galīgumu maksājumu un finanšu instrumentu norēķinu sistēmās” 1. panta 1. punkta izpratnē dalībnieku,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pasākumus, lai aizsargātu maksājumu pakalpojumu izmantotāju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2022. gada 14. decembra regulas (ES) Nr. 2022/2554 par finanšu nozares digitālās darbības noturību un ar ko groza regulas (EK) Nr. 1060/2009, (ES) Nr. 648/2012, (ES) Nr. 600/2014, (ES) Nr. 909/2014 un (ES) 2016/1011 (Dokuments attiecas uz EEZ) 6. un 7. panta prasībām atbilstošus, samērīgus, piemērotus, pareizus un pietiekamus pārvaldības pasākumus un iekšējās kontroles mehānismus attiecībā uz maksājumu pakalpojumiem vai elektroniskās naudas pakalpojumiem, ko tā plāno sniegt vai sniedz, tostarp administratīvās, risku pārvaldības un grāmatvedības procedūras, un informācijas un komunikācijas tehnoloģiju pakalpojumu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aktuālu likvidācijas plānu neizdošanās gadījumā, kas ir atbilstošs iestādes paredzētajam lielumam un biznesa modelim, un ietver risku mazināšanas pasākumus, ko iestāde ir paredzējusi veikt savu maksājumu pakalpojumu izbeigšanas gadījumā, tai skaitā, lai nodrošinātu nepabeigto maksājumu izpildi un spēkā esošo līgumu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punkta izpildei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tā maksājumu pakalpojumu izmantotāju naudu aizsargā, noguldot tos atsevišķā kontā kredītiestādē vai ieguldot drošos, likvīdos zema riska aktīvos,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nodrošina tādu ieguldījumu politiku, ka izvēlētie aktīvi ir likvīdi, droši un zema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nosaka personu loku, kam ir piekļuve šajā punktā minētajam aizsardzību nodrošinošajam kontam, un viņu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nodrošina, ka maksājumu pakalpojumu izmantotāju nauda netiek iekļauta tajā iestādes mantā, no kuras tiek segti citu šīs iestādes kreditoru prasījumi, īpaši iestādes maksātnespējas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ir noslēgusi līgumu ar kredītiestādi par konta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tā maksājumu pakalpojumu izmantotāju naudu aizsargā ar apdrošinātāja vai kredītiestādes izsniegtu galvojuma apdrošināšanas polisi vai citu garantiju,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nodrošina, ka izvēlētais apdrošinātājs vai kredītiestāde neietilpst vienā komercsabiedrību grupā ar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nodrošina, ka apdrošināšanas polise vai cita atbilstošā garantija ir pietiekama, lai nosegtu iestādes saistības jebkurā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noslēgusi apdrošināšanas vai citas atbilstošas garantijas līgumu ar atbilstošu seguma termiņu un atjaunošanas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2. punktā minētie pārvaldības un iekšējās kontroles mehānismi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iestādes risku identificēšanas pasākumus un identificēto risku novērtēšanas un novēršanas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procedūras periodisko un pastāvīgo kontroļu veikšanai, norādot to biežumu un atvēlētos cilvēkresursus;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grāmatvedības procedūras, ar kurām iestāde reģistrē un paziņo savu finanšu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tās personas vai personu identitāti, kas ir atbildīgas par iekšējās kontroles funkcijām, tostarp par periodisko, pastāvīgo un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informāciju par revidentu, kas nav zvērināts revidents Revīzijas pakalpojumu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informāciju par vadības struktūru un citas pārraudzības struktūras vai komitejas sastāvu, ja tādas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informāciju par to, kā tiek uzraudzītas un kontrolētas ārpakalpojumu sniedzējiem uzticētās funkcijas, lai izvairītos no iestādes iekšējās kontroles kvalitātes pasliktināšanās;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informāciju par to, kā iestādes iekšējās kontroles ietvaros tiek veikta pārstāvju un filiāļu uzraudzība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ja iestāde ir citas dalībvalsts regulētas komercsabiedrības meitas sabiedrība, grupas pārvaldības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4</w:t>
            </w:r>
            <w:r w:rsidR="00000000" w:rsidRPr="00000000" w:rsidDel="00000000">
              <w:rPr>
                <w:rtl w:val="0"/>
              </w:rPr>
              <w:t xml:space="preserve"> pants. Latvijā licencēta iestāde, kas vēlas kļūt par maksājumu sistēmas likuma “Par norēķinu galīgumu maksājumu un finanšu instrumentu norēķinu sistēmās” 1. panta 1. punkta izpratnē dalībnieku, iesniedz sistēmas operatoram apliecinājumu par tās atbilstību šā likuma 56.</w:t>
            </w:r>
            <w:r w:rsidR="00000000" w:rsidRPr="00000000" w:rsidDel="00000000">
              <w:rPr>
                <w:vertAlign w:val="superscript"/>
                <w:rtl w:val="0"/>
              </w:rPr>
              <w:t xml:space="preserve">3</w:t>
            </w:r>
            <w:r w:rsidR="00000000" w:rsidRPr="00000000" w:rsidDel="00000000">
              <w:rPr>
                <w:rtl w:val="0"/>
              </w:rPr>
              <w:t xml:space="preserve"> pantā minētajām prasībām. Pēc sistēmas operatora pieprasījuma iestāde sniedz šādu apliecinājumu atkārtoti.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5</w:t>
            </w:r>
            <w:r w:rsidR="00000000" w:rsidRPr="00000000" w:rsidDel="00000000">
              <w:rPr>
                <w:rtl w:val="0"/>
              </w:rPr>
              <w:t xml:space="preserve"> pants. (1) Kredītiestādei ir pienākums nodrošināt iestādēm un valūtu tirdzniecības sabiedrībām objektīvu, samērīgu un nediskriminējošu piekļuvi kredītiestādes sniegtajiem maksājumu konta pakalpojumiem. Šāda piekļuve ir pietiekami plaša, lai iestāde un valūtu tirdzniecības sabiedrība spētu efektīvi un netraucēti sniegt maksājumu pakalpojumus, elektroniskās naudas pakalpojumus un valūtu tirdzniecības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Kredītiestāde nekavējoties, bet ne vēlāk kā piecu darba dienu laikā ziņo Latvijas Bankai par katru šā panta pirmajā daļā minētās piekļuves atteikumu, klāt pievienojot attiecīgu pamatojumu. Kredītiestāde šādu ziņojumu Latvijas Bankai nosūta elektroniskā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 pantā ietvertajā Maksājumu pakalpojumu un elektroniskās naudas likuma 56.</w:t>
            </w:r>
            <w:r w:rsidR="00000000" w:rsidRPr="00000000" w:rsidDel="00000000">
              <w:rPr>
                <w:vertAlign w:val="superscript"/>
                <w:rtl w:val="0"/>
              </w:rPr>
              <w:t xml:space="preserve">3 </w:t>
            </w:r>
            <w:r w:rsidR="00000000" w:rsidRPr="00000000" w:rsidDel="00000000">
              <w:rPr>
                <w:rtl w:val="0"/>
              </w:rPr>
              <w:t xml:space="preserve">panta pirmās daļas 3. punktā izslēgt vārdus "tai skaitā" vai likumprojekta anotācijā skaidrot pamatojumu noteikt papildu mērķus, attiecīgā plāna nodrošināšanai. Norādām, ka no Eiropas Parlamenta un Padomes 2024. gada 13. marta Regulas (ES) Nr. 2024/886, ar ko groza regulas (ES) Nr. 260/2012 un (ES) Nr. 2021/1230, un direktīvas 98/26/EK un (ES) 2015/2366 attiecībā uz tūlītējiem kredīta pārvedumiem euro (turpmāk - regula Nr. 2024/886), 3. panta 3. punktā ietvertā regulējuma attiecīgi papildu mērķi pirmšķietami neizriet.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"tai skaitā" ir izslēgti.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w:t>
            </w:r>
            <w:r w:rsidR="00000000" w:rsidRPr="00000000" w:rsidDel="00000000">
              <w:rPr>
                <w:vertAlign w:val="superscript"/>
                <w:rtl w:val="0"/>
              </w:rPr>
              <w:t xml:space="preserve">1</w:t>
            </w:r>
            <w:r w:rsidR="00000000" w:rsidRPr="00000000" w:rsidDel="00000000">
              <w:rPr>
                <w:rtl w:val="0"/>
              </w:rPr>
              <w:t xml:space="preserve"> Iestādes dalība maksājumu sistēmās un piekļuve kredītiestādes sniegtajiem maksājumu konta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pants. Reģistrētiem maksājumu pakalpojumu sniedzējiem – juridiskajām personām – Latvijā funkcionējošās maksājumu sistēmas nodrošina objektīvus, nediskriminējošus un samērīgus piekļuves (dalības) nosacījumus. Maksājumu sistēmām nav tiesību ierobežot piekļuvi sistēmai (dalību sistēmā) vairāk, nekā tas pamatoti nepieciešams, lai aizsargātu sistēmu pret norēķina, operacionālajiem un komercdarbības riskiem vai nodrošinātu sistēmas operacionālo vai finansiālo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pants. (1) Latvijā funkcionējošām maksājumu sistēmām nav atļauts noteikt maksājumu pakalpojumu sniedzējiem, maksājumu pakalpojumu izmantotājiem vai citām maksājumu sistēmām nevienu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ierobežojošus nosacījumus attiecībā uz faktisku dalību citās maksājumu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 kas savstarpēji diskriminē licenci saņēmušos maksājumu pakalpojumu sniedzējus vai reģistrētus maksājumu pakalpojumu sniedzējus attiecībā uz to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nosacījumu, kas ietver ierobežojumu, kura pamatā ir iestādes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pirmo daļu un šā likuma 56.</w:t>
            </w:r>
            <w:r w:rsidR="00000000" w:rsidRPr="00000000" w:rsidDel="00000000">
              <w:rPr>
                <w:vertAlign w:val="superscript"/>
                <w:rtl w:val="0"/>
              </w:rPr>
              <w:t xml:space="preserve">1</w:t>
            </w:r>
            <w:r w:rsidR="00000000" w:rsidRPr="00000000" w:rsidDel="00000000">
              <w:rPr>
                <w:rtl w:val="0"/>
              </w:rPr>
              <w:t xml:space="preserve"> panta noteikumus nepiemēro maksājumu sistēmām, kas aptver tikai tādus maksājumu pakalpojumu sniedzējus, kuri ietilpst vienā komercsabiedrību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likumā “Par norēķinu galīgumu maksājumu un finanšu instrumentu norēķinu sistēmās” noteiktās maksājumu sistēmas noteikumi to paredz, un sistēmas dalībnieks nodrošina iespēju maksājumu pakalpojumu sniedzējam, kas nav sistēmas dalībnieks, veikt pārskaitījumus caur sistēmu, dalībniekam ir pienākums šādu iespēju nodrošināt arī citam maksājumu pakalpojumu sniedzējam objektīvā, samērīgā un nediskriminējošā veidā atbilstoši šā likuma 56.</w:t>
            </w:r>
            <w:r w:rsidR="00000000" w:rsidRPr="00000000" w:rsidDel="00000000">
              <w:rPr>
                <w:vertAlign w:val="superscript"/>
                <w:rtl w:val="0"/>
              </w:rPr>
              <w:t xml:space="preserve">1</w:t>
            </w:r>
            <w:r w:rsidR="00000000" w:rsidRPr="00000000" w:rsidDel="00000000">
              <w:rPr>
                <w:rtl w:val="0"/>
              </w:rPr>
              <w:t xml:space="preserve">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panta trešajā daļā minētās sistēmas dalībnieks iestādei liedz pārskaitījumu veikšanu caur attiecīgo sistēmu, tas pamato iestādei savu atteikumu.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w:t>
            </w:r>
            <w:r w:rsidR="00000000" w:rsidRPr="00000000" w:rsidDel="00000000">
              <w:rPr>
                <w:rtl w:val="0"/>
              </w:rPr>
              <w:t xml:space="preserve"> pants. (1) Dalībvalstī licencētai iestādei, kas ir vai vēlas kļūt par maksājumu sistēmas likuma “Par norēķinu galīgumu maksājumu un finanšu instrumentu norēķinu sistēmās” 1. panta 1. punkta izpratnē dalībnieku, ir turpmāk minētie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tādu pasākumu apraksts, kas veikti, lai aizsargātu maksājumu pakalpojumu izmantotāju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apraksts par iekšējās pārvaldības pasākumiem un iekšējās kontroles mehānismiem attiecībā uz maksājumu pakalpojumiem vai elektroniskās naudas pakalpojumiem, ko tā plāno sniegt vai sniedz, tostarp par administratīvajām, risku pārvaldības un grāmatvedības procedūrām, un apraksts par informācijas un komunikācijas tehnoloģiju pakalpojumu izmantošanas kārtību atbilstoši Eiropas Parlamenta un Padomes 2022. gada 14. decembra regulas (ES) Nr. 2022/2554 par finanšu nozares digitālās darbības noturību un ar ko groza regulas (EK) Nr. 1060/2009, (ES) Nr. 648/2012, (ES) Nr. 600/2014, (ES) Nr. 909/2014 un (ES) 2016/1011 (Dokuments attiecas uz EEZ) 6. un 7. pantā norādītajām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aktuāls likvidācijas plāns neizdošanās gadījumā, kas ir atbilstošs iestādes paredzētajam lielumam un biznesa modelim, un ietver risku mazināšanas pasākumus, ko iestāde ir paredzējusi veikt savu maksājumu pakalpojumu izbeigšanas gadījumā, lai nodrošinātu nepabeigto maksājumu izpildi un spēkā esošo līgumu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punkta izpildei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tā maksājumu pakalpojumu izmantotāju naudu aizsargā, noguldot tos atsevišķā kontā kredītiestādē vai ieguldot drošos, likvīdos zema riska aktīvos,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nodrošina tādu ieguldījumu politiku, ka izvēlētie aktīvi ir likvīdi, droši un zema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nosaka personu loku, kam ir piekļuve šajā punktā minētajam aizsardzību nodrošinošajam kontam, un viņu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nodrošina, ka maksājumu pakalpojumu izmantotāju nauda netiek iekļauta tajā iestādes mantā, no kuras tiek segti citu šīs iestādes kreditoru prasījumi, īpaši iestādes maksātnespējas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ir noslēgusi līgumu ar kredītiestādi par konta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apliecina, ka nodrošina šā likuma 38. panta pirmajā daļā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tā maksājumu pakalpojumu izmantotāju naudu aizsargā ar apdrošinātāja vai kredītiestādes izsniegtu galvojuma apdrošināšanas polisi vai citu garantiju,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nodrošina, ka izvēlētais apdrošinātājs vai kredītiestāde neietilpst vienā komercsabiedrību grupā ar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nodrošina, ka apdrošināšanas polise vai cita atbilstošā garantija ir pietiekama, lai nosegtu iestādes saistības jebkurā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noslēgusi apdrošināšanas vai citas atbilstošas garantijas līgumu ar atbilstošu seguma termiņu un atjaunošanas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2. punktā minētie pārvaldības un iekšējās kontroles mehānismi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iestādes risku identificēšanas pasākumus un identificēto risku novērtēšanas un novēršanas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procedūras periodisko un pastāvīgo kontroļu veikšanai, norādot to biežumu un atvēlētos cilvēkresursus;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grāmatvedības procedūras, ar kurām iestāde reģistrē un paziņo savu finanšu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tās personas vai personu identitāti, kas ir atbildīgas par iekšējās kontroles funkcijām, tostarp par periodisko, pastāvīgo un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informāciju par revidentu, kas nav zvērināts revidents Revīzijas pakalpojumu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informāciju par vadības struktūru un citas pārraudzības struktūras vai komitejas sastāvu, ja tādas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informāciju par to, kā tiek uzraudzītas un kontrolētas ārpakalpojumu sniedzējiem uzticētās funkcijas, lai izvairītos no iestādes iekšējās kontroles kvalitātes pasliktināšanās;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informāciju par to, kā iestādes iekšējās kontroles ietvaros tiek veikta pārstāvju un filiāļu uzraudzība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ja iestāde ir citas dalībvalsts regulētas komercsabiedrības meitas sabiedrība, grupas pārvaldības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4</w:t>
            </w:r>
            <w:r w:rsidR="00000000" w:rsidRPr="00000000" w:rsidDel="00000000">
              <w:rPr>
                <w:rtl w:val="0"/>
              </w:rPr>
              <w:t xml:space="preserve"> pants. Latvijā licencēta iestāde, kas vēlas kļūt par maksājumu sistēmas likuma “Par norēķinu galīgumu maksājumu un finanšu instrumentu norēķinu sistēmās” 1. panta 1. punkta izpratnē dalībnieku, iesniedz sistēmas operatoram apliecinājumu par tās atbilstību šā likuma 56.</w:t>
            </w:r>
            <w:r w:rsidR="00000000" w:rsidRPr="00000000" w:rsidDel="00000000">
              <w:rPr>
                <w:vertAlign w:val="superscript"/>
                <w:rtl w:val="0"/>
              </w:rPr>
              <w:t xml:space="preserve">3</w:t>
            </w:r>
            <w:r w:rsidR="00000000" w:rsidRPr="00000000" w:rsidDel="00000000">
              <w:rPr>
                <w:rtl w:val="0"/>
              </w:rPr>
              <w:t xml:space="preserve"> 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5</w:t>
            </w:r>
            <w:r w:rsidR="00000000" w:rsidRPr="00000000" w:rsidDel="00000000">
              <w:rPr>
                <w:rtl w:val="0"/>
              </w:rPr>
              <w:t xml:space="preserve"> pants. (1) Kredītiestādei ir pienākums nodrošināt iestādēm un valūtu tirdzniecības sabiedrībām objektīvu, samērīgu un nediskriminējošu piekļuvi kredītiestādes sniegtajiem maksājumu konta pakalpojumiem. Šāda piekļuve ir pietiekami plaša, lai iestāde un valūtu tirdzniecības sabiedrība spētu efektīvi un netraucēti sniegt maksājumu pakalpojumus, elektroniskās naudas pakalpojumus un valūtu tirdzniecības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Kredītiestāde nekavējoties, bet ne vēlāk kā piecu darba dienu laikā ziņo Latvijas Bankai par katru šā panta pirmajā daļā minētās piekļuves atteikumu, klāt pievienojot attiecīgu pamatojumu. Kredītiestāde šādu ziņojumu Latvijas Bankai nosūta elektroniskā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56. panta 2.</w:t>
            </w:r>
            <w:r w:rsidR="00000000" w:rsidRPr="00000000" w:rsidDel="00000000">
              <w:rPr>
                <w:vertAlign w:val="superscript"/>
                <w:rtl w:val="0"/>
              </w:rPr>
              <w:t xml:space="preserve">3</w:t>
            </w:r>
            <w:r w:rsidR="00000000" w:rsidRPr="00000000" w:rsidDel="00000000">
              <w:rPr>
                <w:rtl w:val="0"/>
              </w:rPr>
              <w:t xml:space="preserve"> daļa stājas spēkā 2025. gada 8.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Šā likuma 56.</w:t>
            </w:r>
            <w:r w:rsidR="00000000" w:rsidRPr="00000000" w:rsidDel="00000000">
              <w:rPr>
                <w:vertAlign w:val="superscript"/>
                <w:rtl w:val="0"/>
              </w:rPr>
              <w:t xml:space="preserve">3</w:t>
            </w:r>
            <w:r w:rsidR="00000000" w:rsidRPr="00000000" w:rsidDel="00000000">
              <w:rPr>
                <w:rtl w:val="0"/>
              </w:rPr>
              <w:t xml:space="preserve"> panta pirmās daļas 2. punkts stājas spēkā 2025. gada 17.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likumprojekta 5. pantā ietverto pārejas noteikumu, kā arī likumprojekta (likuma) spēkā stāšanās termiņa (2024. gada 30. jūnijā)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termiņa pamatojums norādīts.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56. panta 2.</w:t>
            </w:r>
            <w:r w:rsidR="00000000" w:rsidRPr="00000000" w:rsidDel="00000000">
              <w:rPr>
                <w:vertAlign w:val="superscript"/>
                <w:rtl w:val="0"/>
              </w:rPr>
              <w:t xml:space="preserve">3</w:t>
            </w:r>
            <w:r w:rsidR="00000000" w:rsidRPr="00000000" w:rsidDel="00000000">
              <w:rPr>
                <w:rtl w:val="0"/>
              </w:rPr>
              <w:t xml:space="preserve"> daļa stājas spēkā 2025. gada 9.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Šā likuma 56.</w:t>
            </w:r>
            <w:r w:rsidR="00000000" w:rsidRPr="00000000" w:rsidDel="00000000">
              <w:rPr>
                <w:vertAlign w:val="superscript"/>
                <w:rtl w:val="0"/>
              </w:rPr>
              <w:t xml:space="preserve">3</w:t>
            </w:r>
            <w:r w:rsidR="00000000" w:rsidRPr="00000000" w:rsidDel="00000000">
              <w:rPr>
                <w:rtl w:val="0"/>
              </w:rPr>
              <w:t xml:space="preserve"> panta pirmās daļas 2. punktu attiecībā uz aprakstu par informācijas un komunikācijas tehnoloģiju pakalpojumu izmantošanas kārtību atbilstoši Eiropas Parlamenta un Padomes 2022. gada 14. decembra regulas (ES) Nr. 2022/2554 par finanšu nozares digitālās darbības noturību un ar ko groza regulas (EK) Nr. 1060/2009, (ES) Nr. 648/2012, (ES) Nr. 600/2014, (ES) Nr. 909/2014 un (ES) 2016/1011 (Dokuments attiecas uz EEZ) piemēro ar 2025. gada 17. 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56. panta 2.</w:t>
            </w:r>
            <w:r w:rsidR="00000000" w:rsidRPr="00000000" w:rsidDel="00000000">
              <w:rPr>
                <w:vertAlign w:val="superscript"/>
                <w:rtl w:val="0"/>
              </w:rPr>
              <w:t xml:space="preserve">3</w:t>
            </w:r>
            <w:r w:rsidR="00000000" w:rsidRPr="00000000" w:rsidDel="00000000">
              <w:rPr>
                <w:rtl w:val="0"/>
              </w:rPr>
              <w:t xml:space="preserve"> daļa stājas spēkā 2025. gada 8.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Šā likuma 56.</w:t>
            </w:r>
            <w:r w:rsidR="00000000" w:rsidRPr="00000000" w:rsidDel="00000000">
              <w:rPr>
                <w:vertAlign w:val="superscript"/>
                <w:rtl w:val="0"/>
              </w:rPr>
              <w:t xml:space="preserve">3</w:t>
            </w:r>
            <w:r w:rsidR="00000000" w:rsidRPr="00000000" w:rsidDel="00000000">
              <w:rPr>
                <w:rtl w:val="0"/>
              </w:rPr>
              <w:t xml:space="preserve"> panta pirmās daļas 2. punkts stājas spēkā 2025. gada 17.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2012. gada 4. marta regulas Nr. 260/2012, ar ko nosaka tehniskās un darbības prasības kredīta pārvedumiem un tiešā debeta maksājumiem euro un groza regulu (EK) Nr. 924/2009 (Dokuments attiecas uz EEZ) 5.d pantā noteiktās prasības ir piemērojamas no 2025. gada 9., nevis 8. janvāra (sk. šīs regulas 5.d panta 3. punktu, kas paredz, ka MPS nodrošina atbilstību šim pantam līdz 2025. gada 9. janvārim), tādēļ lūdzam izvērtēt un nepieciešamības gadījumā precizēt likumprojekta 5.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56. panta 2.</w:t>
            </w:r>
            <w:r w:rsidR="00000000" w:rsidRPr="00000000" w:rsidDel="00000000">
              <w:rPr>
                <w:vertAlign w:val="superscript"/>
                <w:rtl w:val="0"/>
              </w:rPr>
              <w:t xml:space="preserve">3</w:t>
            </w:r>
            <w:r w:rsidR="00000000" w:rsidRPr="00000000" w:rsidDel="00000000">
              <w:rPr>
                <w:rtl w:val="0"/>
              </w:rPr>
              <w:t xml:space="preserve"> daļa stājas spēkā 2025. gada 9.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Šā likuma 56.</w:t>
            </w:r>
            <w:r w:rsidR="00000000" w:rsidRPr="00000000" w:rsidDel="00000000">
              <w:rPr>
                <w:vertAlign w:val="superscript"/>
                <w:rtl w:val="0"/>
              </w:rPr>
              <w:t xml:space="preserve">3</w:t>
            </w:r>
            <w:r w:rsidR="00000000" w:rsidRPr="00000000" w:rsidDel="00000000">
              <w:rPr>
                <w:rtl w:val="0"/>
              </w:rPr>
              <w:t xml:space="preserve"> panta pirmās daļas 2. punktu attiecībā uz aprakstu par informācijas un komunikācijas tehnoloģiju pakalpojumu izmantošanas kārtību atbilstoši Eiropas Parlamenta un Padomes 2022. gada 14. decembra regulas (ES) Nr. 2022/2554 par finanšu nozares digitālās darbības noturību un ar ko groza regulas (EK) Nr. 1060/2009, (ES) Nr. 648/2012, (ES) Nr. 600/2014, (ES) Nr. 909/2014 un (ES) 2016/1011 (Dokuments attiecas uz EEZ) piemēro ar 2025. gada 17. 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"NGL maksājumu sistēmu operatoriem nepieciešams pārliecināties par maksājumu iestādes vai elektroniskās naudas iestādes atbilstību direktīvas Nr. 2015/2366 grozījumos paredzētajām prasībām par tās aizsargpasākumiem. Savukārt sistēmu operatoriem nav atbilstošas kompetences, lai novērtētu šādu iestādes atbilstību. Direktīvas 2015/2366 grozījumi paredz, ka dalībvalstij jānosaka procedūra, kā maksājumu sistēmas operatoram tiek sniegta pārliecība par šo atbilstību." Saistībā ar minēto lūdzam likumprojekta anotācijā sniegt pamatojumu secinājumam, ka apliecinājuma pieprasīšana par atbilstību Maksājumu pakalpojumu un elektroniskās naudas likuma prasībām, ir pietiekama, lai nodrošinātu, ka sistēmas operators varēs novērtēt iestādes atbilstību Maksājumu pakalpojumu un elektroniskās naudas likumā minētajām prasībām. Norādām, ka apliecinājuma pieprasīšana nav tiešā tekstā minēta kā viena no Eiropas Parlamenta un Padomes 2015. gada 25. novembra Direktīvas (ES) 2015/2366 par maksājumu pakalpojumiem iekšējā tirgū, ar ko groza Direktīvas 2002/65/EK, 2009/110/EK un 2013/36/ES un Regulu (ES) Nr. 1093/2010 un atceļ Direktīvu 2007/64/EK (turpmāk - direktīva Nr. 2015/2366) grozījumos minētajām novērtēšanas procedūrām, tādēļ likumprojekta anotācijā nepieciešams skaidrot, vai ar apliecinājuma pieprasīšanu būs pietiekami, lai nodrošinātu minētās direktīvas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2015/2366 grozījumi paredz, ka dalībvalstij jānosaka procedūra, kā maksājumu sistēmas operatoram tiek sniegta pārliecība par šo atbilstību. Minētās procedūras veidi var būt pašnovērtējums, prasība kompetentajai iestādei pieņemt skaidru lēmumu vai jebkura cita procedūra, kuras mērķis ir nodrošināt, ka attiecīgās maksājumu iestādes un elektroniskās naudas iestādes ievēro direktīvas Nr. 2015/2366 35.a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licencētas maksājumu iestādes un elektroniskās naudas iestādes tiek pārbaudītas pirms licences piešķiršanas un arī to darbības laikā tiek stingri uzraudzītas līdzīgi kā kredītiestādes, Latvijas Bankai, veicot uzraudzību kā kompetentajai uzraudzības institūcijai, iestādes apliecinājuma pieprasīšana par atbilstību Maksājumu pakalpojumu un elektroniskās naudas likuma prasībām ir uzskatāma par pietiekamu, lai sistēmas operators varētu pārliecināties par iestādes atbilstību Direktīvas 2015/2366 un šī likuma prasībām. Lai sniegtu apliecinājumu, iestāde novērtē, kuras prasības tā jau izpilda uzraudzības ietvaros, par pārējām veicot pašnovērtējumu un apliecinot to izpildi. Savukārt pilns pašnovērtējums vai prasība kompetentajai iestādei pieņemt skaidru lēmumu būtu nepamatots administratīvais slogs, prasot iestādei vai kompetentajai iestādei vēlreiz gatavot aprakstu par jautājumiem, kas jau ir izanalizēti uzraudzības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likumprojekta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skaidrot kā likumprojektā tiek ieviestas regulas Nr. 2024/886 3. panta 3. punktā ietvertās direktīvas Nr. 2015/2366 35.a panta 1. punkta otrās daļas "a" punkta v) apakšpunkta prasības. Nepieciešamības gadījumā lūdzam papildināt likumprojektu ar attiecīgu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ka direktīvas Nr. 2015/2366 35.a panta 1. punkts paredz vairāku dokumentu (aprakstu) sagatavošanu, kā konkrētie šajā punktā minētie pasākumi tiek nodrošināti, lūdzam skaidrot, kuros normatīvajos aktos paredzēts atbilstošs pienākums vai lūdzam likumprojektu papildināt ar normu, kas paredz atbilstošu pienākumu iestādēm attiecīgus dokumentus sagatavot;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skaidrot, kā likumprojektā tiek ieviesta regulas Nr. 2024/886 5. panta otrās daļas prasība, kā arī citas regulas Nr. 2024/886 prasības, kuras dalībvalstij ir jāievieš, nepieciešamības gadījumā norādot uz citu attiecīgo nacionālo tiesību aktu vienībām, ar kurām šīs prasības tiks ieviestas.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Nr. 2024/886 3. panta 3. punktā ietvertās direktīvas Nr. 2015/2366 35.a panta 1. punkta otrās daļas "a" punkta "v" apakšpunkta prasības iekļautas likumprojekta 56.</w:t>
            </w:r>
            <w:r w:rsidR="00000000" w:rsidRPr="00000000" w:rsidDel="00000000">
              <w:rPr>
                <w:vertAlign w:val="superscript"/>
                <w:rtl w:val="0"/>
              </w:rPr>
              <w:t xml:space="preserve">3</w:t>
            </w:r>
            <w:r w:rsidR="00000000" w:rsidRPr="00000000" w:rsidDel="00000000">
              <w:rPr>
                <w:rtl w:val="0"/>
              </w:rPr>
              <w:t xml:space="preserve"> panta otrās daļas "e" apkašpunktā.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56.</w:t>
            </w:r>
            <w:r w:rsidR="00000000" w:rsidRPr="00000000" w:rsidDel="00000000">
              <w:rPr>
                <w:vertAlign w:val="superscript"/>
                <w:rtl w:val="0"/>
              </w:rPr>
              <w:t xml:space="preserve">3</w:t>
            </w:r>
            <w:r w:rsidR="00000000" w:rsidRPr="00000000" w:rsidDel="00000000">
              <w:rPr>
                <w:rtl w:val="0"/>
              </w:rPr>
              <w:t xml:space="preserve"> panta pirmajā daļā noteikts, ka dalībvalstī licencētai iestādei, kas ir vai vēlas kļūt par maksājumu sistēmas likuma “Par norēķinu galīgumu maksājumu un finanšu instrumentu norēķinu sistēmās” 1. panta 1. punkta izpratnē dalībnieku, ir ("shall have in place") turpmāk minētie dokumenti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Papildināta anotācijas 5.4. 1. tabula, kā arī likumprojekts ar jaunu pantu par informatīvās atsauces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56. panta 2.</w:t>
            </w:r>
            <w:r w:rsidR="00000000" w:rsidRPr="00000000" w:rsidDel="00000000">
              <w:rPr>
                <w:vertAlign w:val="superscript"/>
                <w:rtl w:val="0"/>
              </w:rPr>
              <w:t xml:space="preserve">3</w:t>
            </w:r>
            <w:r w:rsidR="00000000" w:rsidRPr="00000000" w:rsidDel="00000000">
              <w:rPr>
                <w:rtl w:val="0"/>
              </w:rPr>
              <w:t xml:space="preserve"> daļa stājas spēkā 2025. gada 9.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Šā likuma 56.</w:t>
            </w:r>
            <w:r w:rsidR="00000000" w:rsidRPr="00000000" w:rsidDel="00000000">
              <w:rPr>
                <w:vertAlign w:val="superscript"/>
                <w:rtl w:val="0"/>
              </w:rPr>
              <w:t xml:space="preserve">3</w:t>
            </w:r>
            <w:r w:rsidR="00000000" w:rsidRPr="00000000" w:rsidDel="00000000">
              <w:rPr>
                <w:rtl w:val="0"/>
              </w:rPr>
              <w:t xml:space="preserve"> panta pirmās daļas 2. punkts attiecībā uz aprakstu par informācijas un komunikācijas tehnoloģiju pakalpojumu izmantošanas kārtību atbilstoši Eiropas Parlamenta un Padomes 2022. gada 14. decembra regulas (ES) Nr. 2022/2554 par finanšu nozares digitālās darbības noturību un ar ko groza regulas (EK) Nr. 1060/2009, (ES) Nr. 648/2012, (ES) Nr. 600/2014, (ES) Nr. 909/2014 un (ES) 2016/1011 (Dokuments attiecas uz EEZ) stājas spēkā 2025. gada 17.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5. pantā ietverto likuma pārejas noteikumu 47. punktu, norādot uz piemērošanu, nevis spēkā stāšanos (proti: "Šā likuma 56.</w:t>
            </w:r>
            <w:r w:rsidR="00000000" w:rsidRPr="00000000" w:rsidDel="00000000">
              <w:rPr>
                <w:vertAlign w:val="superscript"/>
                <w:rtl w:val="0"/>
              </w:rPr>
              <w:t xml:space="preserve">3</w:t>
            </w:r>
            <w:r w:rsidR="00000000" w:rsidRPr="00000000" w:rsidDel="00000000">
              <w:rPr>
                <w:rtl w:val="0"/>
              </w:rPr>
              <w:t xml:space="preserve"> panta pirmās daļas 2. punktu attiecībā uz aprakstu par [..] </w:t>
            </w:r>
            <w:r w:rsidR="00000000" w:rsidRPr="00000000" w:rsidDel="00000000">
              <w:rPr>
                <w:u w:val="single"/>
                <w:rtl w:val="0"/>
              </w:rPr>
              <w:t xml:space="preserve">piemēro ar</w:t>
            </w:r>
            <w:r w:rsidR="00000000" w:rsidRPr="00000000" w:rsidDel="00000000">
              <w:rPr>
                <w:rtl w:val="0"/>
              </w:rPr>
              <w:t xml:space="preserve"> 2025. gada 17.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56. panta 2.</w:t>
            </w:r>
            <w:r w:rsidR="00000000" w:rsidRPr="00000000" w:rsidDel="00000000">
              <w:rPr>
                <w:vertAlign w:val="superscript"/>
                <w:rtl w:val="0"/>
              </w:rPr>
              <w:t xml:space="preserve">3</w:t>
            </w:r>
            <w:r w:rsidR="00000000" w:rsidRPr="00000000" w:rsidDel="00000000">
              <w:rPr>
                <w:rtl w:val="0"/>
              </w:rPr>
              <w:t xml:space="preserve"> daļa stājas spēkā 2025. gada 9.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Šā likuma 56.</w:t>
            </w:r>
            <w:r w:rsidR="00000000" w:rsidRPr="00000000" w:rsidDel="00000000">
              <w:rPr>
                <w:vertAlign w:val="superscript"/>
                <w:rtl w:val="0"/>
              </w:rPr>
              <w:t xml:space="preserve">3</w:t>
            </w:r>
            <w:r w:rsidR="00000000" w:rsidRPr="00000000" w:rsidDel="00000000">
              <w:rPr>
                <w:rtl w:val="0"/>
              </w:rPr>
              <w:t xml:space="preserve"> panta pirmās daļas 2. punktu attiecībā uz aprakstu par informācijas un komunikācijas tehnoloģiju pakalpojumu izmantošanas kārtību atbilstoši Eiropas Parlamenta un Padomes 2022. gada 14. decembra regulas (ES) Nr. 2022/2554 par finanšu nozares digitālās darbības noturību un ar ko groza regulas (EK) Nr. 1060/2009, (ES) Nr. 648/2012, (ES) Nr. 600/2014, (ES) Nr. 909/2014 un (ES) 2016/1011 (Dokuments attiecas uz EEZ) piemēro ar 2025. gada 17. 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anotācijā skaidrot likumprojekta 5. pantā ietvertā likuma pārejas noteikumu 46. punkta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1. tabula, norādot, ka saskaņā ar likumprojekta 5. pantu (pārejas noteikumu 46. punkts) Maksājumu pakalpojumu un elektroniskās naudas likuma 56. panta 2.</w:t>
            </w:r>
            <w:r w:rsidR="00000000" w:rsidRPr="00000000" w:rsidDel="00000000">
              <w:rPr>
                <w:vertAlign w:val="superscript"/>
                <w:rtl w:val="0"/>
              </w:rPr>
              <w:t xml:space="preserve">3</w:t>
            </w:r>
            <w:r w:rsidR="00000000" w:rsidRPr="00000000" w:rsidDel="00000000">
              <w:rPr>
                <w:rtl w:val="0"/>
              </w:rPr>
              <w:t xml:space="preserve"> daļa, kurā noteiktas sankcijas par Regulas 260/2012 5.d panta pārkāpumiem, stājas spēkā 2025. gada 9. janvārī, jo tas atbilst Regulas 2024/886 1. pantā (Regulas 260/2012 5.d panta trešā daļa) minēto pienākumu spēkā stāšanās laikam – </w:t>
            </w:r>
            <w:r w:rsidR="00000000" w:rsidRPr="00000000" w:rsidDel="00000000">
              <w:rPr>
                <w:i w:val="1"/>
                <w:rtl w:val="0"/>
              </w:rPr>
              <w:t xml:space="preserve">maksājumu pakalpojumu sniedzēji nodrošina atbilstību šim pantam līdz 2025. gada 9. janvārim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9. rindas B ailē pie citas informācijas ir ietverta norāde, ka "Regulas 2024/886 1. panta 3. punkts (Regulas 260/2012 11. panta 1.a punkts) attiecībā uz sankcijām, kas piemērojamas par Regulas 260/2012 5.a līdz 5.c panta pārkāpumiem, jau ir ieviests nacionālajā normatīvajā regulējumā ar Maksājumu pakalpojumu un elektroniskās naudas likuma noteikumiem (likuma 56. panta pirmā daļa)". Ierosinām aiz šī teikuma papildus norādīt informāciju par laiku, no kura brīža minētā tiesību norma par attiecīgajiem pārkāpumiem būs piemērojama atbilstoši Regulā 2024/886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2024/886 1.panta 2.punktā noteiktajam uzraudzības pasākumus un sankcijas par Regulas 260/2012 5.a panta pārkāpumiem kredītiestādēm piemēro no 2025. gada 9. janvāra, savukārt licencētām maksājumu iestādēm un elektroniskās naudas iestādēm – no 2027. gada 9. aprīļa. Uzraudzības pasākumus un sankcijas par Regulas 260/2012 5.b un 5.c panta pārkāpumiem maksājumu pakalpojumu sniedzējiem piemēro no 2025. gada 9.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ierakstu tabulas 5.rindas D ailē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 stingrākas prasības. Likuma 56.</w:t>
            </w:r>
            <w:r w:rsidR="00000000" w:rsidRPr="00000000" w:rsidDel="00000000">
              <w:rPr>
                <w:vertAlign w:val="superscript"/>
                <w:rtl w:val="0"/>
              </w:rPr>
              <w:t xml:space="preserve">3</w:t>
            </w:r>
            <w:r w:rsidR="00000000" w:rsidRPr="00000000" w:rsidDel="00000000">
              <w:rPr>
                <w:rtl w:val="0"/>
              </w:rPr>
              <w:t xml:space="preserve"> panta otrajā daļā minēto prasību izpildi regulē nacionālie tiesību akti, kas ievieš direktīvu 2015/2366 un no tās izrietošās Eiropas Banku iestādes 08.11.2017. pamatnostādnes Par informāciju, kas jāsniedz maksājumu iestāžu un e-naudas iestāžu atļaujas saņemšanai un konta informācijas pakalpojumu sniedzēju reģistrēšanai atbilstoši Direktīvas (ES) 2015/2366 5. panta 5. punktam (EBA/GL/2017/09).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anotācijā sniegto informāciju par regulā Nr. 2024/886 ietvertās rīcības brīvības izmantošanu. Norādām, ka procedūras noteikšana, ar kuru novērtē atbilstību grozāmā likuma 56.</w:t>
            </w:r>
            <w:r w:rsidR="00000000" w:rsidRPr="00000000" w:rsidDel="00000000">
              <w:rPr>
                <w:vertAlign w:val="superscript"/>
                <w:rtl w:val="0"/>
              </w:rPr>
              <w:t xml:space="preserve">3</w:t>
            </w:r>
            <w:r w:rsidR="00000000" w:rsidRPr="00000000" w:rsidDel="00000000">
              <w:rPr>
                <w:rtl w:val="0"/>
              </w:rPr>
              <w:t xml:space="preserve"> un 56.</w:t>
            </w:r>
            <w:r w:rsidR="00000000" w:rsidRPr="00000000" w:rsidDel="00000000">
              <w:rPr>
                <w:vertAlign w:val="superscript"/>
                <w:rtl w:val="0"/>
              </w:rPr>
              <w:t xml:space="preserve">4</w:t>
            </w:r>
            <w:r w:rsidR="00000000" w:rsidRPr="00000000" w:rsidDel="00000000">
              <w:rPr>
                <w:rtl w:val="0"/>
              </w:rPr>
              <w:t xml:space="preserve"> panta prasībām (direktīvas Nr. 2015/2366 35.a panta 1. punkta prasībām), nav iespēja, bet dalībvalstu pienākums, savukārt izvēle pastāv attiecībā uz procedūras veidiem, kas var būt pašnovērtējums, prasība kompetentajai iestādei pieņemt skaidru lēmumu vai jebkura cita procedūra, kuras mērķis ir nodrošināt, ka attiecīgās maksājumu iestādes un elektroniskās naudas iestādes ievēro direktīvas Nr. 2015/2366 35.a panta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tabulā ir norādīts, ka likumprojektā izvēlēts viens no ES tiesību aktā minētajiem procedūru veidiem, proti, cita procedūra, kas balstīta uz iestādes pašapliecinājumu.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24-TA-698</w:t>
    </w:r>
    <w:r>
      <w:br/>
    </w:r>
    <w:r w:rsidR="00000000" w:rsidRPr="00000000" w:rsidDel="00000000">
      <w:rPr>
        <w:rtl w:val="0"/>
      </w:rPr>
      <w:t xml:space="preserve">11.06.2024. 07.56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24-TA-698</w:t>
    </w:r>
    <w:r>
      <w:br/>
    </w:r>
    <w:r w:rsidR="00000000" w:rsidRPr="00000000" w:rsidDel="00000000">
      <w:rPr>
        <w:rtl w:val="0"/>
      </w:rPr>
      <w:t xml:space="preserve">11.06.2024. 07.56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Izziņa_24-TA-698.docx</dc:title>
</cp:coreProperties>
</file>

<file path=docProps/custom.xml><?xml version="1.0" encoding="utf-8"?>
<Properties xmlns="http://schemas.openxmlformats.org/officeDocument/2006/custom-properties" xmlns:vt="http://schemas.openxmlformats.org/officeDocument/2006/docPropsVTypes"/>
</file>