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17. decembra noteikumos Nr. 889 "Eiropas Savienības kohēzijas politikas programmas 2021.–2027. gadam 4.3.2. specifiskā atbalsta mērķa "Kultūras un tūrisma lomas palielināšana ekonomiskajā attīstībā, sociālajā iekļaušanā un sociālajās inovācijās"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08.09.2026. 14:10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Specifiskā atbalsta ietvaros pieejamais kopējais attiecināmais finansējums ir 15 047 293 </w:t>
            </w:r>
            <w:r w:rsidR="00000000" w:rsidRPr="00000000" w:rsidDel="00000000">
              <w:rPr>
                <w:i w:val="1"/>
                <w:rtl w:val="0"/>
              </w:rPr>
              <w:t xml:space="preserve">euro</w:t>
            </w:r>
            <w:r w:rsidR="00000000" w:rsidRPr="00000000" w:rsidDel="00000000">
              <w:rPr>
                <w:rtl w:val="0"/>
              </w:rPr>
              <w:t xml:space="preserve">, tai skaitā Eiropas Reģionālās attīstības fonda finansējums 12 790 199 </w:t>
            </w:r>
            <w:r w:rsidR="00000000" w:rsidRPr="00000000" w:rsidDel="00000000">
              <w:rPr>
                <w:i w:val="1"/>
                <w:rtl w:val="0"/>
              </w:rPr>
              <w:t xml:space="preserve">euro </w:t>
            </w:r>
            <w:r w:rsidR="00000000" w:rsidRPr="00000000" w:rsidDel="00000000">
              <w:rPr>
                <w:rtl w:val="0"/>
              </w:rPr>
              <w:t xml:space="preserve">un nacionālais finansējums (valsts budžeta līdzfinansējums, pašvaldību līdzfinansējums un privātais līdzfinansējums) – ne mazāk kā 2 257 094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Kultūras ministrijai virzīt priekšlikumus par finansējuma pārdalēm izskatīšanai un lēmuma pieņemšanai nākošajā Eiropas Savienības fondu tematiskās komitejas 2026. gada sēdē, atbilstoši Eiropas Savienības fondu tematiskās komitejas 2026. gada 6. augusta sēdes protokola Nr. 1 2.§ 2. punktam, kurš nosaka, ka nozaru ministrijām jāiesniedz Finanšu ministrijā papildu informāciju par visiem pieteiktajiem finansējuma pieprasījuma vai pārdaļu priekšlikumiem, vai arī tās saskaņot Sadarbības sanāksmē. Attiecīgi jautājums par noteikumu projekta (26-TA-2147) turpmāku saskaņošanu ir izskatāms pēc Eiropas Savienības fondu tematiskās komitejas lēmuma pieņemšanas par minētajām finansējuma pārdalēm.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finansējuma pārdales priekšlikumu virzīs izskatīšanai Sadarbības sanāksmē, iesniedzot noteikumu projektu Nr. 26-TA-2147, līdz ar to jautājums par finansējuma pārdali tiks izskatīts arī politiskā līmenī, nodrošinot noteikumu projekta gala redakcijas atbilstību pieņemtajiem lēmumiem par finansējuma pārdali.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Specifiskā atbalsta ietvaros pieejamais kopējais attiecināmais finansējums ir 15 047 293 </w:t>
            </w:r>
            <w:r w:rsidR="00000000" w:rsidRPr="00000000" w:rsidDel="00000000">
              <w:rPr>
                <w:i w:val="1"/>
                <w:rtl w:val="0"/>
              </w:rPr>
              <w:t xml:space="preserve">euro</w:t>
            </w:r>
            <w:r w:rsidR="00000000" w:rsidRPr="00000000" w:rsidDel="00000000">
              <w:rPr>
                <w:rtl w:val="0"/>
              </w:rPr>
              <w:t xml:space="preserve">, tai skaitā Eiropas Reģionālās attīstības fonda finansējums 12 790 199 </w:t>
            </w:r>
            <w:r w:rsidR="00000000" w:rsidRPr="00000000" w:rsidDel="00000000">
              <w:rPr>
                <w:i w:val="1"/>
                <w:rtl w:val="0"/>
              </w:rPr>
              <w:t xml:space="preserve">euro </w:t>
            </w:r>
            <w:r w:rsidR="00000000" w:rsidRPr="00000000" w:rsidDel="00000000">
              <w:rPr>
                <w:rtl w:val="0"/>
              </w:rPr>
              <w:t xml:space="preserve">un nacionālais finansējums (valsts budžeta līdzfinansējums, pašvaldību līdzfinansējums un privātais līdzfinansējums) – ne mazāk kā 2 257 094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izstrādātos grozījumus, lūdzam papildināt noteikumu projekta anotāciju ar informāciju, ka finansējuma saņēmējs projekta atbalstāmās darbības jāīsteno atbilstoši drošas finanšu pārvaldības principiem, ievērojot samērīguma principus un veic visas darbības, lai publiskais finansējums tiktu investēts lietderīgi, efektīvi, atbildīgi, rūpīgi un atbilstoši plānotajam mērķim un saskaņā ar normatīvo regulējumu. Iestādes vadītājs ir atbildīgs par iestādes un tās īstenoto projektu finanšu līdzekļu efektīvu un lietderīgu izmantošanu, tai skaitā atbilstību attiecināmības, saimnieciskuma, lietderības un efektivitātes pamatprincipiem, novēršot līdzekļu izšķērdēšanas riska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vai ņemot vērā izstrādātos grozījumus civiltiesiskā līguma vai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alternatīvo risinājumu izvērtējumu, norādot vismaz galvenos apsvērtos variantus un argumentus, kādēļ tie netika atbalstīti. Patreiz anotācijā norādīts, ka alternatīvie risinājumi ir izvērtēti, tomēr faktiski sniegts tikai izvēlētā risinājuma pamatojums. Nav aprakstīti citi izskatītie varianti.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"Problēmas apraksts" ar detalizētu pamatojumu papildu finansējuma nepieciešamībai 5.1.1.5. pasākumā, norādot finansējuma deficīta apmēru un galvenos izmaksu pieauguma cēloņus.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anotācijā teikts, ka Lielās ģildes un Arsenāla projektu pabeigšanai nepieciešams papildu finansējums, taču nav norādīts, kāds ir kopējais finansējuma trūkums, kā tas radies un kāpēc nepieciešami tieši 4,35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skaidrojot, kādi alternatīvi ieguldījumu varianti tika izvērtēti 4.3.2. SAM ietvaros un kādēļ secināts, ka papildu finansējuma saglabāšana šajā mērķī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par galveno argumentu finansējuma pārdalei minēts, ka 4.3.2. SAM rādītāji tiks pārsniegti, taču nav sniegta analīze, kādas papildu priekšrocības radītu finansējuma saglabāšana 4.3.2. SAM ietvaros, piemēram, papildu projektu atbalstīšana vai rādītāju turpmāka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uz šo brīdi aktuālajām/ sasniegtajām rādītāju vērtībā. Papildus lūdzam nodrošināt, lai šīs aktuālās rādītāju vērtības būtu iespējams identificēt arī Kohēzijas politikas fondu vadības informācijas sistēmā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4.3.2.SAM ietvaros  līdz 2029. gada 31. decembrim sasniedzami šādi Programmas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(RCO 77): atbalstīto kultūras un tūrisma objektu skaits – vismaz 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(RCR 77): atbalstīto kultūras un tūrisma vietu apmeklētāju skaits – vismaz 16 500.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noteikumu projekta anotācijā norādīt aktuālās/sasniegtās 4.3.2. SAM uzraudzības rādītāju vērtības skaidrojam, ka 4.3.2. SAM ietvaros atbalstīto projektu īstenošana ir uzsākta salīdzinoši nesen – lielākā daļa līgumu par projekta īstenošanu noslēgta tikai 2026. gada vidū un projektu īstenošanas termiņi lielākoties ir līdz 2029. gada 31. decembrim, tāpēc sasniedzamo rādītāju progress būs vērtējams ne ātrāk par 2028. gada sākumu attiecībā uz 2027. gadu. Līdz ar to projektos paredzētās darbības vēl ir īstenošanas stadijā un Programmas uzraudzības rādītāju RCO 77 un RCR 77 faktiskās sasniegtās vērtības šobrīd vēl netiek uzskaitītas KPVIS. Sasniegtās rādītāju vērtības tiks uzskaitītas KPVIS atbilstoši projektu īstenošanas progresam un rādītāju sasniegšanas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noslēgtajiem līgumiem un projektu iesniegumos plānotajam ar 16 atbalstītajiem projektiem paredzēts sasniegt 21 atbalstītu kultūras un tūrisma objektu un vismaz 100 000 apmeklētāju, tādējādi nodrošinot Programmas noteikto mērķa vērtību – attiecīgi vismaz 11 objektus un 16 500 apmeklētājus – sasniegšanu un būtisku pārsniegšanu.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ierosināto grozījumu ietekmi uz projektu iesniedzējiem/ finansējuma saņēmējiem, tostarp norādot plānoto kārtību, kādā pēc grozījumu apstiprināšanas Ministru kabinetā tiks informēti finansējuma saņēmēji par grozījumu saturu un to iespējamo ietekmi uz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ierosinātajiem grozījumiem nav ietekmes uz uzsāktajiem projektiem (</w:t>
            </w:r>
            <w:r w:rsidR="00000000" w:rsidRPr="00000000" w:rsidDel="00000000">
              <w:rPr>
                <w:b w:val="1"/>
                <w:rtl w:val="0"/>
              </w:rPr>
              <w:t xml:space="preserve">16 projektu īstenošana visā Latvijas teritorijā</w:t>
            </w:r>
            <w:r w:rsidR="00000000" w:rsidRPr="00000000" w:rsidDel="00000000">
              <w:rPr>
                <w:rtl w:val="0"/>
              </w:rPr>
              <w:t xml:space="preserve">), lūdzam šo informāciju skaidri norādīt anotācijā. Tas nepieciešams, lai apliecinātu, ka grozījumu ietekmes izvērtējums ir veikts un nodrošinātu atbilstošas audita liecības informācijas izsekojamībai.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2. sadaļu, jo projekta aprakstā identificējamas ekonomiskās un sociālās ietekmes. Vēršam uzmanību, ka anotācijas 1. sadaļā norādīts, ka noteikumu projekts neskar sabiedrības grupas un tautsaimniecības attīstību, lai gan anotācijā kā ieguvumi minēta kultūras pakalpojumu attīstība, tūrisma attīstība, uzņēmējdarbības veicināšana un Rīgas konkurētspējas stiprināšana.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2. sadaļa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anotācijas 8.1.5. sadaļā norādīto, ka projekts neskar teritoriju attīstību. Finansējuma pārdale uz Rīgā īstenojamiem kultūras infrastruktūras projektiem pēc būtības rada ietekmi uz teritorijas attīstību un reģionālo investīciju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anotācijā norādīts, ka projekts neskar teritoriju attīstību, tomēr vienlaikus gandrīz 4,35 milj. euro tiek novirzīti Lielās ģildes un Arsenāla projektiem Rīgā, pamatojot to ar Rīgas kā nacionāla un starptautiska kultūras centra konkurētspējas stiprināšanu. Pēc sākotnējā vērtējuma - tas pēc būtības ir teritorijas attīstības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8. sadaļa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8.1.8. sadaļu, jo anotācijā vairākkārt norādīta pozitīva ietekme uz sociālo iekļaušanu un kultūras pakalpojumu pieejamību dažādām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uzsvērta sociālā iekļaušana, piekļūstamība personām ar funkcionāliem traucējumiem, kultūras pakalpojumu pieejamība dažādām sabiedrības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8. sadaļa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8.1.9. sadaļu, jo projekta aprakstā ir identificējama pozitīva ietekme uz personu ar invaliditāti vienlīdzīgām iespējām un kultūras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risinājuma aprakstā īpaši uzsvērta piekļūstamība cilvēkiem ar funkcionāliem traucējumiem un universālā dizaina principi, taču 8.1.9. sadaļā norādīts, ka ietekmes nav.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8. sadaļa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informēt Ministru kabinetu par turpmāko rīcību gadījumā, ja Eiropas Komisija neatbalsta Eiropas Savienības kohēzijas politikas programmas 2021.–2027. gadam grozījumu priekšlikumus, kas saistīti ar 4.3.2. specifiskā atbalsta mērķa "Kultūras un tūrisma lomas palielināšana ekonomiskajā attīstībā, sociālajā iekļaušanā un sociālajās inovācijās" pieejamā finansējuma apmēra precizēšanu.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3.punkts ir svītrojams, lai nedublētu jau Ministru kabineta noteikumu projekta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(26-TA-2181) Ministru kabineta sēdes protokollēmuma projekta 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3.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Specifiskā atbalsta ietvaros pieejamais kopējais attiecināmais finansējums ir 15 047 293 </w:t>
            </w:r>
            <w:r w:rsidR="00000000" w:rsidRPr="00000000" w:rsidDel="00000000">
              <w:rPr>
                <w:i w:val="1"/>
                <w:rtl w:val="0"/>
              </w:rPr>
              <w:t xml:space="preserve">euro</w:t>
            </w:r>
            <w:r w:rsidR="00000000" w:rsidRPr="00000000" w:rsidDel="00000000">
              <w:rPr>
                <w:rtl w:val="0"/>
              </w:rPr>
              <w:t xml:space="preserve">, tai skaitā Eiropas Reģionālās attīstības fonda finansējums 12 790 199 </w:t>
            </w:r>
            <w:r w:rsidR="00000000" w:rsidRPr="00000000" w:rsidDel="00000000">
              <w:rPr>
                <w:i w:val="1"/>
                <w:rtl w:val="0"/>
              </w:rPr>
              <w:t xml:space="preserve">euro </w:t>
            </w:r>
            <w:r w:rsidR="00000000" w:rsidRPr="00000000" w:rsidDel="00000000">
              <w:rPr>
                <w:rtl w:val="0"/>
              </w:rPr>
              <w:t xml:space="preserve">un nacionālais finansējums (valsts budžeta līdzfinansējums, pašvaldību līdzfinansējums un privātais līdzfinansējums) – ne mazāk kā 2 257 094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ierosinātie noteikumu projekta un Programmas grozījumi Nr.6 skar finansējuma apmēru, aicinām iesniegt Finanšu ministrijā precizētu 4.3.2.SAM rādītāju metodoloģijas aprakstu (rādītāju pasi).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SAM rādītāju metodoloģijas apraksts (rādītāju pase) tiks precizēts un nosūtīts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Specifiskā atbalsta ietvaros pieejamais kopējais attiecināmais finansējums ir 15 047 293 </w:t>
            </w:r>
            <w:r w:rsidR="00000000" w:rsidRPr="00000000" w:rsidDel="00000000">
              <w:rPr>
                <w:i w:val="1"/>
                <w:rtl w:val="0"/>
              </w:rPr>
              <w:t xml:space="preserve">euro</w:t>
            </w:r>
            <w:r w:rsidR="00000000" w:rsidRPr="00000000" w:rsidDel="00000000">
              <w:rPr>
                <w:rtl w:val="0"/>
              </w:rPr>
              <w:t xml:space="preserve">, tai skaitā Eiropas Reģionālās attīstības fonda finansējums 12 790 199 </w:t>
            </w:r>
            <w:r w:rsidR="00000000" w:rsidRPr="00000000" w:rsidDel="00000000">
              <w:rPr>
                <w:i w:val="1"/>
                <w:rtl w:val="0"/>
              </w:rPr>
              <w:t xml:space="preserve">euro </w:t>
            </w:r>
            <w:r w:rsidR="00000000" w:rsidRPr="00000000" w:rsidDel="00000000">
              <w:rPr>
                <w:rtl w:val="0"/>
              </w:rPr>
              <w:t xml:space="preserve">un nacionālais finansējums (valsts budžeta līdzfinansējums, pašvaldību līdzfinansējums un privātais līdzfinansējums) – ne mazāk kā 2 257 094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ievēro, ka ir atbalstāms sociāli atbildīgs un inovatīvs iepirkums un vides prasību integrācija preču un pakalpojumu iepirkumos (zaļais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likumā tika izslēgts 19. pants “Zaļais publiskais iepirkums” un 09.06.2026. zaudēja spēku Ministru kabineta 20.06.2017. noteikumi Nr. 353 “Prasības zaļajam publiskajam iepirkumam un to piemērošanas kārtība” un vides prasību integrācija iepirkumos turpmāk tiek īstenota ar stratēģisko iepirkumu "Ietekmes uz vidi mazināšana" (atbilstoši IUB publicētajam skaidrojumam), vienlaikus, saskaņā ar Publisko iepirkumu likuma pārejas noteikumu 27. punktu līdz 08.06.2026. (ieskaitot) uzsāktie vai izsludinātie iepirkumi pabeidzami atbilstoši to uzsākšanas vai izsludināšanas laikā spēkā esošajam regulējumam, rosinām izvērtēt vai nepieciešami precizējumi MK noteikumu projekta 33.6.apakšpunktā.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ievēro, ka ir atbalstāms sociāli atbildīgs un inovatīvs iepirkums un vides prasību integrācija preču un pakalpojumu iepirkumos;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kā arī ar parakstu apliecina, ka nepastāv interešu konflikts;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33.7. apakšpunktā ietvertās atsauces uz Eiropas Parlamenta un Padomes 2024. gada 23. septembra Regulas (ES, Euratom) 2024/2509 par finanšu noteikumiem, ko piemēro Savienības vispārējam budžetam (pārstrādātā redakcija)  61. pantu pamatotību, jo skaidrojam, ka minētais regulējums ir tieši piemērojamas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nodrošina interešu konflikta neesību;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37.2.</w:t>
            </w:r>
            <w:r w:rsidR="00000000" w:rsidRPr="00000000" w:rsidDel="00000000">
              <w:rPr>
                <w:rtl w:val="0"/>
              </w:rPr>
              <w:t xml:space="preserve"> un </w:t>
            </w:r>
            <w:r w:rsidR="00000000" w:rsidRPr="00000000" w:rsidDel="00000000">
              <w:rPr>
                <w:rtl w:val="0"/>
              </w:rPr>
              <w:t xml:space="preserve">37.3.</w:t>
            </w:r>
            <w:r w:rsidR="00000000" w:rsidRPr="00000000" w:rsidDel="00000000">
              <w:rPr>
                <w:rtl w:val="0"/>
              </w:rPr>
              <w:t xml:space="preserve"> apakšpunktā</w:t>
            </w:r>
            <w:r w:rsidR="00000000" w:rsidRPr="00000000" w:rsidDel="00000000">
              <w:rPr>
                <w:rtl w:val="0"/>
              </w:rPr>
              <w:t xml:space="preserve"> minētās izmaksas kopā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38.punktā nav noteikts, vai procentuālais ierobežojums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w:t>
            </w:r>
            <w:r w:rsidR="00000000" w:rsidRPr="00000000" w:rsidDel="00000000">
              <w:rPr>
                <w:u w:val="single"/>
                <w:rtl w:val="0"/>
              </w:rPr>
              <w:t xml:space="preserve">plānotajām</w:t>
            </w:r>
            <w:r w:rsidR="00000000" w:rsidRPr="00000000" w:rsidDel="00000000">
              <w:rPr>
                <w:rtl w:val="0"/>
              </w:rPr>
              <w:t xml:space="preserve">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37.2.</w:t>
            </w:r>
            <w:r w:rsidR="00000000" w:rsidRPr="00000000" w:rsidDel="00000000">
              <w:rPr>
                <w:rtl w:val="0"/>
              </w:rPr>
              <w:t xml:space="preserve"> un </w:t>
            </w:r>
            <w:r w:rsidR="00000000" w:rsidRPr="00000000" w:rsidDel="00000000">
              <w:rPr>
                <w:rtl w:val="0"/>
              </w:rPr>
              <w:t xml:space="preserve">37.3.</w:t>
            </w:r>
            <w:r w:rsidR="00000000" w:rsidRPr="00000000" w:rsidDel="00000000">
              <w:rPr>
                <w:rtl w:val="0"/>
              </w:rPr>
              <w:t xml:space="preserve"> apakšpunktā</w:t>
            </w:r>
            <w:r w:rsidR="00000000" w:rsidRPr="00000000" w:rsidDel="00000000">
              <w:rPr>
                <w:rtl w:val="0"/>
              </w:rPr>
              <w:t xml:space="preserve"> minētās izmaksas kopā nepārsniedz 10 procentus no projekta plānotajām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minētās projekta vadības personāla izmaksu ierobežojumu aprēķina, pie minimālo izmaksu bāzes 34 422 </w:t>
            </w:r>
            <w:r w:rsidR="00000000" w:rsidRPr="00000000" w:rsidDel="00000000">
              <w:rPr>
                <w:i w:val="1"/>
                <w:rtl w:val="0"/>
              </w:rPr>
              <w:t xml:space="preserve">euro </w:t>
            </w:r>
            <w:r w:rsidR="00000000" w:rsidRPr="00000000" w:rsidDel="00000000">
              <w:rPr>
                <w:rtl w:val="0"/>
              </w:rPr>
              <w:t xml:space="preserve">gadā pieskaitot 0,64 procentus no projekta tiešajām attiecināmajām izmaksām, neieskaitot tiešās projekta vadības personāla izmaksas, un summu reizinot ar projekta ilgumu gados. Ja projekts ilgst mazāk par gadu vai nepilnus kalendāra gadus, ierobežojums tiek aprēķināts proporcionāli projekta īstenošanas mēnešu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40.punktu, ņemot vērā, ka 09.06.2025. veikti grozījumi attiecināmo izmaksu noteikšanas vadlīnijās, kurās nav iekļauti nosacījumi par ierobežojumiem projekta vadības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minētās projekta vadības personāla izmaksu ierobežojumu aprēķina, pie minimālo izmaksu bāzes 34 422 </w:t>
            </w:r>
            <w:r w:rsidR="00000000" w:rsidRPr="00000000" w:rsidDel="00000000">
              <w:rPr>
                <w:i w:val="1"/>
                <w:rtl w:val="0"/>
              </w:rPr>
              <w:t xml:space="preserve">euro </w:t>
            </w:r>
            <w:r w:rsidR="00000000" w:rsidRPr="00000000" w:rsidDel="00000000">
              <w:rPr>
                <w:rtl w:val="0"/>
              </w:rPr>
              <w:t xml:space="preserve">gadā pieskaitot 0,64 procentus no projekta tiešajām attiecināmajām izmaksām, neieskaitot tiešās projekta vadības personāla izmaksas, un summu reizinot ar projekta ilgumu gados. Ja projekts ilgst mazāk par gadu vai nepilnus kalendāra gadus, ierobežojums tiek aprēķināts proporcionāli projekta īstenošanas mēnešu skaitam.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regulas Nr. 651/2014 9. panta 1. punkta "c" apakšpunktā un 4. punktā noteikto publicitātes pasākumu izpildi atbilstoši normatīvajam aktam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Ministru kabineta 2016. gada 21. jūnija noteikumos Nr. 386 "Kārtība, kādā publicē informāciju par sniegto komercdarbības atbalstu un piešķir un anulē elektroniskās sistēmas lietošanas tiesības", ar kuru tika grozīts iepriekš minēto MK noteikumu nosaukums uz "Kārtība, kādā publicē informāciju par sniegto komercdarbības atbalstu", lūdzam atbilstoši precizēt noteikumu 52.1.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regulas Nr. 651/2014 9. panta 1. punkta "c" apakšpunktā un 4. punktā noteikto publicitātes pasākumu izpildi atbilstoši normatīvajam aktam par kārtību, kādā publicē informāciju par sniegto komercdarbības atbalstu;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26-TA-2147</w:t>
    </w:r>
    <w:r>
      <w:br/>
    </w:r>
    <w:r w:rsidR="00000000" w:rsidRPr="00000000" w:rsidDel="00000000">
      <w:rPr>
        <w:rtl w:val="0"/>
      </w:rPr>
      <w:t xml:space="preserve">25.09.2026. 15.27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26-TA-2147</w:t>
    </w:r>
    <w:r>
      <w:br/>
    </w:r>
    <w:r w:rsidR="00000000" w:rsidRPr="00000000" w:rsidDel="00000000">
      <w:rPr>
        <w:rtl w:val="0"/>
      </w:rPr>
      <w:t xml:space="preserve">25.09.2026. 15.27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Izziņa_26-TA-2147.docx</dc:title>
</cp:coreProperties>
</file>

<file path=docProps/custom.xml><?xml version="1.0" encoding="utf-8"?>
<Properties xmlns="http://schemas.openxmlformats.org/officeDocument/2006/custom-properties" xmlns:vt="http://schemas.openxmlformats.org/officeDocument/2006/docPropsVTypes"/>
</file>