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noteikumu projekta 7. punktu, kas paredz papildināt Ministru kabineta 2023. gada 22. augusta noteikumus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noteikumi) ar 40.1.</w:t>
            </w:r>
            <w:r w:rsidR="00000000" w:rsidRPr="00000000" w:rsidDel="00000000">
              <w:rPr>
                <w:vertAlign w:val="superscript"/>
                <w:rtl w:val="0"/>
              </w:rPr>
              <w:t xml:space="preserve">1</w:t>
            </w:r>
            <w:r w:rsidR="00000000" w:rsidRPr="00000000" w:rsidDel="00000000">
              <w:rPr>
                <w:rtl w:val="0"/>
              </w:rPr>
              <w:t xml:space="preserve"> apakšpunktu, ietverts šāds skaidrojums: "</w:t>
            </w:r>
            <w:r w:rsidR="00000000" w:rsidRPr="00000000" w:rsidDel="00000000">
              <w:rPr>
                <w:i w:val="1"/>
                <w:rtl w:val="0"/>
              </w:rPr>
              <w:t xml:space="preserve">[n]epieciešams [..] precizēt 3.1.2.3.i. investīcijas otrās kārtas </w:t>
            </w:r>
            <w:r w:rsidR="00000000" w:rsidRPr="00000000" w:rsidDel="00000000">
              <w:rPr>
                <w:i w:val="1"/>
                <w:u w:val="single"/>
                <w:rtl w:val="0"/>
              </w:rPr>
              <w:t xml:space="preserve">attiecināmo izmaksu nosacījumus</w:t>
            </w:r>
            <w:r w:rsidR="00000000" w:rsidRPr="00000000" w:rsidDel="00000000">
              <w:rPr>
                <w:i w:val="1"/>
                <w:rtl w:val="0"/>
              </w:rPr>
              <w:t xml:space="preserve"> un noteikt, ka </w:t>
            </w:r>
            <w:r w:rsidR="00000000" w:rsidRPr="00000000" w:rsidDel="00000000">
              <w:rPr>
                <w:i w:val="1"/>
                <w:u w:val="single"/>
                <w:rtl w:val="0"/>
              </w:rPr>
              <w:t xml:space="preserve">attiecināmas ir arī </w:t>
            </w:r>
            <w:r w:rsidR="00000000" w:rsidRPr="00000000" w:rsidDel="00000000">
              <w:rPr>
                <w:i w:val="1"/>
                <w:rtl w:val="0"/>
              </w:rPr>
              <w:t xml:space="preserve">infrastruktūras piekļuves un inženierkomunikāciju izbūves izmaksas ārpus finansējuma saņēmēja īpašumā vai lietošanā esošās zemes vienības [..].</w:t>
            </w:r>
            <w:r w:rsidR="00000000" w:rsidRPr="00000000" w:rsidDel="00000000">
              <w:rPr>
                <w:rtl w:val="0"/>
              </w:rPr>
              <w:t xml:space="preserve">" Vēršam uzmanību, ka attiecināmās izmaksas ir regulētas noteikumu III. nodaļā, savukārt ar IV. nodaļā ietilpstošo 40.1.</w:t>
            </w:r>
            <w:r w:rsidR="00000000" w:rsidRPr="00000000" w:rsidDel="00000000">
              <w:rPr>
                <w:vertAlign w:val="superscript"/>
                <w:rtl w:val="0"/>
              </w:rPr>
              <w:t xml:space="preserve">1</w:t>
            </w:r>
            <w:r w:rsidR="00000000" w:rsidRPr="00000000" w:rsidDel="00000000">
              <w:rPr>
                <w:rtl w:val="0"/>
              </w:rPr>
              <w:t xml:space="preserve"> apakšpunktu tiek paredzēts jauns pienākums, kas finansējuma saņēmējam jāievēro, īstenojot noteikumu 31. punktā minētās atbalstāmās darbības. Attiecīgi lūdzam precizēt noteikumu projektu vai arī anotācijā sniegto skaidrojumu, nodrošinot skaidrojumu atbilstību noteikumu projektā ietvertajam regulējumam. Papildus lūdzam anotācijā skaidrot noteikumu projektā paredzēto grozījumu ietekmi uz finansējuma saņēmējiem un jau uzsāktajiem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sadaļā "Pašreizējā situācija, problēmas un risinājumi" ietvertais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pensijas vecuma persona vai viņas apgādnieki no saviem līdzekļiem, ja mērķa grupas persona nespēj samaksāt par minēto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 punktu, ņemot vērā turpmāk minēto. Pirmkārt, noteikumu 4.2. apakšpunktā (projekta 1. punkts) paredzētajā personu kategorijā faktiski ietilpst arī noteikumu 4.1. apakšpunktā minēto personu loks, kaut arī no anotācijā minētā neizriet, ka tāds ir grozījuma mērķis. Proti, 4.2. apakšpunktā minēta </w:t>
            </w:r>
            <w:r w:rsidR="00000000" w:rsidRPr="00000000" w:rsidDel="00000000">
              <w:rPr>
                <w:u w:val="single"/>
                <w:rtl w:val="0"/>
              </w:rPr>
              <w:t xml:space="preserve">pensijas vecuma persona</w:t>
            </w:r>
            <w:r w:rsidR="00000000" w:rsidRPr="00000000" w:rsidDel="00000000">
              <w:rPr>
                <w:rtl w:val="0"/>
              </w:rPr>
              <w:t xml:space="preserve"> vai viņas apgādnieki no saviem līdzekļiem, ja mērķa grupas persona nespēj samaksāt par minēto pakalpojumu, savukārt 4.1. apakšpunktā - </w:t>
            </w:r>
            <w:r w:rsidR="00000000" w:rsidRPr="00000000" w:rsidDel="00000000">
              <w:rPr>
                <w:u w:val="single"/>
                <w:rtl w:val="0"/>
              </w:rPr>
              <w:t xml:space="preserve">pensijas vecuma persona, kurai ir piešķirts trūcīgas vai maznodrošinātas mājsaimniecības statuss</w:t>
            </w:r>
            <w:r w:rsidR="00000000" w:rsidRPr="00000000" w:rsidDel="00000000">
              <w:rPr>
                <w:rtl w:val="0"/>
              </w:rPr>
              <w:t xml:space="preserve">. Pensijas vecuma persona ir plašāka kategorija, kurā ietilpst arī pensijas vecuma persona, kurai ir piešķirts trūcīgas vai maznodrošinātas mājsaimniecības statuss. Attiecīgi lūdzam izvērtēt, vai noteikumu 4.1. apakšpunktu nav nepieciešams svītrot vai kā citādi precizēt noteikumu 4. punkta apakšpunktus, lai to redakcija pilnīgi un korekti atspoguļotu noteikumu 4. punkta mērķi saskaņā ar anotācijā sniegtajiem apsvērumiem. Otrkārt, noteikumu 4.2. apakšpunkta redakcija neatbilst anotācijā ietvertajam skaidrojumam, līdz ar ko lūdzam izvērtēt, vai noteikumu 4.2. apakšpunkta formulējums ir pietiekami precīzs un atbilstošs mērķim, ko ar normu ir iecerēts sasniegt. Proti, anotācijā norādīts uz "</w:t>
            </w:r>
            <w:r w:rsidR="00000000" w:rsidRPr="00000000" w:rsidDel="00000000">
              <w:rPr>
                <w:i w:val="1"/>
                <w:rtl w:val="0"/>
              </w:rPr>
              <w:t xml:space="preserve">[..] pensijas vecuma personām, </w:t>
            </w:r>
            <w:r w:rsidR="00000000" w:rsidRPr="00000000" w:rsidDel="00000000">
              <w:rPr>
                <w:i w:val="1"/>
                <w:u w:val="single"/>
                <w:rtl w:val="0"/>
              </w:rPr>
              <w:t xml:space="preserve">kurām ir piešķirts trūcīgas vai maznodrošinātas mājsaimniecības statuss </w:t>
            </w:r>
            <w:r w:rsidR="00000000" w:rsidRPr="00000000" w:rsidDel="00000000">
              <w:rPr>
                <w:b w:val="1"/>
                <w:i w:val="1"/>
                <w:u w:val="single"/>
                <w:rtl w:val="0"/>
              </w:rPr>
              <w:t xml:space="preserve">un</w:t>
            </w:r>
            <w:r w:rsidR="00000000" w:rsidRPr="00000000" w:rsidDel="00000000">
              <w:rPr>
                <w:i w:val="1"/>
                <w:rtl w:val="0"/>
              </w:rPr>
              <w:t xml:space="preserve"> viņu senioru ĢVPP izmaksas sedz </w:t>
            </w:r>
            <w:r w:rsidR="00000000" w:rsidRPr="00000000" w:rsidDel="00000000">
              <w:rPr>
                <w:b w:val="1"/>
                <w:i w:val="1"/>
                <w:u w:val="single"/>
                <w:rtl w:val="0"/>
              </w:rPr>
              <w:t xml:space="preserve">arī</w:t>
            </w:r>
            <w:r w:rsidR="00000000" w:rsidRPr="00000000" w:rsidDel="00000000">
              <w:rPr>
                <w:i w:val="1"/>
                <w:rtl w:val="0"/>
              </w:rPr>
              <w:t xml:space="preserve"> apgādnieki no saviem līdzekļiem [..]</w:t>
            </w:r>
            <w:r w:rsidR="00000000" w:rsidRPr="00000000" w:rsidDel="00000000">
              <w:rPr>
                <w:rtl w:val="0"/>
              </w:rPr>
              <w:t xml:space="preserve">", tomēr noteikumu 4.2. apakšpunkts šādai izpratnei neatbilst. Attiecīgi lūdzam izvērtēt un precizēt noteikumu projekta 1. punktu un, ja nepieciešams, noteikumu 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kā arī precizēts anotācijas  1.3. sadaļā "Pašreizējā situācija, problēmas un risinājumi" ietvertais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pensijas vecuma persona, tai skaitā, ja tai ir piešķirts trūcīgas un maznodrošinātas mājsaimniecības statuss, atlikušo pakalpojuma izmaksu daļu daļēji līdzfinansējot pašvaldībai un daļēji sedzot pašai personai no citiem ienākumiem vai tās apgādniekiem.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1.punktā "Budžeta ieņēmumi" un 2.1. apakšpunktā "valsts pamatbudžets" norādītais Atveseļošanas un noturības mehānisma finansējums (kopsumma 2025. un 2026.gadam) atšķiras par 1 euro no noteikumu projekta 4.punktā norādītā finansējuma. Līdz ar to lūdzam novērst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apakšsadaļas 1. tabulu, ņemot vērā, ka arī ar noteikumu projekta pielikumu jaunā redakcijā izteiktajā noteikumu 1. pielikumā ietverta atsauce uz Eiropas Parlamenta un Padomes 2024. gada 23. septembra regulas (ES, Euratom) Nr. 2024/2509 par finanšu noteikumiem, ko piemēro Savienības vispārējam budžetam, 138. panta apakšvienībām.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"Tiesību akta projekta atbilstība ES tiesību aktiem" 1. tabula. Papildus informējam, ka ir papildināta arī 5.3. apakšsadaļa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pensijas vecuma persona vai viņas apgādnieki no saviem līdzekļiem, ja mērķa grupas persona nespēj samaksāt par minēto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MK noteikumu 4.2. punktā precizēto mērķa grupu ar anotācijā norādīto. Anotācijā šobrīd ir ierakstīta mērķa grupa, kas atbilst iepriekšējai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mērķa grupa, kas atbilst iepriekšējai Ministru kabineta 22.08.2023.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 redakcijai ir norādīta 1.3. sadaļas "Pašreizējā situācija, problēmas un risinājumi" apakšsadaļā "Pašreizējā situācija", kas ir korekti. Skaidrības un nepārprotamības nodrošināšanai iepriekš minētās sadaļas apakšsadaļa "Risinājuma apraksts" papildināts ar precizēto MK noteikumu Nr. 475 mērķa grupas personu definējumu.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pensijas vecuma persona, tai skaitā, ja tai ir piešķirts trūcīgas un maznodrošinātas mājsaimniecības statuss, atlikušo pakalpojuma izmaksu daļu daļēji līdzfinansējot pašvaldībai un daļēji sedzot pašai personai no citiem ienākumiem vai tās apgādniekiem.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30. jūnijam – jaunu vietu nodrošināšana 408 senioriem tādu ilgtermiņa aprūpes pakalpojumu saņemšanai, kas pietuvināti ģimeniskai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aizstājot vārdu "senioriem" ar vārdiem "pensijas vecuma personām", lai nodrošinātu atbilstību noteikumu 4.punktā norādītai mērķa grupai un Atveseļošanas un noturības mehānisma plānā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30. jūnijam –– jaunu vietu nodrošināšana 408 pensijas vecuma personām tādu ilgtermiņa aprūpes pakalpojumu saņemšanai, kas pietuvināti ģimeniskai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7.2. apakšpunkts. Tā kā 2025. gada 18. februārī Eiropas Padomes pieņēma lēmumu, ar ko groza par Eiropas Padomes 2021. gada 6. jūlija īstenošanas lēmumu par Latvijas Atveseļošanas un noturības plāna novērtējuma apstiprināšanu un vairs nepastāv risks, ka Eiropas Komisija neatbalsta 3.1.2.3.i. investīcijas "Ilgstošas sociālās aprūpes pakalpojuma noturība un nepārtrauktība: jaunu ģimeniskai videi pietuvinātu aprūpes pakalpojumu sniedzēju attīstība pensijas vecuma personām" otrās kārtas mērķrādītāja vērtības un finansējuma samazinājumu, svītrots noteikumu projektam pievienotā protokollēmuma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30. jūnijam – jaunu vietu nodrošināšana 408 pensijas vecuma personām tādu ilgtermiņa aprūpes pakalpojumu saņemšanai, kas pietuvināti ģimeniskai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r w:rsidR="00000000" w:rsidRPr="00000000" w:rsidDel="00000000">
              <w:rPr>
                <w:vertAlign w:val="superscript"/>
                <w:rtl w:val="0"/>
              </w:rPr>
              <w:t xml:space="preserve">1</w:t>
            </w:r>
            <w:r w:rsidR="00000000" w:rsidRPr="00000000" w:rsidDel="00000000">
              <w:rPr>
                <w:rtl w:val="0"/>
              </w:rPr>
              <w:t xml:space="preserve"> šo noteikumu 31.1. un 31.2. minētās atbalstāmās darbības īstenošanai nodrošina teritorijas labiekārtošanu tādā apmērā, lai izveidotu teritoriju atpūtas un brīvā laika pavadīšanai, rehabilitācijai un rekreācijai, nodrošinātu vides piekļūstamību šo noteikumu 4. punktā minētajām mērķa grupas personām un citiem teritorijas un būves lietotājiem un paredzētu nepieciešamās piekļuves līdz zemes vienībai un zemes vienībā, uz kuras tiek veidota ģimeniskai videi pietuvinātā pakalpojuma infrastruktūra, kas ietver arī servitūta ceļa nodibināšanu un servitūta ceļu būvniecību, un funkcionāli nepieciešamo inženiertehnisko apgādi arī ārpus īpašumā vai lietošanā esošās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attiecībā uz 14.1. punktā minētajiem finansējuma saņēmējiem, lai nodrošinātu nepārprotamu skaidrību un sakritību ar noteikumu projekta anotācijā sniegto informācija, ka, ja tiek veikti darbi, kas saistīti ar inženiertīklu pieslēgšanu, tad nepieciešamības gadījumā pēc darbiem, kas ir ietekmējuši zemes virsmu vai segumu, ir jāveic nepieciešamie atjaunošanas darbi, lai nodrošinātu, ka segums atbilst iepriekšējai kvalitātei un izskatam. Līdz ar to projekta sastāvdaļā ir iekļaujami būvdarbi ārpus finansējuma saņēmēja īpašumā vai lietošanā nodotās zemes vienības tikai tādā apmērā, lai nodrošinātu ceļa atjaunošanu iepriekšējā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punkts palielina projekta attiecināmas izmaksas, kas nav Atveseļošanas un noturības mehānisma finansētas, līdz ar to projekta īstenotājam ir jālemj par šo izmaksu finansēšanas avotiem, tajā skaitā pašvaldībām par līdzfinansējuma iespējām no budžeta, vai nepieciešamības gadījumā par aizņēmumu, stingri ievērojot likumā “Par valsts budžetu 2025. gadam un budžeta ietvaru 2025., 2026. un 2027. gadam” noteiktos aizņemšanās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40.1.</w:t>
            </w:r>
            <w:r w:rsidR="00000000" w:rsidRPr="00000000" w:rsidDel="00000000">
              <w:rPr>
                <w:vertAlign w:val="superscript"/>
                <w:rtl w:val="0"/>
              </w:rPr>
              <w:t xml:space="preserve">1</w:t>
            </w:r>
            <w:r w:rsidR="00000000" w:rsidRPr="00000000" w:rsidDel="00000000">
              <w:rPr>
                <w:rtl w:val="0"/>
              </w:rPr>
              <w:t xml:space="preserve"> apakšpunkts, kā arī anotācijas 1.3. sadaļa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r w:rsidR="00000000" w:rsidRPr="00000000" w:rsidDel="00000000">
              <w:rPr>
                <w:vertAlign w:val="superscript"/>
                <w:rtl w:val="0"/>
              </w:rPr>
              <w:t xml:space="preserve">1</w:t>
            </w:r>
            <w:r w:rsidR="00000000" w:rsidRPr="00000000" w:rsidDel="00000000">
              <w:rPr>
                <w:rtl w:val="0"/>
              </w:rPr>
              <w:t xml:space="preserve"> šo noteikumu 31.1. un 31.2. minētās atbalstāmās darbības īstenošanai nodrošina teritorijas labiekārtošanu tādā apmērā, lai izveidotu teritoriju atpūtas un brīvā laika pavadīšanai, rehabilitācijai un rekreācijai, nodrošinātu vides piekļūstamību šo noteikumu 4. punktā minētajām mērķa grupas personām un citiem teritorijas un būves lietotājiem un paredzētu nepieciešamās piekļuves līdz zemes vienībai un zemes vienībā, uz kuras tiek veidota ģimeniskai videi pietuvinātā pakalpojuma infrastruktūra, kas ietver arī servitūta ceļa nodibināšanu un servitūta ceļu būvniecību, un funkcionāli nepieciešamo inženiertehnisko apgādi arī ārpus īpašumā vai lietošanā esošās zemes vienības tādā apmērā, lai nodrošinātu infrastruktūras funkcionalitāti un nodošanu ekspluatācijā;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izslēgšanas kritērija 1.1. redakciju, ņemot vērā, ka kritērijs paredz izvērtēt atbilstību uz projekta iesnieguma iesniegšanas un atbalsta piešķiršana brīdi, savukārt 3.1.2.3.i. investīcijas otrās kārtas atlase ir noslēgusies un projekti ir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kritērijs tomēr tiks precizēts, lūdzam papildināt anotāciju ar izvērtējumu par izmaiņu projektu iesniegumu vērtēšanas kritērijos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vērtēšanā esošajiem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 neiesniegtajiem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MK noteikumu Nr. 475 20. un 21. punkts, kurā tiek precizētas atsauces uz aktuālo regulu par finanšu noteikumiem, ko piemēro Eiropas Savienības vispārējam budžetam, proti, regulu 2024/2509, ir par notikušu procesu. Eiropas Savienības fondu Ministru kabineta noteikumu saskaņošanas procesā Finanšu ministrija – vadošā iestāde ir norādījusi, ka ir nepieciešams precizēt atsauci uz minēto regulu arī tad, ja konkrētais process ir noslēdzies un faktiski šī regula netiks piemērota. Līdzīgu pieeju LM piemēro arī MK noteikumos Nr. 475, t.sk. arī pielikumā. Papildus informējam, ka precizēts anotācijas  1.3. sadaļā “Pašreizējā situācija, problēmas un risinājumi” ietvertais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25-TA-295</w:t>
    </w:r>
    <w:r>
      <w:br/>
    </w:r>
    <w:r w:rsidR="00000000" w:rsidRPr="00000000" w:rsidDel="00000000">
      <w:rPr>
        <w:rtl w:val="0"/>
      </w:rPr>
      <w:t xml:space="preserve">25.03.2025. 17.56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25-TA-295</w:t>
    </w:r>
    <w:r>
      <w:br/>
    </w:r>
    <w:r w:rsidR="00000000" w:rsidRPr="00000000" w:rsidDel="00000000">
      <w:rPr>
        <w:rtl w:val="0"/>
      </w:rPr>
      <w:t xml:space="preserve">25.03.2025. 17.56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Izziņa_25-TA-295.docx</dc:title>
</cp:coreProperties>
</file>

<file path=docProps/custom.xml><?xml version="1.0" encoding="utf-8"?>
<Properties xmlns="http://schemas.openxmlformats.org/officeDocument/2006/custom-properties" xmlns:vt="http://schemas.openxmlformats.org/officeDocument/2006/docPropsVTypes"/>
</file>