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24-TA-3288: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 uz Ārlietu ministrijas, Finanšu ministrijas un Satiksmes ministrijas budžetu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18.00.00 "Finansējums valsts drošības stiprināšanas pasākumiem" uz Ārlietu ministrijas, Finanšu ministrijas un Satiksmes ministrijas budžetu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Apropriācijas pārdale neattiecas uz Klimata un enerģētikas ministrijas kompetenci, attiecīgi ministrija viedokli par izstrādātajiem tiesību akta projektiem nesniedz.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18.00.00 "Finansējums valsts drošības stiprināšanas pasākumiem" uz Ārlietu ministrijas, Finanšu ministrijas un Satiksmes ministrijas budžetu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18.00.00 "Finansējums valsts drošības stiprināšanas pasākumiem" uz Ārlietu ministrijas, Finanšu ministrijas un Satiksmes ministrijas budžetu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Ministru kabineta 2021.gada 7.septembra noteikumu Nr.606 "Ministru kabineta kārtības rullis" 52.1.2.6.apakšpunkta izriet, ka par Ministru kabineta rīkojuma projektu par apropriācijas pārdali nav nepieciešams saņemt atzinumu (projekta saskaņojumu) no Tieslietu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Tieslietu ministrija par minēto Ministru kabineta rīkojuma projektu atzinumu nesniegs.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18.00.00 "Finansējums valsts drošības stiprināšanas pasākumiem" uz Ārlietu ministrijas, Finanšu ministrijas un Satiksmes ministrijas budžetu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kā noteikts Satiksmes ministrijai nepieciešamā finansējuma apmērs, norādot tā aprēķinu vai sniedzot skaidrojumu par pieņēmumu šāda finansējuma apmēra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sniegta papildus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Nepieciešamā finansējuma apmērs noteikts ņemot vērā līgumā paredzēto eksperta konsultāciju likmi, kā arī ņemot vērā veicamo konsultāciju tvērumu, ko sabiedrība ar ierobežotu atbildību Elektroniskie sakari” ir konstatējuši sadarbībā ar Ukrainas puses pārstāvjiem, atbilstoši tā kapacitātei.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Izsekojamības nolūkā aicinām papildināt sadaļu ar informāciju tabulas veidā par Ukrainas atbalstam no 18. programmas piešķirto un izlietoto (pārdalīto) finansējumu sadalījumā par ministrijām un pasākumiem (sākot ar piešķīrumu likuma "Par valsts budžetu 2023. gadam un budžeta ietvaru 2023., 2024. un 2025. gadam"), t.sk. ierosinātās pārdales attiecīgi skaidrojot apgalvojumu apakšsadaļā "Risinājuma apraksts" Latvijas turpmākā iesaiste Ukrainas rekonstrukcijā plānota atbilstoši likumā "Par valsts budžetu 2025. gadam un budžeta ietvaru 2025., 2026. un 2027. gadam" budžeta resora "74. Gadskārtējā valsts budžeta izpildes procesā pārdalāmais finansējums" programmā 18.00.00 ''Finansējums valsts drošības stiprināšanas pasākumiem'' prioritāram pasākumam "Pasākumi Ukrainas atbalstam un globālās drošības veicināšanai (atbalsts Ukrainas rekonstrukcijai un iemaksas Ukrainas atbalstam)" rezervētā finansējuma ietvaros 5 700 000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Anotācijai pievienots pielikums Nr. 1 par piešķirto un izlietoto (pārdalīto) finansējumu pasākumiem Ukrainas atbalstam un rekonstrukcijai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anotācijā pie skaidrojuma par rīkojuma projekta 1.1.2.apakšpunktu cita starpā ir norādīts: "Lai paplašinātu potenciāli ieinteresētu Latvijas uzņēmēju un nevalstiskā sektora pārstāvju iesaistes iespējas, tiek rosināts par atsevišķu objektu rekonstrukciju rīkot granta konkursu, ko organizētu CFLA. Konkursi tiks izsludināti attiecībā uz objektu rekonstrukciju 1 400 000 euro vērtībā, iekļaujot vismaz vienu mazāka izmēra un vienu vidēja izmēra rekonstrukcijas objektu, lai nodrošinātu iespējas iepirkumu konkursā iesaistīties iespējami plašam interesentu lokam."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konkrēto apakšpunktu paredzēts rīkot granta konkursu, tomēr minētajā anotācijas tekstā vienlaikus arī norādīts uz iepirkuma konkursu. Lūdzam minēto pārskatīt un precizēt, lai ir skaidrs, vai konkrētajā gadījumā tiek rīkots granta konkurss vai veikts iepirkums.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precizēts konkursa veids uz granta projektu konkursu.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projekta anotāciju, papildinot ar skaidrām norādēm, kāda veida (juridiski) līgumi tiks slēgti: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projekta 1.1.1.apakšpunkta ietvaros ar minēto nodibinājumu un 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projekta 1.1.3.apakšpunkta ietvaros būvdarbu izpildes organizēšanai un to novērtējumam rekonstrukcijas objektos,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projekta 1.1.4.apakšpunkta ietvaros ar minēto 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projekta 1.1.5.apakšpunkta ietvaros ar sabiedrību ar ierobežotu atbildību "Tilde".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arī norādīt, vai konkrēto līgumu noslēgšanai ir vai nav attiecināms publisko iepirkumu regulējums analoģiski, kā tas ir norādīts Ministru kabineta 2024.gada 2.aprīļa rīkojuma Nr.258 “Par apropriācijas pārdali no budžeta resora "74. Gadskārtējā valsts budžeta izpildes procesā pārdalāmais finansējums" programmas 18.00.00 "Finansējums valsts drošības stiprināšanas pasākumiem" uz Ārlietu ministrijas, Finanšu ministrijas un Satiksmes ministrijas budžetu” anotācijā (pieejama: https://tapportals.mk.gov.lv/annotation/9e28488d-c7cc-4c44-ab4e-8e38b3eb4958).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 katra apakšpunkta norādīta papildus informācija par līgumu veidiem, kā arī 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rīkojuma projekta 1.1.1., 1.1.2. un 1.1.3.apakšpunktā minēto līdzekļu piešķiršanu būvniecības un ar to saistīto būvniecības darbību (būvdarbu izpildes organizēšana un to novērtējums rekonstrukcijas objektos) veikšanu, lūdzam MK noteikumu projekta anotāciju papildināt ar informāciju, ka attiecīgie būvniecības pakalpojumu sniedzēji tiks izvēlēti atklātā, pārredzamā, nediskriminējošā, beznosacījumu konkursa procedūrā, lai nodrošinātu, ka pakalpojumu sniedzēju līmenī netiek piešķirts komercdarbības atbalsts un maksa par pakalpojumu tādējādi nepārsniedz tirgus cenu (skat. arī Ārlietu ministrijas veikto secinājumu </w:t>
            </w:r>
            <w:r w:rsidR="00000000" w:rsidRPr="00000000" w:rsidDel="00000000">
              <w:rPr>
                <w:i w:val="1"/>
                <w:rtl w:val="0"/>
              </w:rPr>
              <w:t xml:space="preserve">Ministru kabineta 2024.gada 2.aprīļa rīkojuma Nr.258 “Par apropriācijas pārdali no budžeta resora "74. Gadskārtējā valsts budžeta izpildes procesā pārdalāmais finansējums" programmas 18.00.00 "Finansējums valsts drošības stiprināšanas pasākumiem" uz Ārlietu ministrijas, Finanšu ministrijas un Satiksmes ministrijas budžetu” </w:t>
            </w:r>
            <w:r w:rsidR="00000000" w:rsidRPr="00000000" w:rsidDel="00000000">
              <w:rPr>
                <w:rtl w:val="0"/>
              </w:rPr>
              <w:t xml:space="preserve">anotācijā (pieejama: https://tapportals.mk.gov.lv/annotation/9e28488d-c7cc-4c44-ab4e-8e38b3eb4958)).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norādīta papildus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būvniecības pakalpojumu sniedzēji tiks izvēlēti atklātā, pārredzamā, nediskriminējošā, beznosacījumu konkursa procedūrā, lai nodrošinātu, ka pakalpojumu sniedzēju līmenī netiek piešķirts komercdarbības atbalsts un maksa par pakalpojumu tādējādi nepārsniedz tirgus cenu (attiecināms uz projekta 1.1.2 un 1.1.3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rīkojuma projekta 1.1.apakšpunktā paredzēto publisko līdzekļu piešķiršanu, t.sk. Latvijas uzņēmēju nevalstiskajām organizācijām, biedrībai “Centrs MARTA” un SIA "Tilde" , lūdzam papildināt MK rīkojuma projekta anotāciju ar izvērtējumu atbilstoši Komercdarbības atbalsta kontroles likuma (turpmāk – KAKL) 5. panta pazīmēm un secinājumu, vai attiecīgā finansējuma piešķiršanā ir konstatējams komercdarbības atbalsts. Skaidrojam, ka gadījumā, ja atbalsts tiek piešķirts organizāciju nesaimnieciskai darbībai un ir iespējams nošķirt plānoto valsts budžeta finansējumu šai nesaimnieciskajai darbībai no to saimnieciskās darbības, tad attiecīgā finansējuma piešķiršanā nebūtu jāpiemēro komercdarbības atbalsta regulējums. Vēršam uzmanību, ka </w:t>
            </w:r>
            <w:r w:rsidR="00000000" w:rsidRPr="00000000" w:rsidDel="00000000">
              <w:rPr>
                <w:i w:val="1"/>
                <w:rtl w:val="0"/>
              </w:rPr>
              <w:t xml:space="preserve">Ministru kabineta 2024.gada 2.aprīļa rīkojuma Nr.258 “Par apropriācijas pārdali no budžeta resora "74. Gadskārtējā valsts budžeta izpildes procesā pārdalāmais finansējums" programmas 18.00.00 "Finansējums valsts drošības stiprināšanas pasākumiem" uz Ārlietu ministrijas, Finanšu ministrijas un Satiksmes ministrijas budžetu” </w:t>
            </w:r>
            <w:r w:rsidR="00000000" w:rsidRPr="00000000" w:rsidDel="00000000">
              <w:rPr>
                <w:rtl w:val="0"/>
              </w:rPr>
              <w:t xml:space="preserve">anotācijā (pieejama: https://tapportals.mk.gov.lv/annotation/9e28488d-c7cc-4c44-ab4e-8e38b3eb4958) Ārlietu ministrija secināja, ka “</w:t>
            </w:r>
            <w:r w:rsidR="00000000" w:rsidRPr="00000000" w:rsidDel="00000000">
              <w:rPr>
                <w:i w:val="1"/>
                <w:rtl w:val="0"/>
              </w:rPr>
              <w:t xml:space="preserve">Projekta ietvaros finanšu līdzekļi tiks piešķirti nevalstiskajām organizācijām – nodibinājumam “Enterpreneurs for Peace”, biedrībai “Centrs MARTA”, Latvijas darba devēju konfederācijai un biedrībai “Tavi Draugi” – nesaimnieciskās darbības veikšanai, tādēļ šajā rīkojumā paredzētā publiskā finansējuma piešķiršana nekvalificējas kā komercdarbības atbalsts un publisko līdzekļu piešķiršanā nav jāpiemēro komercdarbības atbalsta regulējuma prasības.</w:t>
            </w:r>
            <w:r w:rsidR="00000000" w:rsidRPr="00000000" w:rsidDel="00000000">
              <w:rPr>
                <w:rtl w:val="0"/>
              </w:rPr>
              <w:t xml:space="preserve">” Savukārt valsts budžeta līdzekļu piešķiršana SIA “Tilde” potenciāli ir kvalificējama kā komercdarbības atbalsts atbilstoši KAKL 5.pantā noteiktajām kumulatīvām komercdarbības atbalsta pazīmēm, kam būtu jāpiemēro atbilstīgu komercdarbības atbalsta regulējumu, piemēram, </w:t>
            </w:r>
            <w:r w:rsidR="00000000" w:rsidRPr="00000000" w:rsidDel="00000000">
              <w:rPr>
                <w:i w:val="1"/>
                <w:rtl w:val="0"/>
              </w:rPr>
              <w:t xml:space="preserve">de minimis</w:t>
            </w:r>
            <w:r w:rsidR="00000000" w:rsidRPr="00000000" w:rsidDel="00000000">
              <w:rPr>
                <w:rtl w:val="0"/>
              </w:rPr>
              <w:t xml:space="preserve"> atbalsta regulējumu. Līdz ar to attiecībā uz publisko līdzekļu piešķiršanu SIA “Tilde” aicinām MK rīkojuma projekta anotāciju papildināt ar informāciju par to, ka valsts budžeta līdzekļi minētajam subjektam tiks piešķirti, ievērojot </w:t>
            </w:r>
            <w:r w:rsidR="00000000" w:rsidRPr="00000000" w:rsidDel="00000000">
              <w:rPr>
                <w:i w:val="1"/>
                <w:rtl w:val="0"/>
              </w:rPr>
              <w:t xml:space="preserve">de minimis </w:t>
            </w:r>
            <w:r w:rsidR="00000000" w:rsidRPr="00000000" w:rsidDel="00000000">
              <w:rPr>
                <w:rtl w:val="0"/>
              </w:rPr>
              <w:t xml:space="preserve">atbalsta regulējumu (piemēram, </w:t>
            </w:r>
            <w:r w:rsidR="00000000" w:rsidRPr="00000000" w:rsidDel="00000000">
              <w:rPr>
                <w:i w:val="1"/>
                <w:rtl w:val="0"/>
              </w:rPr>
              <w:t xml:space="preserve">Komisijas 2023.gada 13.decembra Regulu (ES) 2023/2831 par Līguma par Eiropas Savienības darbību 107. un 108. panta piemērošanu de minimis atbalstam</w:t>
            </w:r>
            <w:r w:rsidR="00000000" w:rsidRPr="00000000" w:rsidDel="00000000">
              <w:rPr>
                <w:rtl w:val="0"/>
              </w:rPr>
              <w:t xml:space="preserve">) kā </w:t>
            </w:r>
            <w:r w:rsidR="00000000" w:rsidRPr="00000000" w:rsidDel="00000000">
              <w:rPr>
                <w:i w:val="1"/>
                <w:rtl w:val="0"/>
              </w:rPr>
              <w:t xml:space="preserve">ad-hoc</w:t>
            </w:r>
            <w:r w:rsidR="00000000" w:rsidRPr="00000000" w:rsidDel="00000000">
              <w:rPr>
                <w:rtl w:val="0"/>
              </w:rPr>
              <w:t xml:space="preserve"> atbalsts atbilstoši KAKL 1.panta otrās daļas pirmajam punktam un ievērojot KAKL 10.panta trešajā daļā noteikto, papildus nosakot institūciju, kas būs attiecīgā atbalsta sniedzējs.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norādīta papildus informācija ar izvērtējumu atbilstoši Komercdarbības atbalsta kontroles likuma normām. Anotācijā un rīkojuma projektā precizēts līdzekļu apmērs, kas tiek piešķirts sabiedrībai ar ierobežotu atbildību "Tilde", lai ievērotu </w:t>
            </w:r>
            <w:r w:rsidR="00000000" w:rsidRPr="00000000" w:rsidDel="00000000">
              <w:rPr>
                <w:i w:val="1"/>
                <w:rtl w:val="0"/>
              </w:rPr>
              <w:t xml:space="preserve">de minimis</w:t>
            </w:r>
            <w:r w:rsidR="00000000" w:rsidRPr="00000000" w:rsidDel="00000000">
              <w:rPr>
                <w:rtl w:val="0"/>
              </w:rPr>
              <w:t xml:space="preserve"> atbalsta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24-TA-3288</w:t>
    </w:r>
    <w:r>
      <w:br/>
    </w:r>
    <w:r w:rsidR="00000000" w:rsidRPr="00000000" w:rsidDel="00000000">
      <w:rPr>
        <w:rtl w:val="0"/>
      </w:rPr>
      <w:t xml:space="preserve">29.01.2025. 10.54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24-TA-3288</w:t>
    </w:r>
    <w:r>
      <w:br/>
    </w:r>
    <w:r w:rsidR="00000000" w:rsidRPr="00000000" w:rsidDel="00000000">
      <w:rPr>
        <w:rtl w:val="0"/>
      </w:rPr>
      <w:t xml:space="preserve">29.01.2025. 10.54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Izziņa_24-TA-3288.docx</dc:title>
</cp:coreProperties>
</file>

<file path=docProps/custom.xml><?xml version="1.0" encoding="utf-8"?>
<Properties xmlns="http://schemas.openxmlformats.org/officeDocument/2006/custom-properties" xmlns:vt="http://schemas.openxmlformats.org/officeDocument/2006/docPropsVTypes"/>
</file>