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501" w:rsidRDefault="00B92501" w:rsidP="00B92501">
      <w:pPr>
        <w:rPr>
          <w:rFonts w:eastAsia="Times New Roman"/>
          <w:lang w:val="en-US" w:eastAsia="lv-LV"/>
        </w:rPr>
      </w:pPr>
      <w:r>
        <w:rPr>
          <w:rFonts w:eastAsia="Times New Roman"/>
          <w:b/>
          <w:bCs/>
          <w:lang w:val="en-US" w:eastAsia="lv-LV"/>
        </w:rPr>
        <w:t>From:</w:t>
      </w:r>
      <w:r>
        <w:rPr>
          <w:rFonts w:eastAsia="Times New Roman"/>
          <w:lang w:val="en-US" w:eastAsia="lv-LV"/>
        </w:rPr>
        <w:t xml:space="preserve"> </w:t>
      </w:r>
      <w:proofErr w:type="spellStart"/>
      <w:r>
        <w:rPr>
          <w:rFonts w:eastAsia="Times New Roman"/>
          <w:lang w:val="en-US" w:eastAsia="lv-LV"/>
        </w:rPr>
        <w:t>Natālija</w:t>
      </w:r>
      <w:proofErr w:type="spellEnd"/>
      <w:r>
        <w:rPr>
          <w:rFonts w:eastAsia="Times New Roman"/>
          <w:lang w:val="en-US" w:eastAsia="lv-LV"/>
        </w:rPr>
        <w:t xml:space="preserve"> </w:t>
      </w:r>
      <w:proofErr w:type="spellStart"/>
      <w:r>
        <w:rPr>
          <w:rFonts w:eastAsia="Times New Roman"/>
          <w:lang w:val="en-US" w:eastAsia="lv-LV"/>
        </w:rPr>
        <w:t>Pīlipa</w:t>
      </w:r>
      <w:proofErr w:type="spellEnd"/>
      <w:r>
        <w:rPr>
          <w:rFonts w:eastAsia="Times New Roman"/>
          <w:lang w:val="en-US" w:eastAsia="lv-LV"/>
        </w:rPr>
        <w:t xml:space="preserve"> &lt;Natalija.Pilipa@tm.gov.lv&gt;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w:t>
      </w:r>
      <w:proofErr w:type="spellStart"/>
      <w:r>
        <w:rPr>
          <w:rFonts w:eastAsia="Times New Roman"/>
          <w:lang w:val="en-US" w:eastAsia="lv-LV"/>
        </w:rPr>
        <w:t>trešdiena</w:t>
      </w:r>
      <w:proofErr w:type="spellEnd"/>
      <w:r>
        <w:rPr>
          <w:rFonts w:eastAsia="Times New Roman"/>
          <w:lang w:val="en-US" w:eastAsia="lv-LV"/>
        </w:rPr>
        <w:t xml:space="preserve">, 2021. </w:t>
      </w:r>
      <w:proofErr w:type="spellStart"/>
      <w:r>
        <w:rPr>
          <w:rFonts w:eastAsia="Times New Roman"/>
          <w:lang w:val="en-US" w:eastAsia="lv-LV"/>
        </w:rPr>
        <w:t>gada</w:t>
      </w:r>
      <w:proofErr w:type="spellEnd"/>
      <w:r>
        <w:rPr>
          <w:rFonts w:eastAsia="Times New Roman"/>
          <w:lang w:val="en-US" w:eastAsia="lv-LV"/>
        </w:rPr>
        <w:t xml:space="preserve"> 27. </w:t>
      </w:r>
      <w:proofErr w:type="spellStart"/>
      <w:r>
        <w:rPr>
          <w:rFonts w:eastAsia="Times New Roman"/>
          <w:lang w:val="en-US" w:eastAsia="lv-LV"/>
        </w:rPr>
        <w:t>oktobris</w:t>
      </w:r>
      <w:proofErr w:type="spellEnd"/>
      <w:r>
        <w:rPr>
          <w:rFonts w:eastAsia="Times New Roman"/>
          <w:lang w:val="en-US" w:eastAsia="lv-LV"/>
        </w:rPr>
        <w:t xml:space="preserve"> 16:18</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&lt;Pasts@fm.gov.lv&gt;; Arta Priede &lt;arta.priede@fm.gov.lv&gt;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TM KANCELEJA &lt;pasts@tm.gov.lv&gt;; </w:t>
      </w:r>
      <w:proofErr w:type="spellStart"/>
      <w:r>
        <w:rPr>
          <w:rFonts w:eastAsia="Times New Roman"/>
          <w:lang w:val="en-US" w:eastAsia="lv-LV"/>
        </w:rPr>
        <w:t>Ērika</w:t>
      </w:r>
      <w:proofErr w:type="spellEnd"/>
      <w:r>
        <w:rPr>
          <w:rFonts w:eastAsia="Times New Roman"/>
          <w:lang w:val="en-US" w:eastAsia="lv-LV"/>
        </w:rPr>
        <w:t xml:space="preserve"> </w:t>
      </w:r>
      <w:proofErr w:type="spellStart"/>
      <w:r>
        <w:rPr>
          <w:rFonts w:eastAsia="Times New Roman"/>
          <w:lang w:val="en-US" w:eastAsia="lv-LV"/>
        </w:rPr>
        <w:t>Inkina</w:t>
      </w:r>
      <w:proofErr w:type="spellEnd"/>
      <w:r>
        <w:rPr>
          <w:rFonts w:eastAsia="Times New Roman"/>
          <w:lang w:val="en-US" w:eastAsia="lv-LV"/>
        </w:rPr>
        <w:t xml:space="preserve"> &lt;Erika.Inkina@TM.GOV.LV&gt;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Par </w:t>
      </w:r>
      <w:proofErr w:type="spellStart"/>
      <w:r>
        <w:rPr>
          <w:rFonts w:eastAsia="Times New Roman"/>
          <w:lang w:val="en-US" w:eastAsia="lv-LV"/>
        </w:rPr>
        <w:t>precizēto</w:t>
      </w:r>
      <w:proofErr w:type="spellEnd"/>
      <w:r>
        <w:rPr>
          <w:rFonts w:eastAsia="Times New Roman"/>
          <w:lang w:val="en-US" w:eastAsia="lv-LV"/>
        </w:rPr>
        <w:t xml:space="preserve"> </w:t>
      </w:r>
      <w:proofErr w:type="spellStart"/>
      <w:r>
        <w:rPr>
          <w:rFonts w:eastAsia="Times New Roman"/>
          <w:lang w:val="en-US" w:eastAsia="lv-LV"/>
        </w:rPr>
        <w:t>Ministru</w:t>
      </w:r>
      <w:proofErr w:type="spellEnd"/>
      <w:r>
        <w:rPr>
          <w:rFonts w:eastAsia="Times New Roman"/>
          <w:lang w:val="en-US" w:eastAsia="lv-LV"/>
        </w:rPr>
        <w:t xml:space="preserve"> </w:t>
      </w:r>
      <w:proofErr w:type="spellStart"/>
      <w:r>
        <w:rPr>
          <w:rFonts w:eastAsia="Times New Roman"/>
          <w:lang w:val="en-US" w:eastAsia="lv-LV"/>
        </w:rPr>
        <w:t>kabineta</w:t>
      </w:r>
      <w:proofErr w:type="spellEnd"/>
      <w:r>
        <w:rPr>
          <w:rFonts w:eastAsia="Times New Roman"/>
          <w:lang w:val="en-US" w:eastAsia="lv-LV"/>
        </w:rPr>
        <w:t xml:space="preserve"> </w:t>
      </w:r>
      <w:proofErr w:type="spellStart"/>
      <w:r>
        <w:rPr>
          <w:rFonts w:eastAsia="Times New Roman"/>
          <w:lang w:val="en-US" w:eastAsia="lv-LV"/>
        </w:rPr>
        <w:t>noteikumu</w:t>
      </w:r>
      <w:proofErr w:type="spellEnd"/>
      <w:r>
        <w:rPr>
          <w:rFonts w:eastAsia="Times New Roman"/>
          <w:lang w:val="en-US" w:eastAsia="lv-LV"/>
        </w:rPr>
        <w:t xml:space="preserve"> </w:t>
      </w:r>
      <w:proofErr w:type="spellStart"/>
      <w:r>
        <w:rPr>
          <w:rFonts w:eastAsia="Times New Roman"/>
          <w:lang w:val="en-US" w:eastAsia="lv-LV"/>
        </w:rPr>
        <w:t>projektu</w:t>
      </w:r>
      <w:proofErr w:type="spellEnd"/>
      <w:r>
        <w:rPr>
          <w:rFonts w:eastAsia="Times New Roman"/>
          <w:lang w:val="en-US" w:eastAsia="lv-LV"/>
        </w:rPr>
        <w:t xml:space="preserve"> “</w:t>
      </w:r>
      <w:proofErr w:type="spellStart"/>
      <w:r>
        <w:rPr>
          <w:rFonts w:eastAsia="Times New Roman"/>
          <w:lang w:val="en-US" w:eastAsia="lv-LV"/>
        </w:rPr>
        <w:t>Grāmatvedības</w:t>
      </w:r>
      <w:proofErr w:type="spellEnd"/>
      <w:r>
        <w:rPr>
          <w:rFonts w:eastAsia="Times New Roman"/>
          <w:lang w:val="en-US" w:eastAsia="lv-LV"/>
        </w:rPr>
        <w:t xml:space="preserve"> </w:t>
      </w:r>
      <w:proofErr w:type="spellStart"/>
      <w:r>
        <w:rPr>
          <w:rFonts w:eastAsia="Times New Roman"/>
          <w:lang w:val="en-US" w:eastAsia="lv-LV"/>
        </w:rPr>
        <w:t>kārtošanas</w:t>
      </w:r>
      <w:proofErr w:type="spellEnd"/>
      <w:r>
        <w:rPr>
          <w:rFonts w:eastAsia="Times New Roman"/>
          <w:lang w:val="en-US" w:eastAsia="lv-LV"/>
        </w:rPr>
        <w:t xml:space="preserve"> </w:t>
      </w:r>
      <w:proofErr w:type="spellStart"/>
      <w:r>
        <w:rPr>
          <w:rFonts w:eastAsia="Times New Roman"/>
          <w:lang w:val="en-US" w:eastAsia="lv-LV"/>
        </w:rPr>
        <w:t>noteikumi</w:t>
      </w:r>
      <w:proofErr w:type="spellEnd"/>
      <w:r>
        <w:rPr>
          <w:rFonts w:eastAsia="Times New Roman"/>
          <w:lang w:val="en-US" w:eastAsia="lv-LV"/>
        </w:rPr>
        <w:t>” (VSS-755)</w:t>
      </w:r>
    </w:p>
    <w:p w:rsidR="00B92501" w:rsidRDefault="00B92501" w:rsidP="00B92501"/>
    <w:p w:rsidR="00B92501" w:rsidRDefault="00B92501" w:rsidP="00B92501">
      <w:pPr>
        <w:jc w:val="both"/>
      </w:pPr>
      <w:r>
        <w:t>Tieslietu ministrija saskaņā ar Finanšu ministrijas 2021. gada 22. oktobra vēstuli Nr. 4.1-27/20/109 ir izskatījusi precizēto Ministru kabineta noteikumu projektu “Grāmatvedības kārtošanas noteikumi” (VSS-755) un atbalsta tā tālāku virzību, izsakot šādus iebildumus.</w:t>
      </w:r>
    </w:p>
    <w:p w:rsidR="00B92501" w:rsidRDefault="00B92501" w:rsidP="00B92501"/>
    <w:p w:rsidR="00B92501" w:rsidRDefault="00B92501" w:rsidP="00B92501">
      <w:pPr>
        <w:jc w:val="both"/>
      </w:pPr>
      <w:r>
        <w:t xml:space="preserve">1. Projekta 62. punkts noteic, ka projekta 59., 60. un 61. punktā minētās prasības nepiemēro, ja uzņēmums grāmatvedību kārto vienkāršā ieraksta sistēmā, izmantojot datorprogrammu, ar kuru nodrošina grāmatvedības reģistru sagatavošanu </w:t>
      </w:r>
      <w:r>
        <w:rPr>
          <w:i/>
          <w:iCs/>
        </w:rPr>
        <w:t>Excel</w:t>
      </w:r>
      <w:r>
        <w:t xml:space="preserve"> vai </w:t>
      </w:r>
      <w:r>
        <w:rPr>
          <w:i/>
          <w:iCs/>
        </w:rPr>
        <w:t>Word</w:t>
      </w:r>
      <w:r>
        <w:t xml:space="preserve"> formātā. Atkārtoti norādām, ka normatīvā akta projektā teksts formulējams tā, lai tas pēc iespējas precīzāk un pilnīgāk atbilstu attiecīgai iecerētai tiesību normai un tās idejai, </w:t>
      </w:r>
      <w:r>
        <w:rPr>
          <w:u w:val="single"/>
        </w:rPr>
        <w:t>izvairoties no pārlieku kazuistiska regulējuma</w:t>
      </w:r>
      <w:r>
        <w:t xml:space="preserve">. Attiecīgi </w:t>
      </w:r>
      <w:r>
        <w:rPr>
          <w:u w:val="single"/>
        </w:rPr>
        <w:t>normatīvā akta projekta tekstam jāātspoguļo tiesību normas jēga</w:t>
      </w:r>
      <w:r>
        <w:t>, lai tiesību piemērotājam vēlāk, iepazīstoties ar tiesību normas tekstu, nerastos aplams priekšstats par normas patieso jēgu (</w:t>
      </w:r>
      <w:r>
        <w:rPr>
          <w:i/>
          <w:iCs/>
        </w:rPr>
        <w:t>sk. Valsts kanceleja. Normatīvo aktu projektu sagatavošanas rokasgrāmata, 2016. 17. lpp.</w:t>
      </w:r>
      <w:r>
        <w:t xml:space="preserve">). </w:t>
      </w:r>
    </w:p>
    <w:p w:rsidR="00B92501" w:rsidRDefault="00B92501" w:rsidP="00B92501">
      <w:pPr>
        <w:jc w:val="both"/>
      </w:pPr>
      <w:r>
        <w:t xml:space="preserve">Tādējādi atkārtoti norādām, ka mūsdienās pieejams plašs teksta un izklājlapu lietojumprogrammatūru klāsts, tamdēļ konkrētu lietojumprogrammatūru noteikšana normatīvā akta projektā ir pretrunā ar tiesiskās vienlīdzības principu, ja vien tam nav atbilstošs pamatojums. Tieslietu ministrijas ieskatā projekta anotācijas I sadaļas 2. punkta 9.apakšpunktā ietvertais skaidrojums nesniedz pamatojumu noteikt atvieglotus noteikumus uzņēmumiem, kuri izmanto konkrētas lietojumprogrammatūras, bet gan vienīgi norāda, ka attiecīgās lietojumprogrammatūras - </w:t>
      </w:r>
      <w:r>
        <w:rPr>
          <w:i/>
          <w:iCs/>
        </w:rPr>
        <w:t xml:space="preserve">Microsoft Word </w:t>
      </w:r>
      <w:r>
        <w:t xml:space="preserve">un </w:t>
      </w:r>
      <w:r>
        <w:rPr>
          <w:i/>
          <w:iCs/>
        </w:rPr>
        <w:t>Microsoft Excel</w:t>
      </w:r>
      <w:r>
        <w:t xml:space="preserve"> - grāmatvedībā tiek izmantotas. </w:t>
      </w:r>
    </w:p>
    <w:p w:rsidR="00B92501" w:rsidRDefault="00B92501" w:rsidP="00B92501">
      <w:pPr>
        <w:jc w:val="both"/>
      </w:pPr>
      <w:r>
        <w:t xml:space="preserve">Ievērojot minēto, atkārtoti lūdzam precizēt projekta 62. punktu vai papildināt anotāciju ar  </w:t>
      </w:r>
      <w:r>
        <w:rPr>
          <w:u w:val="single"/>
        </w:rPr>
        <w:t>nepārprotamu pamatojumu</w:t>
      </w:r>
      <w:r>
        <w:t xml:space="preserve"> konkrētu lietojumprogrammu noteikšanai projektā.</w:t>
      </w:r>
    </w:p>
    <w:p w:rsidR="00B92501" w:rsidRDefault="00B92501" w:rsidP="00B92501">
      <w:pPr>
        <w:jc w:val="both"/>
      </w:pPr>
    </w:p>
    <w:p w:rsidR="00B92501" w:rsidRDefault="00B92501" w:rsidP="00B92501">
      <w:pPr>
        <w:jc w:val="both"/>
      </w:pPr>
      <w:r>
        <w:t xml:space="preserve">2. Dokumentu juridiskā spēka likuma 4. panta pirmās daļas 3. punkts noteic, ka lai dokumentam būtu juridisks spēks, tajā iekļauj dokumenta autoru nosaukumu, dokumenta datumu un parakstu (izņemot likumā paredzētus gadījumus). Atbilstoši Elektronisko dokumentu likuma 3. panta pirmajai daļai dokumentu var parakstīt arī ar elektronisko parakstu. Šā panta otrā daļa noteic, ka elektroniskais dokuments uzskatāms par pašrocīgi parakstītu, ja tam ir drošs elektroniskais paraksts. Elektronisko dokumentu uzskata par pašrocīgi parakstītu arī tajos gadījumos, kad tam ir elektroniskais paraksts un puses par elektroniskā dokumenta parakstīšanu ar elektronisko parakstu ir vienojušās </w:t>
      </w:r>
      <w:proofErr w:type="spellStart"/>
      <w:r>
        <w:t>rakstveidā</w:t>
      </w:r>
      <w:proofErr w:type="spellEnd"/>
      <w:r>
        <w:t xml:space="preserve">. Šādā gadījumā rakstveida vienošanās noformējama un parakstāma uz papīra vai elektroniski ar drošu elektronisko parakstu. </w:t>
      </w:r>
    </w:p>
    <w:p w:rsidR="00B92501" w:rsidRDefault="00B92501" w:rsidP="00B92501">
      <w:pPr>
        <w:jc w:val="both"/>
      </w:pPr>
      <w:r>
        <w:t>Norādām, ka ar vārdiem "pašrocīgi parakstīts dokuments" Dokumentu juridiskā spēka likumā un Elektronisko dokumentu likumā saprot dokumentu, ko persona parakstījusi pati. Vēršam uzmanību, ka atbilstoši Ministru kabineta 2009. gada 3. februāra noteikumu Nr. 108 "Normatīvo aktu projektu sagatavošanas noteikumi" 2.3. apakšpunktam, sagatavojot normatīvā akta projektu, ievēro ne vien valsts valodas literārās un gramatiskās normas un pareizrakstības prasības, bet arī juridisko terminoloģiju. Ievērojot minēto, lūdzam svītrot projekta 74. punktā vārdu "pašrocīgu". Papildus norādām, ka, ievērojot Dokumentu juridiskā spēka likumā un Elektronisko dokumentu likumā noteikto, nav nepieciešamības konkretizēt izmantotā paraksta veidu.</w:t>
      </w:r>
    </w:p>
    <w:p w:rsidR="00B92501" w:rsidRDefault="00B92501" w:rsidP="00B92501">
      <w:bookmarkStart w:id="0" w:name="_GoBack"/>
      <w:bookmarkEnd w:id="0"/>
      <w:r>
        <w:rPr>
          <w:noProof/>
          <w:lang w:eastAsia="lv-LV"/>
        </w:rPr>
        <w:lastRenderedPageBreak/>
        <w:drawing>
          <wp:inline distT="0" distB="0" distL="0" distR="0">
            <wp:extent cx="3705225" cy="1510665"/>
            <wp:effectExtent l="0" t="0" r="9525"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10;&#10;Description automatically generated"/>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3705225" cy="1510665"/>
                    </a:xfrm>
                    <a:prstGeom prst="rect">
                      <a:avLst/>
                    </a:prstGeom>
                    <a:noFill/>
                    <a:ln>
                      <a:noFill/>
                    </a:ln>
                  </pic:spPr>
                </pic:pic>
              </a:graphicData>
            </a:graphic>
          </wp:inline>
        </w:drawing>
      </w:r>
    </w:p>
    <w:p w:rsidR="00153CF5" w:rsidRDefault="00153CF5"/>
    <w:sectPr w:rsidR="00153CF5" w:rsidSect="00B92501">
      <w:headerReference w:type="default" r:id="rId8"/>
      <w:footerReference w:type="default" r:id="rId9"/>
      <w:footerReference w:type="firs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2501" w:rsidRDefault="00B92501" w:rsidP="00B92501">
      <w:r>
        <w:separator/>
      </w:r>
    </w:p>
  </w:endnote>
  <w:endnote w:type="continuationSeparator" w:id="0">
    <w:p w:rsidR="00B92501" w:rsidRDefault="00B92501" w:rsidP="00B92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501" w:rsidRPr="00B92501" w:rsidRDefault="00B92501" w:rsidP="00B92501">
    <w:pPr>
      <w:pStyle w:val="Footer"/>
      <w:rPr>
        <w:rFonts w:ascii="Times New Roman" w:hAnsi="Times New Roman" w:cs="Times New Roman"/>
      </w:rPr>
    </w:pPr>
    <w:r w:rsidRPr="00B92501">
      <w:rPr>
        <w:rFonts w:ascii="Times New Roman" w:hAnsi="Times New Roman" w:cs="Times New Roman"/>
      </w:rPr>
      <w:t>TMatz_e-sask_271021_VSS-755</w:t>
    </w:r>
  </w:p>
  <w:p w:rsidR="00B92501" w:rsidRDefault="00B925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501" w:rsidRPr="00B92501" w:rsidRDefault="00B92501">
    <w:pPr>
      <w:pStyle w:val="Footer"/>
      <w:rPr>
        <w:rFonts w:ascii="Times New Roman" w:hAnsi="Times New Roman" w:cs="Times New Roman"/>
      </w:rPr>
    </w:pPr>
    <w:r w:rsidRPr="00B92501">
      <w:rPr>
        <w:rFonts w:ascii="Times New Roman" w:hAnsi="Times New Roman" w:cs="Times New Roman"/>
      </w:rPr>
      <w:t>TMatz_e-sask_271021_VSS-755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2501" w:rsidRDefault="00B92501" w:rsidP="00B92501">
      <w:r>
        <w:separator/>
      </w:r>
    </w:p>
  </w:footnote>
  <w:footnote w:type="continuationSeparator" w:id="0">
    <w:p w:rsidR="00B92501" w:rsidRDefault="00B92501" w:rsidP="00B925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2735648"/>
      <w:docPartObj>
        <w:docPartGallery w:val="Page Numbers (Top of Page)"/>
        <w:docPartUnique/>
      </w:docPartObj>
    </w:sdtPr>
    <w:sdtEndPr>
      <w:rPr>
        <w:noProof/>
      </w:rPr>
    </w:sdtEndPr>
    <w:sdtContent>
      <w:p w:rsidR="00B92501" w:rsidRDefault="00B92501">
        <w:pPr>
          <w:pStyle w:val="Header"/>
          <w:jc w:val="center"/>
        </w:pPr>
        <w:r>
          <w:fldChar w:fldCharType="begin"/>
        </w:r>
        <w:r>
          <w:instrText xml:space="preserve"> PAGE   \* MERGEFORMAT </w:instrText>
        </w:r>
        <w:r>
          <w:fldChar w:fldCharType="separate"/>
        </w:r>
        <w:r w:rsidR="0067588B">
          <w:rPr>
            <w:noProof/>
          </w:rPr>
          <w:t>2</w:t>
        </w:r>
        <w:r>
          <w:rPr>
            <w:noProof/>
          </w:rPr>
          <w:fldChar w:fldCharType="end"/>
        </w:r>
      </w:p>
    </w:sdtContent>
  </w:sdt>
  <w:p w:rsidR="00B92501" w:rsidRDefault="00B925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501"/>
    <w:rsid w:val="00153CF5"/>
    <w:rsid w:val="0067588B"/>
    <w:rsid w:val="00B925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59ED2F-238F-4666-9C04-2CFD5882A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250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2501"/>
    <w:pPr>
      <w:tabs>
        <w:tab w:val="center" w:pos="4153"/>
        <w:tab w:val="right" w:pos="8306"/>
      </w:tabs>
    </w:pPr>
  </w:style>
  <w:style w:type="character" w:customStyle="1" w:styleId="HeaderChar">
    <w:name w:val="Header Char"/>
    <w:basedOn w:val="DefaultParagraphFont"/>
    <w:link w:val="Header"/>
    <w:uiPriority w:val="99"/>
    <w:rsid w:val="00B92501"/>
    <w:rPr>
      <w:rFonts w:ascii="Calibri" w:hAnsi="Calibri" w:cs="Calibri"/>
    </w:rPr>
  </w:style>
  <w:style w:type="paragraph" w:styleId="Footer">
    <w:name w:val="footer"/>
    <w:basedOn w:val="Normal"/>
    <w:link w:val="FooterChar"/>
    <w:uiPriority w:val="99"/>
    <w:unhideWhenUsed/>
    <w:rsid w:val="00B92501"/>
    <w:pPr>
      <w:tabs>
        <w:tab w:val="center" w:pos="4153"/>
        <w:tab w:val="right" w:pos="8306"/>
      </w:tabs>
    </w:pPr>
  </w:style>
  <w:style w:type="character" w:customStyle="1" w:styleId="FooterChar">
    <w:name w:val="Footer Char"/>
    <w:basedOn w:val="DefaultParagraphFont"/>
    <w:link w:val="Footer"/>
    <w:uiPriority w:val="99"/>
    <w:rsid w:val="00B92501"/>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93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cid:image001.png@01D7CB4E.2BF568B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2359</Words>
  <Characters>1345</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Ministru kabineta noteikumu projekts "Grāmatvedības kārtošanas noteikumi"</vt:lpstr>
    </vt:vector>
  </TitlesOfParts>
  <Company>Tieslietu ministrija</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"Grāmatvedības kārtošanas noteikumi"</dc:title>
  <dc:subject>atzinums</dc:subject>
  <dc:creator>Natālija Pīlipa</dc:creator>
  <cp:keywords/>
  <dc:description>67036773_x000d_
Natalija.apilipa@tm.gov.lv</dc:description>
  <cp:lastModifiedBy>Gunta Majevska</cp:lastModifiedBy>
  <cp:revision>3</cp:revision>
  <dcterms:created xsi:type="dcterms:W3CDTF">2021-10-28T11:40:00Z</dcterms:created>
  <dcterms:modified xsi:type="dcterms:W3CDTF">2021-12-07T12:41:00Z</dcterms:modified>
</cp:coreProperties>
</file>