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24-TA-952: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noteikumu projekta pielikumā (vērtēšanas kritēriji) veiktajiem precizējumiem, īpaši skaidrojot, kāpēc 3.1.apakšpunktā ir svītrota prasība par rezultātu uzturēšanai nepieciešamiem cilvēkresursiem un finanšu kapacitātes 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1.3.sadaļā ietvert atsauces uz noteikumu projekta punktiem, kuros tiek veikti grozījumi, lai anotācijā sniegtie skaidrojumi būtu skaidri identificējami.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Projektu Noteikumos Nr. 113 tiek veikti precizējumi projektu iesniegumu vērtēšanas kritērijos, kas noteikti Noteikumu Nr. 113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Projekts paredz iespēju projekta iesniedzējam projekta īstenošanai piesaistīt sadarbības partneri, projektu iesniegumu vērtēšanas kritēriji papildināti ar sadarbības partnera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kritērijs Nr. 2.6. tehniski precizēts, dzēšot vārdus “ar izdevumus apliecinošiem dokumentiem”, ņemot vērā, ka projektu iesniegumu iesniegšanas brīdī vēl nebūs izdevumu pamatojošu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kritērijs Nr. 3.1. tehniski precizēts, dzēšot vārdus “un rezultātu uzturēšanai”, ņemot vērā, ka Noteikumi Nr.113 neparedz prasību par rezultātu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2.6. un 3.1. kritērija redakcija tehniski precizēta, atbilstoši Centrālās finanšu līgumu aģentūras precizētajam projektu iesniegumu atlases nolikumam, nemainot kritēriju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kā šis noteikumu projekts ietekmē 2024.gada 20.martā uzsākto projektu iesniegumu atlasi, īpaši lūdzam sniegt skaidrojumu par 1) vērtēšanā esošajiem projektu iesniegumiem (par iespēju tos precizēt) un 2) vēl neiesniegtajiem projektu iesniegumiem.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anotācijā ir jābūt ietvertai arī informācijai, ka ir plānota visu projektu iesniedzēju informēšana par grozījumiem pēc to apstiprināšanas Ministru kabinetā, un grozījumu ietekmi uz to plānotajiem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Kultūras ministrija ir aicinājusi Centrālo finanšu un līgumu aģentūru pagarināt projekta iesniegumu iesniegšanas termiņu līdz 2024. gada 18. jūlijam. Pēc Projekta spēkā stāšanās Centrālā finanšu un līgumu aģentūra veiks atbilstošus grozījumus atlases nolikumā un par tiem informēs potenciālos projekta iesniedzējus. Gadījumā, ja līdz Projekta spēkā stāšanās brīdim kāds projekta iesniegums jau būs iesniegts, tas tiks atgriezts projekta iesniedzējam sagatavošanā, nodrošinot iespēju veikt izmaiņas jau iesniegtajā projekta iesniegumā un iesniegt to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konsekventi sniegt skaidrojumu par visu projektā ietverto noteikumu grozījumu nepieciešamību un mērķi. Proti, lūdzam neaprobežoties ar vispārīgām norādēm (piemēram, "</w:t>
            </w:r>
            <w:r w:rsidR="00000000" w:rsidRPr="00000000" w:rsidDel="00000000">
              <w:rPr>
                <w:i w:val="1"/>
                <w:rtl w:val="0"/>
              </w:rPr>
              <w:t xml:space="preserve">nepieciešams precizēt atsevišķus Noteikumos Nr. 113 iekļautos nosacījumus, lai potenciālajiem projekta iesniedzējiem nodrošinātu saprotamāku 2.2.1.5.i. investīcijas pasākuma īstenošanu</w:t>
            </w:r>
            <w:r w:rsidR="00000000" w:rsidRPr="00000000" w:rsidDel="00000000">
              <w:rPr>
                <w:rtl w:val="0"/>
              </w:rPr>
              <w:t xml:space="preserve">"), bet skaidrot problemātiku, kas pamato nepieciešamību veikt konkrēto grozījumu, un ietvert pamatojumu, kādēļ izraudzītais risinājums problēmu atrisina. Vēršam uzmanību, ka anotācijā nav, piemēram, skaidrots, kādu problēmu atrisina grozījums noteikumu 43.4. apakšpunktā, bet gan tikai norādīts, ka precizējums veikts "pārskatāmības labad", kaut arī pēc būtības apakšpunktā, šķiet, ietverts jauns pienākums. Attiecīgi aicinām sniegt izvērstāku skaidrojumu par grozījuma nepieciešamību. Papildus vēršam uzmanību, ka anotācijā ir nepieciešams aprakstīt visus plānotos grozījumus (tostarp arī grozījumus noteikumu pielikumā). Lūdzam arī skaidrot, kāda ir grozījumu ietekme uz jau apstiprinātiem projekta iesniegumiem un finansējuma saņēmējiem (ja tādi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lai gan gala labuma guvēja izdevumi ir attiecināmi saskaņā ar gala labuma guvējam izstrādāto digitālās attīstības plānu, Noteikumos nav noteikts finansējuma saņēmēja pienākums izstrādāt gala labuma guvēja digitālās attīstības plānu, kā arī nav detalizēts, ka digitālās attīstības plāns ir attiecināmās izmaksas un atbalstāmā darbība. Precizējot Noteikumu projektu, finansējuma saņēmējam tiek skaidrāk uztverami investīcijas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aprakstīti veiktie grozījumi Noteikumu projekta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Skaidrota grozījumu ietekme uz jau izsludināto projektu iesniegumu atlasi.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Kultūras ministrija ir aicinājusi Centrālo finanšu un līgumu aģentūru pagarināt projekta iesniegumu iesniegšanas termiņu līdz 2024. gada 18. jūlijam. Pēc Projekta spēkā stāšanās Centrālā finanšu un līgumu aģentūra veiks atbilstošus grozījumus atlases nolikumā un par tiem informēs potenciālos projekta iesniedzējus. Gadījumā, ja līdz Projekta spēkā stāšanās brīdim kāds projekta iesniegums jau būs iesniegts, tas tiks atgriezts projekta iesniedzējam sagatavošanā, nodrošinot iespēju veikt izmaiņas jau iesniegtajā projekta iesniegumā un iesniegt to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Noteikumos Nr. 113 15.4. apakšpunkts nosaka, ka attiecināmas ir izmaksas gala labuma guvēju digitālajai attīstībai un projekta mērķu sasniegšanai saskaņā ar gala labuma guvēja digitālās attīstības plānu, kā arī 43.4. apakšpunkts paredz pienākumu uzraudzīt, lai gala labuma guvējs sasniedz digitālās attīstības plānā paredzētos rādītājus, nepieciešams noteikt, ka finansējuma saņēmēja pienākums ir izstrādāt gala labuma guvēju digitālās attīstības plānu, kā arī noteikt, ka digitālās attīstības plāna izstrāde ir atbalstāmā darbība un attiecināmās izmaksas. Attiecīgi ar Projektu precizēts 15.1. apakšpunkts un 43.4. apakšpunkts, nosakot, gala labuma guvēju darbības efektivizēšanai nepieciešamo digitālās attīstības plānu izstrāde ir atbalstāma darbība un attiecināmās izmaksas,  kā arī precizēti finansējuma saņēmēja pienākumi, nosakot pienākumus izstrādāt katram gala labuma guvējam digitālās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Projektu Noteikumos Nr. 113 tiek veikti precizējumi projektu iesniegumu vērtēšanas kritērijos, kas noteikti Noteikumu Nr. 113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Projekts paredz iespēju projekta iesniedzējam projekta īstenošanai piesaistīt sadarbības partneri, projektu iesniegumu vērtēšanas kritēriji papildināti ar sadarbības partnera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kritērijs Nr. 2.6. tehniski precizēts, dzēšot vārdus “ar izdevumus apliecinošiem dokumentiem”, ņemot vērā, ka projektu iesniegumu iesniegšanas brīdī vēl nebūs izdevumu pamatojošu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kritērijs Nr. 3.1. tehniski precizēts, dzēšot vārdus “un rezultātu uzturēšanai”, ņemot vērā, ka Noteikumi Nr. 113 neparedz prasību par rezultātu uzturēšanu.”.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iespēju projekta iesniedzējam piesaistīt sadarbības partneri, lūdzam papildināt anotācijā sniegto informāciju ar izvērtējumu - vai atbalsta sniegšana sadarbības partnerim nav kvalificējama kā komercdarbības atbalsts, proti, vai sadarbības partnera piesaiste neietekmē Eiropas Savienības iekšējo tirgu, tādējādi nodrošinot pasākuma ietvaros sniegtā atbalsta saderīgumu ar Līgumu par Eiropas Savienības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113 anotācijā skaidrots, ka konsultācijās ar Eiropas Komisijas pārstāvjiem konstatēts, ka Kultūras ministrijas plānotie atbalsta pasākumi reģionālajiem medijiem un ziņu medijiem (gan interneta platformās bāzētiem, gan drukātā veidā iznākošiem) nav uzskatāms par valsts atbalstu Līguma par Eiropas Savienības darbību 107.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Projektu paredzot, ka finansējuma saņēmējs projekta īstenošanai var piesaistīt sadarbības partneri, nemaina 2.2.1.5.i. investīcijas pasākuma mērķi un gala labuma guvējus, kas ir mediju uzņēmumi, attiecīgi plānotie atbalsta pasākumi reģionālajiem medijiem un ziņu medijiem (gan interneta platformās bāzētiem, gan drukātā veidā iznākošiem) nav uzskatāms par valsts atbalstu Līguma par Eiropas Savienības darbību 107.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gala labuma guvēju digitālajai attīstībai un projekta mērķu sasniegšanai (saskaņā ar gala labuma guvēja digitālās attīstības plānu) nepieciešamo finansējuma saņēmēja noteikto auditorijas pētījumu risinājumu, informācijas un komunikācijas tehnoloģiju (iekārtas, programmatūra, licence) izstrādes, iegādes, atjaunošanas un modernizēšanas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15.4.apakšpunktā paredzēts segt izmaksas par auditorijas pētījumu risinājumu, informācijas un komunikācijas tehnoloģiju (iekārtas, programmatūra, licence) izstrādi, iegādi, atjaunošanu un modernizēšanu, kas pirmsšķietami ietver arī, piemēram, programmēšanas pakalpojuma izmaksas, lūdzam precizēt noteikumu projektu, norādot, kurš būs plānotās darbības veicējs (pakalpojuma sniedzējs) un attiecīgi atbalsta saņēmējs. Vēršam uzmanību, ka gadījumā, ja atbalsts šo izmaksu segšanai būs finansējuma saņēmējam vai sadarbības partnerim, tad tās būtu attiecināmas kā de minimis atbalsts. Savukārt, ja atbalsts, piemēram, iegādātās iekārtas, programmatūra, licences tiks nodots gala labuma guvējam, tās nebūtu uzskatāmas par valsts atbalstu. Lūdzam papildināt anotāciju ar detalizētu izvērtējumu par 15.4. apakšpunktā plānoto darbību izmaksu segšanu, norādot atbalsta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izvērtēt nepieciešamību precizēt arī citus noteikumu projekta punktus, piemēram, noteikumu projekta 16.punktu un 45.punktu.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113 papildināti ar 46.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Atbalsts šo noteikumu 15.4 apakšpunktā minēto izmaksu segšanai nav uzskatāms par komercdarbības atbalstu finansējuma saņēmējam un sadarbības partnerim, ja finansējuma saņēmējs vai sadarbības partneris nodrošina finansējuma saņēmēja noteikto auditorijas pētījumu risinājumu, informācijas un komunikācijas tehnoloģiju (iekārtas, programmatūra, licence) izstrādi, iegādi, atjaunošanu un modernizēšanu, piemērojot šo noteikumu 43.10.apakšpunktā vai 43.</w:t>
            </w:r>
            <w:r w:rsidR="00000000" w:rsidRPr="00000000" w:rsidDel="00000000">
              <w:rPr>
                <w:vertAlign w:val="superscript"/>
                <w:rtl w:val="0"/>
              </w:rPr>
              <w:t xml:space="preserve">1</w:t>
            </w:r>
            <w:r w:rsidR="00000000" w:rsidRPr="00000000" w:rsidDel="00000000">
              <w:rPr>
                <w:rtl w:val="0"/>
              </w:rPr>
              <w:t xml:space="preserve">2. apakšpunktā minēto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Nr.113 15.4. apakšpunktā noteiktā auditorijas pētījumu risinājumu, informācijas un komunikācijas tehnoloģiju (iekārtas, programmatūra, licence) izstrāde, iegāde, atjaunošana un modernizēšana tiek veikta, pakalpojuma iegādi īstenojot atklātā, pārredzamā, nediskriminējošā un konkurenci neierobežojošā procedūrā, atbalsts finansējuma saņēmējam un sadarbības partnerim Noteikumu Nr.113 15.4 apakšpunktā minēto izmaksu segšanai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gala labuma guvēju digitālajai attīstībai un projekta mērķu sasniegšanai (saskaņā ar gala labuma guvēja digitālās attīstības plānu) nepieciešamo finansējuma saņēmēja noteikto auditorijas pētījumu risinājumu, informācijas un komunikācijas tehnoloģiju (iekārtas, programmatūra, licence) izstrādes, iegādes, atjaunošanas un modernizēšanas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projekta iesniedzējam un investīcijas pasākuma ieviešanas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ka var tikt piesaistīts arī sadarbības partneris, lūdzam papildināt Ministru kabineta 2024. gada 20. februāra noteikumus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 (turpmāk - noteikumi Nr. 113) ar finansējuma saņēmēja un sadarbības partnera pienākumu un izmaksu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22.4.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sadarbības līguma projektu ar sadarbības partneri (ja attiecināms), nosakot finansējuma saņēmēja un sadarbības partnera pienākumu un izmaksu sadalījumu.”.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projekta iesniedzējam un sadarbības partnerim un investīcijas pasākuma ieviešanas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Projekta iesniedzējs un sadarbības partneris ir juridiska persona vai juridisku personu apvienība, kas katra atsevišķi vismaz divus gadus pirms projekta iesniegšanas ir reģistrēta Latvijas Republikas Uzņēmumu reģistrā vai Izglītības iestāžu reģistrā. Projekta iesniedzējs vai projekta iesniedzējs kopā ar sadarbības partneri var apliecināt vismaz divu gadu pieredzi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konsultācijās ar Eiropas Komisijas pārstāvjiem konstatēts, ka Kultūras ministrijas plānotais atbalsts reģionālajiem medijiem un ziņu medijiem (gan interneta platformās bāzētiem, gan drukātā veidā iznākošiem) nav uzskatāms par valsts atbalstu Līguma par Eiropas Savienības darbību 107. panta pirmās daļas izpratnē. Vēršam Jūsu uzmanību, ka Eiropas Komisijas Konkurences ģenerāldirektorāta viedoklis, kurā norādīts, ka Eiropas Komisijas pārstāvji piekrīt Kultūras ministrijas secinājumam, ka plānotie atbalsta pasākumi Latvijas medijiem, kas veido saturu latviešu valodā, auditorijai Latvijā, ir ar nebūtisku ietekmi uz Eiropas Savienības iekšējo tirgu, attiecas uz atbalstu, kas tiek piešķirts medijiem, proti, šajā gadījumā - gala labuma guvējiem, kas ir reģionālie mediji. Attiecīgi Eiropas Komisijas sniegtais viedoklis neattiecas uz sadarbības partneriem un attiecīgi komercdarbības atbalstu sadarbības partneru līmenī izslēgt, atsaucoties uz to, nav iespējams. Skaidrojam, ka komercdarbības atbalsta kontroles kontekstā svarīgs ir pasākuma dizains un analīze veicama attiecīgi par katru no līmeņiem, kas pasākumā parādās. Ņemot vērā iepriekš minēto, lūdzam papildināt anotāciju ar izvērtējumu, vai sadarbības partnera iesaiste (kas atbilstoši Noteikumu Nr. 113 20. punktam var būt jebkura juridiska persona vai juridisku personu apvienība, kas var apliecināt vismaz 2 gadu pieredzi atbilstošās jomās, nevis medijs, par ko ir Eiropas Komisijas saskaņojums), nav kvalificējama kā komercdarbības atbalsts atbilstoši Komercdarbības atbalsta kontroles likuma 5. panta pazīmēm. Ja komercdarbības atbalstu izslēgt nevar, lūdzam ietvert noteikumu projektā komercdarbības atbalsta regulējuma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ņemot vērā Noteikumu Nr.113 43.10 apakšpunktā noteikto, ka finansējuma saņēmējs īsteno iepirkuma procedūru gadījumos, kad nepieciešams piesaistīt pakalpojuma sniedzēju vai iegādāties preces, lūdzam anotācijā skaidrot, vai plānotā sadarbības partnera piesaiste nepārkāps šo nosacījumu par iepirkuma procedūras piemērošanu. Skaidrojam arī, ka, piemērojot iepirkuma procedūru, kā noteikts iepriekšminētajā apakšpunktā, preču un pakalpojumu sniedzēju līmenī tiek izslēgta ekonomiskā priekšrocība (un attiecīgi komercdarbības atbalsts), taču, ja preču un pakalpojumu sniedzējs netiek izvēlēts atbilstošā procedūrā, ekonomisko priekšrocību izslēgt nav iespējams un atbalsts kvalificējams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precizējumu veikšanu noteikumu projektā, lai nodrošinātu, ka pasākumā visos līmeņos tiek nodrošināta korekta komercdarbības atbalsta analīze un piemērots komercdarbības atbalsts, kur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sadaļu “VI. Ar komercdarbības atbalsta piešķiršanu saistītie nosacījumi”.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Projekta iesniedzējs un sadarbības partneris ir juridiska persona vai juridisku personu apvienība, kas katra atsevišķi vismaz divus gadus pirms projekta iesniegšanas ir reģistrēta Latvijas Republikas Uzņēmumu reģistrā vai Izglītības iestāžu reģistrā. Projekta iesniedzējs vai projekta iesniedzējs kopā ar sadarbības partneri var apliecināt vismaz divu gadu pieredzi šādās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kopējais punktu skaits ir vienāds, priekšroku dod projekta iesniegumam, kuram lielāks punktu skaits piešķirts par šo noteikumu pielikuma 4.5. apakšpunktā minētā kvalitātes kritērija izpildi. Ja arī par šo kvalitātes kritēriju piešķirts vienāds punktu skaits, priekšroku dod projekta iesniegumam, kuram lielāks punktu skaits piešķirts par šo noteikumu pielikuma 4.6. apakšpunktā minētā kvalitātes kritērija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113 ar jaunu pielikumu. Vēršam uzmanību, ka 2. pielikuma projekts, ar kuru tiek papildināti noteikumi Nr. 113, no spēkā esošās noteikumu Nr. 113 pielikuma redakcijas atšķiras tikai ar to, ka 2. pielikuma projektā pieminēta ne tikai projekta iesniedzēju, bet ari sadarbības partneru vērtēšana pēc tādiem pašiem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nepapildināt noteikumus Nr. 113 ar jaunu pielikumu, bet izteikt esošo pielikumu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Nr. 113 29. punktā ietverta norāde tikai uz </w:t>
            </w:r>
            <w:r w:rsidR="00000000" w:rsidRPr="00000000" w:rsidDel="00000000">
              <w:rPr>
                <w:u w:val="single"/>
                <w:rtl w:val="0"/>
              </w:rPr>
              <w:t xml:space="preserve">pielikumu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113 esošais pielikums izteikts jaunā redakcijā, nepapildinot ar jaunu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kopējais punktu skaits ir vienāds, priekšroku dod projekta iesniegumam, kuram lielāks punktu skaits piešķirts par šo noteikumu pielikuma 4.5. apakšpunktā minētā kvalitātes kritērija izpildi. Ja arī par šo kvalitātes kritēriju piešķirts vienāds punktu skaits, priekšroku dod projekta iesniegumam, kuram lielāks punktu skaits piešķirts par šo noteikumu pielikuma 4.6. apakšpunktā minētā kvalitātes kritērija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finansējuma saņēmēju līmenī izlases veidā nodrošina korupcijas, krāpšanas, interešu konflikta novēršanas principu pārbaudes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Nr.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(turpmāk – regula Nr. 2018/1046), 61. pantu, kā arī dubultfinansējuma riska novēršanas un sasniegto mērķu pamatojošās dokumentācijas pārbaudes izlases veidā, tai skaitā datu ticamības 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paredzot, ka arī sadarbības partnerim jāievēro interešu konflikta, krāpšanas un korupcijas riska novēršanas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43.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Sadarbības partneris nodrošina interešu konflikta, korupcijas un krāpšanas un dubultfinansējuma nepieļaušanu projekta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w:t>
            </w:r>
            <w:r w:rsidR="00000000" w:rsidRPr="00000000" w:rsidDel="00000000">
              <w:rPr>
                <w:vertAlign w:val="superscript"/>
                <w:rtl w:val="0"/>
              </w:rPr>
              <w:t xml:space="preserve">1</w:t>
            </w:r>
            <w:r w:rsidR="00000000" w:rsidRPr="00000000" w:rsidDel="00000000">
              <w:rPr>
                <w:rtl w:val="0"/>
              </w:rPr>
              <w:t xml:space="preserve"> slēgt sadarbības līgumu ar projekta sadarbības partneri (ja attiecināms) pirms projekta iesnieguma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34. punktu, lūdzam izvērtēt un precizēt noteikumu 43.4.</w:t>
            </w:r>
            <w:r w:rsidR="00000000" w:rsidRPr="00000000" w:rsidDel="00000000">
              <w:rPr>
                <w:vertAlign w:val="superscript"/>
                <w:rtl w:val="0"/>
              </w:rPr>
              <w:t xml:space="preserve">1</w:t>
            </w:r>
            <w:r w:rsidR="00000000" w:rsidRPr="00000000" w:rsidDel="00000000">
              <w:rPr>
                <w:rtl w:val="0"/>
              </w:rPr>
              <w:t xml:space="preserve"> apakšpunktu, tajā ietverto pienākumu attiecinot uz </w:t>
            </w:r>
            <w:r w:rsidR="00000000" w:rsidRPr="00000000" w:rsidDel="00000000">
              <w:rPr>
                <w:u w:val="single"/>
                <w:rtl w:val="0"/>
              </w:rPr>
              <w:t xml:space="preserve">projekta iesniedzēju,</w:t>
            </w:r>
            <w:r w:rsidR="00000000" w:rsidRPr="00000000" w:rsidDel="00000000">
              <w:rPr>
                <w:rtl w:val="0"/>
              </w:rPr>
              <w:t xml:space="preserve"> nevis finansējuma saņēmēju. Papildus vēršam uzmanību, ka anotācijas 1.3. sadaļā minēts: "</w:t>
            </w:r>
            <w:r w:rsidR="00000000" w:rsidRPr="00000000" w:rsidDel="00000000">
              <w:rPr>
                <w:i w:val="1"/>
                <w:rtl w:val="0"/>
              </w:rPr>
              <w:t xml:space="preserve">Papildus Noteikumi Nr. 113 precizēti nosakot, ka </w:t>
            </w:r>
            <w:r w:rsidR="00000000" w:rsidRPr="00000000" w:rsidDel="00000000">
              <w:rPr>
                <w:i w:val="1"/>
                <w:u w:val="single"/>
                <w:rtl w:val="0"/>
              </w:rPr>
              <w:t xml:space="preserve">projekta iesniedzējam projekta iesniegumam jāpievieno sadarbības līgums ar sadarbības partneri </w:t>
            </w:r>
            <w:r w:rsidR="00000000" w:rsidRPr="00000000" w:rsidDel="00000000">
              <w:rPr>
                <w:i w:val="1"/>
                <w:rtl w:val="0"/>
              </w:rPr>
              <w:t xml:space="preserve">[..].</w:t>
            </w:r>
            <w:r w:rsidR="00000000" w:rsidRPr="00000000" w:rsidDel="00000000">
              <w:rPr>
                <w:rtl w:val="0"/>
              </w:rPr>
              <w:t xml:space="preserve">" No projektā ietvertā regulējuma šāds pienākums, šķiet, neizriet. Attiecīgi lūdzam vai nu precizēt anotāciju, vai projektu, vai arī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113 plānotais 43.4.</w:t>
            </w:r>
            <w:r w:rsidR="00000000" w:rsidRPr="00000000" w:rsidDel="00000000">
              <w:rPr>
                <w:vertAlign w:val="superscript"/>
                <w:rtl w:val="0"/>
              </w:rPr>
              <w:t xml:space="preserve">1</w:t>
            </w:r>
            <w:r w:rsidR="00000000" w:rsidRPr="00000000" w:rsidDel="00000000">
              <w:rPr>
                <w:rtl w:val="0"/>
              </w:rPr>
              <w:t xml:space="preserve"> apakšpunkts svītrots, vienlaikus Noteikumi Nr. 113 papildināti ar 22.4. apakšpunktu, nosakot projekta iesniedzējam pienākumu, iesniedzot projekta iesniegumu, pievienot sadarbības līguma projektu ar sadarbības partneri (ja attiecināms).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visus projektā paredzētos grozījumus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 (turpmāk - noteikumi), tostarp grozījumus, kas ietverti uz atkārtoto saskaņošanu nodotajā projekta redakcijā. Citastarp aicinām pamatot grozījuma noteikumu 38.1. apakšpunktā, kas projektā ietverts, ņemot vērā izziņas 21. punktā ietverto priekšlikumu, nepieciešamību un būtību, kā arī ietekmi uz jau apstiprinātiem projekta iesniegumiem un finansējuma saņēmējiem (ja tādi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atbilstoši Ministru kabineta 2023.gada 25.aprīļa noteikumiem Nr.205 “Valsts budžeta līdzekļu plānošanas kārtība Eiropas Savienības fondu projektu īstenošanai un maksājumu veikšanai 2021.– 2027. gada plānošanas periodā” tiek tehniski precizēts Noteikumu Nr.113 38.punkts, nosakot, ka finansējuma saņēmējs avansa maksājumu var saņemt, ja ir atvēris kontu Valsts kasē vai darījumu kontu Latvijas Republikā reģistrētā kredītiestādē vai Eiropas Savienībā reģistrēta kredītiestāde ir izsniegusi bankas garantiju par labu aģentūrai, iesniedzot aģentūrai pieprasījumu avansa maksājumam un pamatojot avansa maksājuma apmēru, vienlaikus nodrošinot, ka tas nepārsniedz 30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Noteikumi Nr.113 tiek papildināti ar 39.</w:t>
            </w:r>
            <w:r w:rsidR="00000000" w:rsidRPr="00000000" w:rsidDel="00000000">
              <w:rPr>
                <w:vertAlign w:val="superscript"/>
                <w:rtl w:val="0"/>
              </w:rPr>
              <w:t xml:space="preserve">1</w:t>
            </w:r>
            <w:r w:rsidR="00000000" w:rsidRPr="00000000" w:rsidDel="00000000">
              <w:rPr>
                <w:rtl w:val="0"/>
              </w:rPr>
              <w:t xml:space="preserve"> punktu, kas nosaka, ka Centrālā finanšu un līgumu aģentūra finansējuma saņēmējam izmaksājamo avansa summu apstiprina vai noraida, pamatojoties uz sasniedzamajiem mērķiem, maksājuma lietderību un finanšu drošību, ievērojot normatīvo aktu prasības maksājumu un darījumu apliecinošo dokumentu izstrādāšanas un noformēšanas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precizēts Noteikumu Nr.113 43.7.apakšpunkts, svītrojot nosacījumu, ka finansējuma saņēmējs Kohēzijas politikas fondu vadības informācijas sistēmā ievada informāciju progresa pusgada ziņojumam, vienlaikus precizējot, ka informācija maksājuma pieprasījuma sagatavošanai jāievada ne retāk kā divas reizes gadā, iekļaujot izdevumu un sasniegto rādītāju pamatojošos dokumentus. Pēdējo maksājuma pieprasījumu iesniedz Kohēzijas politikas fondu vadības informācijas sistēmā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Projektu Noteikumi Nr.113 tiek papildināti ar 43.</w:t>
            </w:r>
            <w:r w:rsidR="00000000" w:rsidRPr="00000000" w:rsidDel="00000000">
              <w:rPr>
                <w:vertAlign w:val="superscript"/>
                <w:rtl w:val="0"/>
              </w:rPr>
              <w:t xml:space="preserve">1</w:t>
            </w:r>
            <w:r w:rsidR="00000000" w:rsidRPr="00000000" w:rsidDel="00000000">
              <w:rPr>
                <w:rtl w:val="0"/>
              </w:rPr>
              <w:t xml:space="preserve"> punktu, kas nosaka sadarbības partnera pienākumus: nodrošināt interešu konflikta, korupcijas un krāpšanas un dubultfinansējuma nepieļaušanu projekta ietvaros un iepirkumu, kas nepieciešams projekta īstenošanai, veikt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 zaļais publiskais iepirkums, inovāciju iepirkums un sociāli atbildīgs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norādot, ka projekts skar Latvijas Republikas starptautiskās saistības, nepieciešams aizpildīt anotācijas 5. sadaļu, attiecīgi izvērstāk skaidrojot projekta atbilstību Latvijas Republikas starptautiskajām saistībām (piemēram, ja projektā ir ieviesta kāda regula vai regulas norma vai pārņemta kādas direktīvas norma). Attiecīgi aicinām izvērtēt un vai nu aizpildīt sadaļu, vai arī norādīt "Nē" (proti, ka projekts neskar šo 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(turpmāk - MK rullis) 55.punktam atbildīgā ministrija, virzot projektu saskaņošanai, nosaka atzinuma sniegšanas termiņu vispārējā kārtībā – no 10 darbdienām, steidzamības kārtībā – līdz trim darbdienām.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 uzmanību, ka nav saskatāms pamats šo noteikumu projektu virzīt saskaņošanai steidzamības kārtībā. Kaut gan 2021.gada 7.septembra Ministru kabineta sēdes protokola Nr.60 32.§ 5.punktā pieņemts zināšanai, ka ar Atveseļošanas fonda plāna īstenošanu saistītie normatīvo aktu projekti, kā arī informatīvie ziņojumi izskatīšanai MK tiek virzīti steidzamības kārtībā, tomēr minētais neuzliek ministrijām par pienākumu visus dokumentus virzīt kā steidzamus, ja tas objektīvi nav nepieciešams, kā arī nekādā veidā neizslēdz atbildīgo ministriju pienākumu vērtēt un pamatot steidzamību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turpmāk, nosakot atzinuma sniegšanas termiņu, ievērot MK ruļļa 55.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Pievienotās vērtības nodoklis nav attiecināms finansēšanai no Atveseļošanas fonda līdzekļiem. Pievienotās vērtības nodokļa izmaksas sedz finansējuma saņēmējs vai sadarbības partneris, vai gala labuma guvējs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neparedz iespēju attiecināt gala labuma guvēju veiktās izmaksas (noteikumu projekts paredz izmaksas finansējuma saņēmējam, tostarp tādas, kas ir vērstas uz gala labuma guvēju, bet ne paša gala labuma guvēja veiktus maksājumus), tādēļ aicinām izvērtēt, vai papildinājums par gala labuma guvējiem ir lietderīgs. Ja papildinājums tiek saglabāts, lūdzam papildināt anotāciju ar aprakstu par norēķinu kārtību starp gala labuma guvēju un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pievienotās vērtības nodoklis nav attiecināms no Atveseļošanas fonda finansējuma, bet šie noteikumi skar tieši Atveseļošanas fonda finansējuma izmantošanas nosacījumus, tad ārpus Atveseļošanas fonda finansējuma esošo izmaksu norēķinu kārtību šajos noteikumos vai to anotācijā nav nepieciešams skaidrot. Tas ir finansējuma saņēmēja un galasaņēmēju pašu naudas plūsmas organizēšanas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Pievienotās vērtības nodoklis nav attiecināms finansēšanai no Atveseļošanas fonda līdzekļiem. Pievienotās vērtības nodokļa izmaksas sedz finansējuma saņēmējs vai sadarbības partneris, vai gala labuma guvējs no saviem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kompetenču centra darbības stratēģijas īstenošana augsta līmeņa digitālo prasmju pilnveidošanai un konkurētspējas paaugstināšanai, kā arī gala labuma guvēju atlases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kompetenču centra darbības stratēģija var paredzēt daudz plašāku aktivitāšu tvērumu, nekā saturiski tas atbilstu šī investīciju pasākuma mērķim, aicinām izvērtēt, un tādējādi zem darbības "stratēģijas īstenošana" iekļaujamo aktivitāšu loks ir plaši interpretējams, aicinām izvērtēt, vai šāda darbība nebūtu dzēšama, saglabājot tikai gala labuma guvēju atlases īstenošanu. Ja stratēģijas īstenošana tiek saglabāta, lūdzam izvērtēt, vai anotācija nav papildināma ar skaidrojumu, kādas aktivitātes šāda darbība varētu ietvert.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pasākuma ietvaros ar projekta īstenošanu saistītas šādas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detalizēt, nosakot, vai izmaksas ir attiecināmas tikai projekta iesniedzējam, vai arī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pasākuma ietvaros ar projekta īstenošanu saistītas šādas finansējuma saņēmēja un sadarbības partnera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gala labuma guvēju darbības efektivizēšanai nepieciešamo digitālās attīstības plānu izstrādes un izvērtējumu sagatavošanas un konsultāciju pakalpojumu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grozījumu noteikumu 15.1. apakšpunktā, nav nepieciešami arī kādi citi precizējumi noteikumos (sk., piemēram, atbalstāmo darbību regulējumu noteikumu 14. punktā). Norādām, ka anotācijā minēts: "</w:t>
            </w:r>
            <w:r w:rsidR="00000000" w:rsidRPr="00000000" w:rsidDel="00000000">
              <w:rPr>
                <w:i w:val="1"/>
                <w:rtl w:val="0"/>
              </w:rPr>
              <w:t xml:space="preserve">[..] nepieciešams noteikt, ka finansējuma saņēmēja pienākums ir izstrādāt gala labuma guvēju digitālās attīstības plānu, kā arī </w:t>
            </w:r>
            <w:r w:rsidR="00000000" w:rsidRPr="00000000" w:rsidDel="00000000">
              <w:rPr>
                <w:i w:val="1"/>
                <w:u w:val="single"/>
                <w:rtl w:val="0"/>
              </w:rPr>
              <w:t xml:space="preserve">noteikt, ka digitālās attīstības plāna izstrāde ir atbalstāmā darbība</w:t>
            </w:r>
            <w:r w:rsidR="00000000" w:rsidRPr="00000000" w:rsidDel="00000000">
              <w:rPr>
                <w:i w:val="1"/>
                <w:rtl w:val="0"/>
              </w:rPr>
              <w:t xml:space="preserve"> un attiecināmās izmaksas.</w:t>
            </w:r>
            <w:r w:rsidR="00000000" w:rsidRPr="00000000" w:rsidDel="00000000">
              <w:rPr>
                <w:rtl w:val="0"/>
              </w:rPr>
              <w:t xml:space="preserve">" Attiecīgi aicinām izvērtēt un, ja nepieciešams, precizēt projektu vai sniegt skaidrojumu, kurā noteikumu 14. punktā paredzētajā atbalstāmajā darbībā ietilpst gala labuma guvēja digitālās attīstības plāna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14.7.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gala labuma guvēju darbības efektivizēšanai nepieciešamo digitālās attīstības plānu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gala labuma guvēju darbības efektivizēšanai nepieciešamo digitālās attīstības plānu izstrādes un izvērtējumu sagatavošanas un konsultāciju pakalpojumu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investīcijas pasākuma projekta vadības personāla izmaksas, nepārsniedzot 10 procentus no kopējām projekta izmaksām, un projekta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vai projekta vadības personāla un projekta īstenošanas personāla izmaksas ir attiecināmas tikai darba līguma pamata, vai iespējams arī uz uzņēmuma līguma pamata, vai iespējams arī ārpakalpojuma veidā, veicot  pakalpojuma iegādi atklātā, pārredzamā, nediskriminējošā un konkurenci neierobežojošā procedūrā, t.sk. kāds komercdarbības atbalsts būtu / nebūtu piemērojams visos gadījumos (t.ti. projekta vadība ārpakalpojuma veidā, veicot pakalpojuma iegādi atklātā, pārredzamā, nediskriminējošā un konkurenci neierobežojošā procedūrā būtu/ nebūtu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nav nepieciešams papildināt MK noteikumus ar iepriekš minētajiem projekta vadības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un projekta īstenošanas personāla izmaksas ir attiecināmas uz darba līguma pamata, uz uzņēmuma līguma pamata un arī ārpakalpojuma veidā, veicot  pakalpojuma iegādi atklātā, pārredzamā, nediskriminējošā un konkurenci neierobežojošā procedūrā. Neatkarīgi no tā, vai personāla izmaksas veidojas uz darba līguma, uzņēmuma līguma pamata vai ārpakalpojumā, atbalsts tām tiek sniegts kā </w:t>
            </w:r>
            <w:r w:rsidR="00000000" w:rsidRPr="00000000" w:rsidDel="00000000">
              <w:rPr>
                <w:i w:val="1"/>
                <w:rtl w:val="0"/>
              </w:rPr>
              <w:t xml:space="preserve">de minimis</w:t>
            </w:r>
            <w:r w:rsidR="00000000" w:rsidRPr="00000000" w:rsidDel="00000000">
              <w:rPr>
                <w:rtl w:val="0"/>
              </w:rPr>
              <w:t xml:space="preserve"> atbalsts granta veidā.”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investīcijas pasākuma projekta vadības personāla izmaksas, nepārsniedzot 10 procentus no kopējām projekta izmaksām, un projekta īstenošanas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projekta īstenošanas laikā sadārdzinās projekta plānotās attiecināmās izmaksas, finansējuma saņēmējs papildu izmaksas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 punktu, nosakot, ka gadījumos, kad atbalsts tiek piešķirts kā komercdarbības atbalsts, projekta īstenošanas gaitā radušās sadārdzinājuma izmaksas finansējuma saņēmējs sedz no saviem līdzekļiem, kas brīvi no jebkāda komercdarbības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projekta īstenošanas laikā sadārdzinās projekta plānotās attiecināmās izmaksas, finansējuma saņēmējs papildu izmaksas sedz no saviem līdzekļiem.Gadījumos, kad atbalsts tiek piešķirts kā komercdarbības atbalsts, projekta īstenošanas gaitā radušās sadārdzinājuma izmaksas finansējuma saņēmējs sedz no saviem līdzekļiem, kas brīvi no jebkāda komercdarbības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Projekta iesniedzējs un sadarbības partneris ir juridiska persona vai juridisku personu apvienība, kas katra atsevišķi vismaz divus gadus pirms projekta iesniegšanas ir reģistrēta Latvijas Republikas Uzņēmumu reģistrā vai Izglītības iestāžu reģistrā. Projekta iesniedzējs vai projekta iesniedzējs kopā ar sadarbības partneri var apliecināt vismaz divu gadu pieredzi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skaidri norādot sadarbības partnera veicamās darbības un resursus, ar kādiem tas iesaistās projektā, kā arī finansējuma saņēmēja un sadarbības partnera sadarbības pamatprincipus, pienākumus un tiesības, mērķu un rādītāju savstarpējo sasniegšanas dalījumu (ja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113 22.4. apakšpunkts nosaka pienākumu projekta iesniedzējam izstrādāt un projekta iesniegumam pievienot sadarbības līguma projektu ar sadarbības partneri (ja attiecināms), nosakot finansējuma saņēmēja un sadarbības partnera pienākumu un izmaksu sadalījumu.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Projekta iesniedzējs un sadarbības partneris ir juridiska persona vai juridisku personu apvienība, kas katra atsevišķi vismaz divus gadus pirms projekta iesniegšanas ir reģistrēta Latvijas Republikas Uzņēmumu reģistrā vai Izglītības iestāžu reģistrā. Projekta iesniedzējs vai projekta iesniedzējs kopā ar sadarbības partneri var apliecināt vismaz divu gadu pieredzi šādās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Projekta iesniedzējs un sadarbības partneris ir juridiska persona vai juridisku personu apvienība, kas katra atsevišķi vismaz divus gadus pirms projekta iesniegšanas ir reģistrēta Latvijas Republikas Uzņēmumu reģistrā vai Izglītības iestāžu reģistrā. Projekta iesniedzējs vai projekta iesniedzējs kopā ar sadarbības partneri var apliecināt vismaz divu gadu pieredzi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izvērstāk skaidrot, kā paredzēts praksē piemērot nosacījumu, ka "projekta iesniedzējs </w:t>
            </w:r>
            <w:r w:rsidR="00000000" w:rsidRPr="00000000" w:rsidDel="00000000">
              <w:rPr>
                <w:u w:val="single"/>
                <w:rtl w:val="0"/>
              </w:rPr>
              <w:t xml:space="preserve">vai projekta iesniedzējs kopā ar sadarbības partneri</w:t>
            </w:r>
            <w:r w:rsidR="00000000" w:rsidRPr="00000000" w:rsidDel="00000000">
              <w:rPr>
                <w:rtl w:val="0"/>
              </w:rPr>
              <w:t xml:space="preserve"> var apliecināt vismaz divu gadu pieredzi noteiktās jomās". Proti, lūdzam skaidrot, vai paredzēts, ka pieredzi var summēt v.tml. Ja nepieciešams, aicinām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papildus nepieciešams paredzēt iespēju, ka projekta iesniedzējs projekta īstenošanai piesaista sadarbības partneri, attiecīgi precizēts Noteikumu Nr. 113 20. punkts, nosakot, ka arī projekta iesniedzējs kopā ar sadarbības partneri summāri var apliecināt vismaz divu gadu pieredzi informācijas tehnoloģiju, izglītības, medijpratības, mentoringa un konsultēšanas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Projekta iesniedzējs un sadarbības partneris ir juridiska persona vai juridisku personu apvienība, kas katra atsevišķi vismaz divus gadus pirms projekta iesniegšanas ir reģistrēta Latvijas Republikas Uzņēmumu reģistrā vai Izglītības iestāžu reģistrā. Projekta iesniedzējs vai projekta iesniedzējs kopā ar sadarbības partneri var apliecināt vismaz divu gadu pieredzi šādās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izslēgšanas kritērijiem. Ja projektu iesniegumu vērtēšanas komisija konstatē, ka uz projekta iesniedzēju un sadarbības partneri (ja attiecināms) ir attiecināms vismaz viens no izslēgšanas kritērijiem, turpmāko projekta iesnieguma vērtēšanu neveic;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jaunā redakcijā izteiktajā noteikumu 27.1. apakšpunktā saikļa "un" vietā nav nepieciešams saiklis "vai". Norādām, ka saiklis „un” ir kumulatīvs nosacījums, kura lietošanas gadījumā ir jāiestājas visiem minētajiem priekšnosacījumiem. Savukārt saiklis „vai” ir alternatīvs nosacījums, kura lietošana nosaka tikai viena priekšnosacījuma iestāšanās nepieciešamību. Attiecīgi aicinām izvērtēt un, ja nepieciešams,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izslēgšanas kritērijiem. Ja projektu iesniegumu vērtēšanas komisija konstatē, ka uz projekta iesniedzēju vai sadarbības partneri (ja attiecināms) ir attiecināms vismaz viens no izslēgšanas kritērijiem, turpmāko projekta iesnieguma vērtēšanu neveic;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finansējuma saņēmējs avansa maksājumu var saņemt, ja ir atvēris kontu Valsts kasē vai darījumu kontu Latvijas Republikā reģistrētā kredītiestādē vai Eiropas Savienībā reģistrētā kredītiestādē, kas ir izsniegusi bankas garantiju par labu aģentūrai, iesniedzot aģentūrai pieprasījumu avansa maksājumam un pamatojot avansa maksājuma apmēru, vienlaikus nodrošinot, ka tas nepārsniedz 30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salikumu "vai darījumu kontu Latvijas Republikā reģistrētā kredītiestādē vai vai Eiropas Savienībā reģistrētā kredītiestādē, kas ir izsniegusi bankas garantiju par labu aģentūrai" ar "vai darījumu kontu Latvijas Republikā reģistrētā kredītiestādē vai Eiropas Savienībā reģistrēta kredītiestāde ir izsniegusi bankas garantiju par labu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avansa maksājumu var saņemt, ja ir atvēris kontu Valsts kasē vai darījumu kontu Latvijas Republikā reģistrētā kredītiestādē vai Eiropas Savienībā reģistrēta kredītiestāde ir izsniegusi bankas garantiju par labu aģentūrai, iesniedzot aģentūrai pieprasījumu avansa maksājumam un pamatojot avansa maksājuma apmēru, vienlaikus nodrošinot, ka tas nepārsniedz 30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finansējuma saņēmējs avansa maksājumu var saņemt, ja ir atvēris kontu Valsts kasē vai darījumu kontu Latvijas Republikā reģistrētā kredītiestādē vai Eiropas Savienībā reģistrēta kredītiestāde ir izsniegusi bankas garantiju par labu aģentūrai, iesniedzot aģentūrai pieprasījumu avansa maksājumam un pamatojot avansa maksājuma apmēru, vienlaikus nodrošinot, ka tas nepārsniedz 30 procentus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Aģentūra, veicot avansa un starpposma maksājumus, nodrošina, ka finansējuma saņēmējam veikto avansa un starpposma maksājumu kopsumma nepārsniedz 90 procentus no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nav nepieciešams papildināt MK noteikumus ar nosacījumu, ka "Aģentūra finansējuma saņēmējam izmaksājamo avansa summu apstiprina vai noraida, pamatojoties uz sasniedzamajiem mērķiem, maksājuma lietderību un finanšu drošību, ievērojot normatīvo aktu prasības maksājumu un darījumu apliecinošo dokumentu izstrādāšanas un noformēšanas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39.</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Aģentūra finansējuma saņēmējam izmaksājamo avansa summu apstiprina vai noraida, pamatojoties uz sasniedzamajiem mērķiem, maksājuma lietderību un finanšu drošību, ievērojot normatīvo aktu prasības maksājumu un darījumu apliecinošo dokumentu izstrādāšanas un noformēšanas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Aģentūra, veicot avansa un starpposma maksājumus, nodrošina, ka finansējuma saņēmējam veikto avansa un starpposma maksājumu kopsumma nepārsniedz 90 procentus no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w:t>
            </w:r>
            <w:r w:rsidR="00000000" w:rsidRPr="00000000" w:rsidDel="00000000">
              <w:rPr>
                <w:vertAlign w:val="superscript"/>
                <w:rtl w:val="0"/>
              </w:rPr>
              <w:t xml:space="preserve">1</w:t>
            </w:r>
            <w:r w:rsidR="00000000" w:rsidRPr="00000000" w:rsidDel="00000000">
              <w:rPr>
                <w:rtl w:val="0"/>
              </w:rPr>
              <w:t xml:space="preserve"> slēgt sadarbības līgumu ar projekta sadarbības partneri (ja attiecināms) pirms projekta iesnieguma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Nr. 113 plānoto 43.4.</w:t>
            </w:r>
            <w:r w:rsidR="00000000" w:rsidRPr="00000000" w:rsidDel="00000000">
              <w:rPr>
                <w:vertAlign w:val="superscript"/>
                <w:rtl w:val="0"/>
              </w:rPr>
              <w:t xml:space="preserve">1</w:t>
            </w:r>
            <w:r w:rsidR="00000000" w:rsidRPr="00000000" w:rsidDel="00000000">
              <w:rPr>
                <w:rtl w:val="0"/>
              </w:rPr>
              <w:t xml:space="preserve"> apakšpunktu un pēc nepieciešamības to svītrot, ņemot vērā, ka sadarbības līgumā tiek, citstarp, ietverts arī detalizēts pienākumu un atbildības sadalījums starp finansējuma saņēmēju un sadarbības partneri, bet pirms projekta iesnieguma apstiprināšanas vēl nav objektīva pamata šādu sadarbības līgumu 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noteikumu Nr. 113 22. punktu ar pienākumu projekta iesniedzējam, iesniedzot projekta iesniegumu, pievienot sadarbības līguma </w:t>
            </w:r>
            <w:r w:rsidR="00000000" w:rsidRPr="00000000" w:rsidDel="00000000">
              <w:rPr>
                <w:u w:val="single"/>
                <w:rtl w:val="0"/>
              </w:rPr>
              <w:t xml:space="preserve">projektu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anotācijas 1.3. sadaļas apakšsadaļā "Risinājuma apraksts" minēts, ka </w:t>
            </w:r>
            <w:r w:rsidR="00000000" w:rsidRPr="00000000" w:rsidDel="00000000">
              <w:rPr>
                <w:i w:val="1"/>
                <w:rtl w:val="0"/>
              </w:rPr>
              <w:t xml:space="preserve">Papildus Noteikumi Nr. 113 precizēti nosakot, ka projekta iesniedzējam projekta iesniegumam jāpievieno sadarbības līgums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113 plānotais 43.4.</w:t>
            </w:r>
            <w:r w:rsidR="00000000" w:rsidRPr="00000000" w:rsidDel="00000000">
              <w:rPr>
                <w:vertAlign w:val="superscript"/>
                <w:rtl w:val="0"/>
              </w:rPr>
              <w:t xml:space="preserve">1</w:t>
            </w:r>
            <w:r w:rsidR="00000000" w:rsidRPr="00000000" w:rsidDel="00000000">
              <w:rPr>
                <w:rtl w:val="0"/>
              </w:rPr>
              <w:t xml:space="preserve"> apakšpunkts svītrots, vienlaikus Noteikumi Nr. 113 papildināti ar 22.4. apakšpunktu, nosakot projekta iesniedzējam pienākumu, iesniedzot projekta iesniegumu, pievienot sadarbības līguma projektu ar sadarbības partneri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43.7. nodrošināt datu ievadi Kohēzijas politikas fondu vadības informācijas sistēmā progresa pusgada ziņojuma un maksājuma pieprasījuma informācijas sagatavošanai atbilstoši Eiropas Parlamenta un Padomes 2021. gada 12. februāra Regulas (ES) Nr. 2021/241, ar ko izveido Atveseļošanas un noturības mehānismu (turpmāk – regula Nr. 2021/241), 22. un 27.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noteikuma punkta formulējumu jeb anotācijā sniegt skaidrojumu kādi dati finansējuma saņēmējam jāievada attiecībā uz progresa pusgada ziņojumu. Finansējuma saņēmējam būtu jāiesniedz Kohēzijas sistēmā maksājumu pieprasījums ne retāk kā divas reizes gadā, tajos iekļaujot izdevumu un sasniegto rādītāju pamatojošos dokumentus. Pēdējo maksājuma pieprasījumu iesniedz Kohēzijas sistēmā līdz 2026. gada 30. 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43.7. nodrošināt datu ievadi Kohēzijas politikas fondu vadības informācijas sistēmā maksājuma pieprasījuma informācijas sagatavošanai ne retāk kā divas reizes gadā, iekļaujot izdevumu un sasniegto rādītāju pamatojošos dokumentus. Pēdējo maksājuma pieprasījumu iesniedz Kohēzijas politikas fondu vadības informācijas sistēmā līdz 2026. gada 30. jūnijam;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43.10. iepirkumu, kas nepieciešams projekta īstenošanai, veikt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 zaļais publiskais iepirkums, inovāciju iepirkums un sociāli atbildīgs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projektu, ņemot vērā, ka tiek paredzēta iespēja piesaistīt sadarbības partneri - Ministru kabineta 2024. gada 20. februāra noteikumu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 43.10. apakšpunktā minētais būtu attiecināms arī uz sadarbības partneri (ja ir paredzēts, ka sadarbības partneris veiks iepirkumus).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papildināts ar 43.</w:t>
            </w:r>
            <w:r w:rsidR="00000000" w:rsidRPr="00000000" w:rsidDel="00000000">
              <w:rPr>
                <w:vertAlign w:val="superscript"/>
                <w:rtl w:val="0"/>
              </w:rPr>
              <w:t xml:space="preserve">1</w:t>
            </w:r>
            <w:r w:rsidR="00000000" w:rsidRPr="00000000" w:rsidDel="00000000">
              <w:rPr>
                <w:rtl w:val="0"/>
              </w:rPr>
              <w:t xml:space="preserve"> 2.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2. iepirkumu, kas nepieciešams projekta īstenošanai, veikt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 zaļais publiskais iepirkums, inovāciju iepirkums un sociāli atbildīgs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43.10. iepirkumu, kas nepieciešams projekta īstenošanai, veikt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 zaļais publiskais iepirkums, inovāciju iepirkums un sociāli atbildīgs iepirkums;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43.12. uzkrāt dalībnieku datus par projektā sasniegto šo noteikumu </w:t>
            </w:r>
            <w:r w:rsidR="00000000" w:rsidRPr="00000000" w:rsidDel="00000000">
              <w:rPr>
                <w:rtl w:val="0"/>
              </w:rPr>
              <w:t xml:space="preserve">5.3.3.</w:t>
            </w:r>
            <w:r w:rsidR="00000000" w:rsidRPr="00000000" w:rsidDel="00000000">
              <w:rPr>
                <w:rtl w:val="0"/>
              </w:rPr>
              <w:t xml:space="preserve"> apakšpunktā</w:t>
            </w:r>
            <w:r w:rsidR="00000000" w:rsidRPr="00000000" w:rsidDel="00000000">
              <w:rPr>
                <w:rtl w:val="0"/>
              </w:rPr>
              <w:t xml:space="preserve"> minēto kopējo rādītāja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projekta ietvaros nav nepieciešams uzkrāt datus arī par 5.3.1. un 5.3.2.  apakšpunktā minēto kopējo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43.12. uzkrāt dalībnieku datus par projektā sasniegto šo noteikumu </w:t>
            </w:r>
            <w:r w:rsidR="00000000" w:rsidRPr="00000000" w:rsidDel="00000000">
              <w:rPr>
                <w:rtl w:val="0"/>
              </w:rPr>
              <w:t xml:space="preserve">5.3.1.</w:t>
            </w:r>
            <w:r w:rsidR="00000000" w:rsidRPr="00000000" w:rsidDel="00000000">
              <w:rPr>
                <w:rtl w:val="0"/>
              </w:rPr>
              <w:t xml:space="preserve">, </w:t>
            </w:r>
            <w:r w:rsidR="00000000" w:rsidRPr="00000000" w:rsidDel="00000000">
              <w:rPr>
                <w:rtl w:val="0"/>
              </w:rPr>
              <w:t xml:space="preserve">5.3.2.</w:t>
            </w:r>
            <w:r w:rsidR="00000000" w:rsidRPr="00000000" w:rsidDel="00000000">
              <w:rPr>
                <w:rtl w:val="0"/>
              </w:rPr>
              <w:t xml:space="preserve"> un </w:t>
            </w:r>
            <w:r w:rsidR="00000000" w:rsidRPr="00000000" w:rsidDel="00000000">
              <w:rPr>
                <w:rtl w:val="0"/>
              </w:rPr>
              <w:t xml:space="preserve">5.3.3.</w:t>
            </w:r>
            <w:r w:rsidR="00000000" w:rsidRPr="00000000" w:rsidDel="00000000">
              <w:rPr>
                <w:rtl w:val="0"/>
              </w:rPr>
              <w:t xml:space="preserve"> apakšpunktā</w:t>
            </w:r>
            <w:r w:rsidR="00000000" w:rsidRPr="00000000" w:rsidDel="00000000">
              <w:rPr>
                <w:rtl w:val="0"/>
              </w:rPr>
              <w:t xml:space="preserve"> minēto kopējo rādītāja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neveikt grozījumus noteikumu 43.12.apakšpunktā, ņemot vērā, ka noteikumu 5.3.1. un 5.3.2.apakšpunktā noteiktie rādītāji paredz uzkrāt uzņēmumu, nevis dalībnieku datus. Ievērojot Eiropas Parlamenta un Padomes 2021. gada 12. februāra regulas Nr.2021/241, ar ko izveido Atveseļošanas un noturības mehānismu, 22.panta 3.punktā noteikto, jāuzkrāj personu dati. Spēkā esošā norma jau šobrīd nodrošina minēto regulas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43.12.apakšpunkts saglabāts sākotnējā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Projekta iesniedzējam un tā sadarbības partnerim (turpmāk – </w:t>
            </w:r>
            <w:r w:rsidR="00000000" w:rsidRPr="00000000" w:rsidDel="00000000">
              <w:rPr>
                <w:i w:val="1"/>
                <w:rtl w:val="0"/>
              </w:rPr>
              <w:t xml:space="preserve">de minimis</w:t>
            </w:r>
            <w:r w:rsidR="00000000" w:rsidRPr="00000000" w:rsidDel="00000000">
              <w:rPr>
                <w:rtl w:val="0"/>
              </w:rPr>
              <w:t xml:space="preserve"> atbalsta saņēmējs)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un </w:t>
            </w:r>
            <w:r w:rsidR="00000000" w:rsidRPr="00000000" w:rsidDel="00000000">
              <w:rPr>
                <w:rtl w:val="0"/>
              </w:rPr>
              <w:t xml:space="preserve">15.5. </w:t>
            </w:r>
            <w:r w:rsidR="00000000" w:rsidRPr="00000000" w:rsidDel="00000000">
              <w:rPr>
                <w:rtl w:val="0"/>
              </w:rPr>
              <w:t xml:space="preserve">apakšpunktā</w:t>
            </w:r>
            <w:r w:rsidR="00000000" w:rsidRPr="00000000" w:rsidDel="00000000">
              <w:rPr>
                <w:rtl w:val="0"/>
              </w:rPr>
              <w:t xml:space="preserve"> noteiktajām izmaksām aģentūra piešķir līdzfinansējumu kā </w:t>
            </w:r>
            <w:r w:rsidR="00000000" w:rsidRPr="00000000" w:rsidDel="00000000">
              <w:rPr>
                <w:i w:val="1"/>
                <w:rtl w:val="0"/>
              </w:rPr>
              <w:t xml:space="preserve">de minimis</w:t>
            </w:r>
            <w:r w:rsidR="00000000" w:rsidRPr="00000000" w:rsidDel="00000000">
              <w:rPr>
                <w:rtl w:val="0"/>
              </w:rPr>
              <w:t xml:space="preserve"> atbalstu, ievērojot Eiropas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visas šo noteikumu 15.1., 15.2., 15.3. un 15.5. apakšpunktos noteiktās izmaksas ir pilnībā attiecināmas tikai uz projekta iesniedzēju un sadarbības partneri, vai daļa tomēr ir attiecināma uz gala labuma guvēju. Gadījumā, ja daļa ir attiecināma uz gala labuma guvēju lūdzam atbilstoši precizēt 40.punktu.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FM Komercdarbības atbalsta kontroles departamenta sniegtajam skaidrojumam 15.1., 15.2., 15.3. un 15.5. apakšpunktos noteiktās izmaksas ir pilnībā attiecināmas tikai uz projekta iesniedzēju un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Projekta iesniedzējam un tā sadarbības partnerim (turpmāk – </w:t>
            </w:r>
            <w:r w:rsidR="00000000" w:rsidRPr="00000000" w:rsidDel="00000000">
              <w:rPr>
                <w:i w:val="1"/>
                <w:rtl w:val="0"/>
              </w:rPr>
              <w:t xml:space="preserve">de minimis</w:t>
            </w:r>
            <w:r w:rsidR="00000000" w:rsidRPr="00000000" w:rsidDel="00000000">
              <w:rPr>
                <w:rtl w:val="0"/>
              </w:rPr>
              <w:t xml:space="preserve"> atbalsta saņēmējs)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un </w:t>
            </w:r>
            <w:r w:rsidR="00000000" w:rsidRPr="00000000" w:rsidDel="00000000">
              <w:rPr>
                <w:rtl w:val="0"/>
              </w:rPr>
              <w:t xml:space="preserve">15.5. </w:t>
            </w:r>
            <w:r w:rsidR="00000000" w:rsidRPr="00000000" w:rsidDel="00000000">
              <w:rPr>
                <w:rtl w:val="0"/>
              </w:rPr>
              <w:t xml:space="preserve">apakšpunktā</w:t>
            </w:r>
            <w:r w:rsidR="00000000" w:rsidRPr="00000000" w:rsidDel="00000000">
              <w:rPr>
                <w:rtl w:val="0"/>
              </w:rPr>
              <w:t xml:space="preserve"> noteiktajām izmaksām aģentūra piešķir līdzfinansējumu kā </w:t>
            </w:r>
            <w:r w:rsidR="00000000" w:rsidRPr="00000000" w:rsidDel="00000000">
              <w:rPr>
                <w:i w:val="1"/>
                <w:rtl w:val="0"/>
              </w:rPr>
              <w:t xml:space="preserve">de minimis</w:t>
            </w:r>
            <w:r w:rsidR="00000000" w:rsidRPr="00000000" w:rsidDel="00000000">
              <w:rPr>
                <w:rtl w:val="0"/>
              </w:rPr>
              <w:t xml:space="preserve"> atbalstu, ievērojot Eiropas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Atbalsts šo noteikumu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minēto izmaksu segšanai nav uzskatāms par komercdarbības atbalstu finansējuma saņēmējam un sadarbības partnerim, ja finansējuma saņēmējs vai sadarbības partneris nodrošina finansējuma saņēmēja noteikto auditorijas pētījumu risinājumu, informācijas un komunikācijas tehnoloģiju (iekārtas, programmatūra, licence) izstrādi, iegādi, atjaunošanu un modernizēšanu, piemērojot šo noteikumu </w:t>
            </w:r>
            <w:r w:rsidR="00000000" w:rsidRPr="00000000" w:rsidDel="00000000">
              <w:rPr>
                <w:rtl w:val="0"/>
              </w:rPr>
              <w:t xml:space="preserve">43.10.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minēto procedūru.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46. punktu ar nosacījumu, ka noteikumu projektā 15.4 apakšpunktā plānotās darbības rezultātā iegūtais produkts vai pakalpojums būs gala lietotāju īpašumā un nepaliks finansējuma saņēmēja vai tā sadarbības partnera rīcībā atkārtotai izmantošanai. Papildus lūdzam papildināt anotāciju ar atbilstošu informāciju par to, ka noteikumu projekta 15.4 apakšpunktā plānotās darbības veicējs un attiecīgi atbalsta saņēmējs būs ārpakalpojumā iepirkts pakalpojuma sniedzējs un projekta iesniedzējs vai sadarbības partneris būs tikai iepirkuma organizētājs un ka 15.4 apakšpunktā plānotās darbības rezultātā iegūtais produkts vai pakalpojums nonāks konkrētā gala saņēmēja rīcībā. Vēršam uzmanību ka, ja noteikumu projekta 15.4 apakšpunktā plānotās darbības veiks finansējuma saņēmējs vai sadarbības partneris un rezultāts paliks to rīcībā ar iespēju izmantot tālāk atkārtoti, atbalsts sniedzams kā de minimis atbalsts finansējuma saņēmējam vai 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Nr.113 15.4. apakšpunktā plānotās darbības veicējs un attiecīgi atbalsta saņēmējs būs ārpakalpojumā iepirkts pakalpojuma sniedzējs un projekta iesniedzējs vai sadarbības partneris būs tikai iepirkuma organizētājs un Noteikumu Nr.113 15.4. apakšpunktā plānotās darbības rezultātā iegūtais produkts vai pakalpojums nonāks konkrētā gala saņēmēja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Atbalsts šo noteikumu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minēto izmaksu segšanai nav uzskatāms par komercdarbības atbalstu finansējuma saņēmējam un sadarbības partnerim, ja finansējuma saņēmējs vai sadarbības partneris nodrošina finansējuma saņēmēja noteikto auditorijas pētījumu risinājumu, informācijas un komunikācijas tehnoloģiju (iekārtas, programmatūra, licence) izstrādi, iegādi, atjaunošanu un modernizēšanu, piemērojot šo noteikumu </w:t>
            </w:r>
            <w:r w:rsidR="00000000" w:rsidRPr="00000000" w:rsidDel="00000000">
              <w:rPr>
                <w:rtl w:val="0"/>
              </w:rPr>
              <w:t xml:space="preserve">43.10.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minēto procedūru. Šo noteikumu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plānotās darbības rezultātā iegūtais produkts vai pakalpojums būs gala lietotāju īpašumā un nepaliks finansējuma saņēmēja vai tā sadarbības partnera rīcībā atkārtotai izmantošanai.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par kādu </w:t>
            </w:r>
            <w:r w:rsidR="00000000" w:rsidRPr="00000000" w:rsidDel="00000000">
              <w:rPr>
                <w:i w:val="1"/>
                <w:rtl w:val="0"/>
              </w:rPr>
              <w:t xml:space="preserve">ad-hoc</w:t>
            </w:r>
            <w:r w:rsidR="00000000" w:rsidRPr="00000000" w:rsidDel="00000000">
              <w:rPr>
                <w:rtl w:val="0"/>
              </w:rPr>
              <w:t xml:space="preserve"> lēmumu un Eiropas Komisijas lēmumu noteikumu 51. punktā (projekta 16. punkts) ir runa. Vēršam uzmanību, ka saskaņā ar Līguma par Eiropas Savienības darbību 288.pantu lēmumi, kuros ir norādīti konkrēti adresāti, ir saistoši tikai šiem adresātiem. Ja lēmumu adresāts ir dalībvalstis un ir nepieciešams to normas padarīt saistošas privātpersonām, tad lēmumi ir jāpārņem nacionālajā normatīvajā aktā. Attiecīgi aicinām sniegt skaidrojumu anotācijā par atsauču tvērumu un pieļaujamību. Ja nepieciešams,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attiecībā uz maksimālo atbalsta intensitātes vai atbalsta summu atbalsta saņēmējam tā var būt noteikta ne vien komercdarbības atbalsta programmā, bet arī saistošajos </w:t>
            </w:r>
            <w:r w:rsidR="00000000" w:rsidRPr="00000000" w:rsidDel="00000000">
              <w:rPr>
                <w:i w:val="1"/>
                <w:rtl w:val="0"/>
              </w:rPr>
              <w:t xml:space="preserve">ad-hoc</w:t>
            </w:r>
            <w:r w:rsidR="00000000" w:rsidRPr="00000000" w:rsidDel="00000000">
              <w:rPr>
                <w:rtl w:val="0"/>
              </w:rPr>
              <w:t xml:space="preserve"> atbalsta un Eiropas Komisijas lēmumos. Līdz ar to Projekta 51. punktā noteiktās prasības ir attiecināmas gan uz atbalsta pretendentu, kas ir atbildīgs par korektas, patiesas un pilnīgas informācijas sniegšanu, gan uz atbalsta sniedzēju, kura pienākums, piešķirot atbalstu, ir veikt pārbaudi par atbilstību kumulācijas normā minētajām prasībām. Ar </w:t>
            </w:r>
            <w:r w:rsidR="00000000" w:rsidRPr="00000000" w:rsidDel="00000000">
              <w:rPr>
                <w:i w:val="1"/>
                <w:rtl w:val="0"/>
              </w:rPr>
              <w:t xml:space="preserve">ad-hoc</w:t>
            </w:r>
            <w:r w:rsidR="00000000" w:rsidRPr="00000000" w:rsidDel="00000000">
              <w:rPr>
                <w:rtl w:val="0"/>
              </w:rPr>
              <w:t xml:space="preserve"> lēmumu saskaņā ar Komercdarbības atbalsta kontroles likuma 1. panta otrās daļas 1. punktu saprot gadījumu, kad komercdarbības atbalstu piešķir ārpus atbalsta programmas, piemēram, ar atsevišķu Ministru kabineta rīkojumu vai pašvaldības domes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2.2. reformu un investīciju virziena "Uzņēmumu digitālā transformācija un inovācijas" 2.2.1.5.i. investīcijas "Mediju nozares uzņēmumu digitālās transformācijas veicināšana" pasākumam "Mācības mediju nozares speciālistu digitālās kompetences un zināšanu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dzēst vispārīgos atbilstības kritērijus Nr.2.11 un Nr.2.12. Šo kritēriju ietvaros vērtējamos aspektus rosinām iekļaut vispārīgās atbilstības kritērija Nr.2.13 piemērošanas skaidrojumā, neveidojot tos kā patstāvīgus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vai specifiskais atbilstības kritērijs Nr. 3.1. nebūtu attiecināms arī uz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noteikumu 20. punkts paredz iespēju pieredzi apliecināt kopīgi ar sadarbības partneri, lūdzam izvērtēt, vai kvalitātes kritērija Nr.4.1. vērtēšanā nebūtu ņemama vērā arī sadarbības partnera īstenoto mediju nozares speciālistu apmācību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atbilstoši precizēti.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2.2. reformu un investīciju virziena "Uzņēmumu digitālā transformācija un inovācijas" 2.2.1.5.i. investīcijas "Mediju nozares uzņēmumu digitālās transformācijas veicināšana" pasākumam "Mācības mediju nozares speciālistu digitālās kompetences un zināšanu pilnveidošanai"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2.2. reformu un investīciju virziena "Uzņēmumu digitālā transformācija un inovācijas" 2.2.1.5.i. investīcijas "Mediju nozares uzņēmumu digitālās transformācijas veicināšana" pasākumam "Mācības mediju nozares speciālistu digitālās kompetences un zināšanu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šķiet, tehnisku kļūdu, noteikumu pielikumu izsakot jaunā redakcijā, nevis veidojot jaunu (2.) noteikumu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113 esošais pielikums izteikts jaunā redakcijā, nepapildinot ar jaunu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24-TA-952</w:t>
    </w:r>
    <w:r>
      <w:br/>
    </w:r>
    <w:r w:rsidR="00000000" w:rsidRPr="00000000" w:rsidDel="00000000">
      <w:rPr>
        <w:rtl w:val="0"/>
      </w:rPr>
      <w:t xml:space="preserve">09.07.2024. 13.35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24-TA-952</w:t>
    </w:r>
    <w:r>
      <w:br/>
    </w:r>
    <w:r w:rsidR="00000000" w:rsidRPr="00000000" w:rsidDel="00000000">
      <w:rPr>
        <w:rtl w:val="0"/>
      </w:rPr>
      <w:t xml:space="preserve">09.07.2024. 13.35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Izziņa_24-TA-952.docx</dc:title>
</cp:coreProperties>
</file>

<file path=docProps/custom.xml><?xml version="1.0" encoding="utf-8"?>
<Properties xmlns="http://schemas.openxmlformats.org/officeDocument/2006/custom-properties" xmlns:vt="http://schemas.openxmlformats.org/officeDocument/2006/docPropsVTypes"/>
</file>