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11. februāra noteikumos Nr. 96 "Nodokļu un citu maksājumu reģistrēšanas elektronisko ierīču un iekārtu lietošanas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17.09.2025. 16:13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februāra noteikumos Nr. 96 "Nodokļu un citu maksājumu reģistrēšanas elektronisko ierīču un iekārtu lietošanas kārtība" (Latvijas Vēstnesis, 2014, 70. nr.; 2015, 103., 253. nr.; 2016, 189. nr.; 2017, 97. nr.; 2018, 236., 251. nr.; 2019, 73., 146. nr.; 2020, 242.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08.09.2025. atzinumā ietvertais iebildums tika 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projekta 18. punktā noteikto, lai novērstu regulējumu, kas par vienu un to pašu darbību vai bezdarbību paredz divus dažādus procesus (piem., gadījums, ja nav nodrošinātas prasības, kas noteiktas normatīvajos aktos par nodokļu un citu maksājumu reģistrēšanas elektronisko ierīču un iekārtu tehniskajām prasībām, kopsakarā ar likuma "Par nodokļiem un nodevām" 140.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nepieciešams raksturot izslēgšanas no Valsts ieņēmumu dienesta vienotās datubāzes (reģistra) nozīmi (ietekmi, šāda pasākuma būtību). Proti, lūdzam sniegt pamatojumu, ka izslēgšana no Valsts ieņēmumu dienesta vienotās datubāzes (reģistra) pēc būtības neatbilst soda raksturam.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1.3.apakšsadaļā ietvertais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MK noteikumu Nr.96 9.1.apakšpunkts noteic, ka nodokļu un citu maksājumu reģistrēšanai lieto tikai tādas elektroniskās ierīces vai iekārtas, kas atbilst normatīvajiem aktiem par nodokļu un citu maksājumu reģistrēšanas elektronisko ierīču un iekārtu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Nr.96 129.</w:t>
            </w:r>
            <w:r w:rsidR="00000000" w:rsidRPr="00000000" w:rsidDel="00000000">
              <w:rPr>
                <w:vertAlign w:val="superscript"/>
                <w:rtl w:val="0"/>
              </w:rPr>
              <w:t xml:space="preserve">15</w:t>
            </w:r>
            <w:r w:rsidR="00000000" w:rsidRPr="00000000" w:rsidDel="00000000">
              <w:rPr>
                <w:rtl w:val="0"/>
              </w:rPr>
              <w:t xml:space="preserve"> punkts noteic, ja VID, pamatojoties uz šo noteikumu 121.</w:t>
            </w:r>
            <w:r w:rsidR="00000000" w:rsidRPr="00000000" w:rsidDel="00000000">
              <w:rPr>
                <w:vertAlign w:val="superscript"/>
                <w:rtl w:val="0"/>
              </w:rPr>
              <w:t xml:space="preserve">5</w:t>
            </w:r>
            <w:r w:rsidR="00000000" w:rsidRPr="00000000" w:rsidDel="00000000">
              <w:rPr>
                <w:rtl w:val="0"/>
              </w:rPr>
              <w:t xml:space="preserve">, 125., 126., 129.</w:t>
            </w:r>
            <w:r w:rsidR="00000000" w:rsidRPr="00000000" w:rsidDel="00000000">
              <w:rPr>
                <w:vertAlign w:val="superscript"/>
                <w:rtl w:val="0"/>
              </w:rPr>
              <w:t xml:space="preserve">2</w:t>
            </w:r>
            <w:r w:rsidR="00000000" w:rsidRPr="00000000" w:rsidDel="00000000">
              <w:rPr>
                <w:rtl w:val="0"/>
              </w:rPr>
              <w:t xml:space="preserve">, 129.</w:t>
            </w:r>
            <w:r w:rsidR="00000000" w:rsidRPr="00000000" w:rsidDel="00000000">
              <w:rPr>
                <w:vertAlign w:val="superscript"/>
                <w:rtl w:val="0"/>
              </w:rPr>
              <w:t xml:space="preserve">3</w:t>
            </w:r>
            <w:r w:rsidR="00000000" w:rsidRPr="00000000" w:rsidDel="00000000">
              <w:rPr>
                <w:rtl w:val="0"/>
              </w:rPr>
              <w:t xml:space="preserve">, 129.</w:t>
            </w:r>
            <w:r w:rsidR="00000000" w:rsidRPr="00000000" w:rsidDel="00000000">
              <w:rPr>
                <w:vertAlign w:val="superscript"/>
                <w:rtl w:val="0"/>
              </w:rPr>
              <w:t xml:space="preserve">4</w:t>
            </w:r>
            <w:r w:rsidR="00000000" w:rsidRPr="00000000" w:rsidDel="00000000">
              <w:rPr>
                <w:rtl w:val="0"/>
              </w:rPr>
              <w:t xml:space="preserve">, 129.</w:t>
            </w:r>
            <w:r w:rsidR="00000000" w:rsidRPr="00000000" w:rsidDel="00000000">
              <w:rPr>
                <w:vertAlign w:val="superscript"/>
                <w:rtl w:val="0"/>
              </w:rPr>
              <w:t xml:space="preserve">5</w:t>
            </w:r>
            <w:r w:rsidR="00000000" w:rsidRPr="00000000" w:rsidDel="00000000">
              <w:rPr>
                <w:rtl w:val="0"/>
              </w:rPr>
              <w:t xml:space="preserve">, 129.</w:t>
            </w:r>
            <w:r w:rsidR="00000000" w:rsidRPr="00000000" w:rsidDel="00000000">
              <w:rPr>
                <w:vertAlign w:val="superscript"/>
                <w:rtl w:val="0"/>
              </w:rPr>
              <w:t xml:space="preserve">7</w:t>
            </w:r>
            <w:r w:rsidR="00000000" w:rsidRPr="00000000" w:rsidDel="00000000">
              <w:rPr>
                <w:rtl w:val="0"/>
              </w:rPr>
              <w:t xml:space="preserve"> un 129.</w:t>
            </w:r>
            <w:r w:rsidR="00000000" w:rsidRPr="00000000" w:rsidDel="00000000">
              <w:rPr>
                <w:vertAlign w:val="superscript"/>
                <w:rtl w:val="0"/>
              </w:rPr>
              <w:t xml:space="preserve">8</w:t>
            </w:r>
            <w:r w:rsidR="00000000" w:rsidRPr="00000000" w:rsidDel="00000000">
              <w:rPr>
                <w:rtl w:val="0"/>
              </w:rPr>
              <w:t xml:space="preserve"> punktā minēto informāciju vai veicot kontroles pasākumus, konstatē, ka elektroniskās ierīces vai iekārtas modelis vai modifikācija neatbilst normatīvajiem aktiem par nodokļu un citu maksājumu reģistrēšanas elektronisko ierīču un iekārtu tehniskajām prasībām un neatbilstības novēršana visiem konkrētā modeļa vai modifikācijas elektroniskajām ierīcēm vai iekārtām, nemainot programmatūru, nav iespējama, VID 15 darbdienu laikā informē visus konkrētās elektroniskās ierīces vai iekārtas modeļa vai modifikācijas lietotājus un apkalpojošos dienestus par konstatēto neatbilstību, nereģistrē elektroniskās ierīces vai iekārtas modeli (modifikāciju) VID vienotajā datubāzē (reģistrā) un (vai) izslēdz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lietotājam objektīvu iemeslu dēļ nav iespējams novērst elektronisko ierīču vai iekārtu modeļu vai modifikāciju neatbilstības. Tādējādi gadījumos, kad iztrūkst lietotāja vainojamā rīcībā, VID neuzsāk administratīvā pārkāpuma procesu, ievērojot Administratīvās atbildības likuma 119.panta pirmās daļas 4.punktu – administratīvā pārkāpuma procesu nedrīkst uzsākt, bet uzsāktais process jāizbeidz, ja konstatēts vismaz viens no šādiem apstākļiem - konstatēti apstākļi, kas izslēdz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VID nepieciešams saglabāt tiesības izslēgt no VID vienotās datubāzes (reģistra) elektroniskās ierīces un iekārtas, gadījumos, kad nav nodrošinātas prasības, kas noteiktas normatīvajos aktos par nodokļu un citu maksājumu reģistrēšanas elektronisko ierīču un iekārtu tehniskajām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atbilstoši Valsts kancelejas izstrādātajām ”Vadlīnijām tiesību aktu projektu sākotnējās ietekmes novērtēšanai un novērtējumu ziņojuma sagatavošanai vienotajā tiesību aktu izstrādes saskaņošanas portālā”, 2. sadaļas 2.1. punktā norādīto informāciju par administratīvo un atbilstības izmaksu samazinājumu norādīt atbilstošajos anotācijas 2. sadaļas 2.3. (Administratīvo izmaksu monetārs novērtējums) un 2.4. (Atbilstības izmaksu monetārs novērtējums) punktos. Vienlaikus norādām, ka gadījumā, ja nav zināms personu (lietotāju skaits, kas izmanto elektronisko ierīču un iekārtas) skaits, tad atbilstības izmaksu samazinājumu rēķina uz 1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 sadaļas 2.3.punkts - administratīvo izmaksu monetārs novērtējums, un 2.4.punkts - atbilstības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9.oktobrī Ekonomikas ministrija iesniedza atzinumu ar saskaņošanas rezultātu "Saskaņots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citu maksājumu reģistrēšanas elektronisko ierīču un iekārtu 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tiesisko regulējumu, kas paredz izņēmumu no prasības veikt valsts vai pašvaldību uzturētu sabiedriskā transporta kases sistēmu un ar kases sistēmām saistīto tehnisko risinājumu sertifikāciju (atbilstības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SIA "Autotransporta direkcija" pašreiz īsteno Vienotas centralizētas biļešu sistēmas, kā arī valsts SIA "Autotransporta direkcija" uzturētas centralizētas sabiedriskā transporta kases sistēmas ieviešanu. Tādējādi minēto risinājumu ieviešanas gaitā šo sistēmu savstarpējai salāgošanai, tostarp ar valstspilsētu uzturēto kases sistēmu risinājumiem, lai nodrošinātu Vienotas centralizētas biļešu sistēmas risinājuma ieviešanu, kases sistēmās būs nepieciešami periodiski pielāgojumi un izmaiņas. Ņemot vērā nepieciešamību ikreizēju kases sistēmu pielāgojumu un izmaiņu gadījumā veikt ikreizēju kases sistēmas un saistīto risinājumu sertifikāciju (atbilstības pārbaudi), minētā prasība rada nepamatotu administratīvo slogu Vienotas centralizētas biļešu sistēmas un valsts vai pašvaldību uzturētas centralizētas sabiedriskā transporta kasu sistēmas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MK noteikumu Nr. 96 3.punkts noteic, lai nodrošinātu nodokļu un citu maksājumu reģistrāciju, par darījumiem saņemto samaksu skaidrā naudā, ar maksājumu kartēm vai citiem maksājuma apliecinājumiem (dāvanu kartes, čeki, taloni un tamlīdzīgi apliecinājumi par to, ka tiek veikts norēķins par darījumu) nodokļu maksātāji reģistrē, izmantojot nodokļu un citu maksājumu reģistrēšanas elektroniskās ierīces un iekārtas – kases aparātus, hibrīda kases aparātus, kases sistēmas, specializētās ierīces un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Nr.96 9.2.apakšpunkts noteic, ka nodokļu un citu maksājumu reģistrēšanai drīkst lietot tikai tādus kases aparātus, hibrīda kases aparātus, kases sistēmas, specializētās ierīces vai iekārtas, kas atbilst normatīvajiem aktiem par nodokļu un citu maksājumu reģistrēšanas elektronisko ierīču un iekārtu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Nr.96 38.punktā noteiktajam lietotājam jānodrošina darījuma un par to saņemtās samaksas skaidrā naudā, ar maksājumu kartēm vai citiem maksājuma apliecinājumiem (dāvanu kartes, čeki, taloni un tamlīdzīgi apliecinājumi par to, ka tiek veikts norēķins par darījumu) reģistrēšanu, kases čeka (ar rekvizītiem, kas kases čekam noteikti normatīvajos aktos par nodokļu un citu maksājumu reģistrēšanas elektronisko ierīču un iekārtu tehniskajām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tiesību normu kopums noteic, ka nodokļu un citu maksājumu reģistrēšanai ir jāizmanto elektroniskās ierīces un iekārtas, kuras atbilst fiskālajai uzraudzībai noteiktajām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Sabiedriskā transporta pakalpojumu likuma izriet, ka ne visi pārvadātāji izmantos vienoto centralizēto biļešu sistēmu. Līdz ar to, nosakot izņēmumu no vispārējām normatīvo aktu prasībām atsevišķām personām vai personu grupām, tiks kropļota godīgas konkurences nodrošināšana un vienlīdzības princips attiecībā uz visām nozarē strādājošajām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konkrētajā gadījumā, būtiski ņemt vērā, ka ar likumprojektu "Grozījumi Sabiedriskā transporta pakalpojumu likumā" (Nr.948/Lp14) tiek precizēta izdevumu kompensēšanas kārtība, nosakot, ka “sabiedriskā transporta pakalpojumiem vai pakalpojumos izmantojamajam inventāram vai aprīkojumam valsts vai pašvaldība papildus sabiedriskā transporta pakalpojuma pasūtījuma līgumos vai maršruta atļaujā noteiktajam nosaka prasības, kuru ieviešana tam rada papildu izdevumus, pārvadātājam ir tiesības prasīt no valsts vai pašvaldības šo izdevumu kompensēšanu.”. Tādējādi pārvadātājiem ir paredzēts kompensēt papildu izdevumus saistībā ar vienotas centralizētas biļešu sistēmas ieviešanu Ministru kabineta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to, ka Satiksmes ministrijas (SM) iebildums pēc tā satura un būtības nav attiecināms uz šobrīd noteikuma projektā ietverto grozījumu normām, SM lūgums noteikt regulējumu, kas paredz izņēmumu no prasības veikt valsts vai pašvaldību uzturētu sabiedriskā transporta kases sistēmu un ar kases sistēmām saistīto tehnisko risinājumu sertifikāciju,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un citu maksājumu reģistrēšanas elektronisko ierīču un iekārtu lietošanas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11. februāra noteikumos Nr. 96 "Nodokļu un citu maksājumu reģistrēšanas elektronisko ierīču un iekārtu 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Ministru kabineta noteikumu projekta “Grozījumi Ministru kabineta 2014. gada 11. februāra noteikumos Nr. 96 "Nodokļu un citu maksājumu reģistrēšanas elektronisko ierīču un iekārtu lietošanas kārtība"” redakciju un norāda uz problēmām, kas izriet no jaunā 121.13 punkta formulējuma. Pašreizējā redakcija liek noprast, ka gadījumos, kad lietotāja nodokļu maksātāju reitinga kopējā novērtējumā mainās augstākais reitinga līmenis vai izpildās kāds no 121.12 punktā minētajiem nosacījumiem, apkalpojošais dienests nekavējoties iesniedz kases sistēmas programmas versiju atbilstības pārbaudes veikšanai neatkarīgi no tā, vai pati programmas versija ir mainīta.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neskaidrības un nesamērīgu administratīvo slogu, jo no normas var secināt, ka atkārtota sertifikācija būtu jāveic pat tad, ja kases sistēmas programmas versija jau ir iepriekš sertificēta un nav veikti nekādi tehniski uzlabojumi vai izmaiņas, kas objektīvi varētu ietekmēt programmas atbilstību, kas, visticamāk, nav tiesību normas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lai nerastos pārpratumu par atkārtotas atbilstības pārbaudes nepieciešamību un tā nepieciešama tajos gadījumos, kad vienlaikus mainās nodokļu maksātāju reitinga līmenis vai iestājas 121.12 punktā noteiktie apstākļi un šajā periodā ir veikta kases sistēmas programmas maiņa, veikt šī punkta precizēšanu. LTRK piedāvā šādu 121.13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“121.13 Ja lietotājam, kuram Valsts ieņēmumu dienesta nodokļu maksātāju reitinga kopējā novērtējumā noteiktais augstākais reitinga līmenis mainās vai izpildās kāds no šo noteikumu 121.12 punktā minētajiem nosacījumiem, </w:t>
            </w:r>
            <w:r w:rsidR="00000000" w:rsidRPr="00000000" w:rsidDel="00000000">
              <w:rPr>
                <w:b w:val="1"/>
                <w:i w:val="1"/>
                <w:rtl w:val="0"/>
              </w:rPr>
              <w:t xml:space="preserve">un šajā periodā ir veikta kases sistēmas programmas maiņa</w:t>
            </w:r>
            <w:r w:rsidR="00000000" w:rsidRPr="00000000" w:rsidDel="00000000">
              <w:rPr>
                <w:i w:val="1"/>
                <w:rtl w:val="0"/>
              </w:rPr>
              <w:t xml:space="preserve">, apkalpojošais dienests nekavējoties iesniedz attiecīgo kases sistēmas programmas versiju atbilstības pārbaudes veikšanai atbilstības pārbaudes institūcijā un par to informē Valsts ieņēmumu dienestu, izmantojot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nodrošinātu samērīgumu un tiesisko noteiktību, jo atkārtota sertifikācija tiktu prasīta tikai tad, ja ir mainījusies pati kases sistēmas programmas versija, nevis tikai nodokļu maksātāja reitings.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121.13 Ja lietotājam, kuram Valsts ieņēmumu dienesta nodokļu maksātāju reitinga kopējā novērtējumā noteiktais augstākais reitinga līmenis mainās vai izpildās kāds no šo noteikumu 121.12 punktā minētajiem nosacījumiem, un šajā periodā ir veikta kases sistēmas programmas maiņa, apkalpojošais dienests nekavējoties iesniedz attiecīgo kases sistēmas programmas versiju atbilstības pārbaudes veikšanai atbilstības pārbaudes institūcijā un par to informē Valsts ieņēmumu dienestu, izmantojot Valsts ieņēmumu dienesta elektroniskās deklarēšanas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ar noteikumu projekta 121.</w:t>
            </w:r>
            <w:r w:rsidR="00000000" w:rsidRPr="00000000" w:rsidDel="00000000">
              <w:rPr>
                <w:vertAlign w:val="superscript"/>
                <w:rtl w:val="0"/>
              </w:rPr>
              <w:t xml:space="preserve">13 </w:t>
            </w:r>
            <w:r w:rsidR="00000000" w:rsidRPr="00000000" w:rsidDel="00000000">
              <w:rPr>
                <w:rtl w:val="0"/>
              </w:rPr>
              <w:t xml:space="preserve">punktu  paredzēts, ka apkalpojošajam dienestam nekavējoties jāiesniedz kases sistēmas programmas versiju atbilstības pārbaudes veikšanai atbilstības pārbaudes institūcijā, ja lietotājs zaudē tiesības piemērot noteikumu projekta 121.</w:t>
            </w:r>
            <w:r w:rsidR="00000000" w:rsidRPr="00000000" w:rsidDel="00000000">
              <w:rPr>
                <w:vertAlign w:val="superscript"/>
                <w:rtl w:val="0"/>
              </w:rPr>
              <w:t xml:space="preserve">11</w:t>
            </w:r>
            <w:r w:rsidR="00000000" w:rsidRPr="00000000" w:rsidDel="00000000">
              <w:rPr>
                <w:rtl w:val="0"/>
              </w:rPr>
              <w:t xml:space="preserve"> punktā noteiktās priekšrocības. Un atbilstoši noteikumu projekta  121.</w:t>
            </w:r>
            <w:r w:rsidR="00000000" w:rsidRPr="00000000" w:rsidDel="00000000">
              <w:rPr>
                <w:vertAlign w:val="superscript"/>
                <w:rtl w:val="0"/>
              </w:rPr>
              <w:t xml:space="preserve">14</w:t>
            </w:r>
            <w:r w:rsidR="00000000" w:rsidRPr="00000000" w:rsidDel="00000000">
              <w:rPr>
                <w:rtl w:val="0"/>
              </w:rPr>
              <w:t xml:space="preserve"> punktā noteiktajam lietotājam nekavējoties jāpārtrauc lietot šo kases sistēmas mainītās programmas versiju, ja nav iesniegta atbilstības pārbaudes veikšanai atbilstības pārbaudes institūcijā vai no atbilstības pārbaudes institūcijas saņemts atteikums izsniegt atbilstības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121.</w:t>
            </w:r>
            <w:r w:rsidR="00000000" w:rsidRPr="00000000" w:rsidDel="00000000">
              <w:rPr>
                <w:vertAlign w:val="superscript"/>
                <w:rtl w:val="0"/>
              </w:rPr>
              <w:t xml:space="preserve">13</w:t>
            </w:r>
            <w:r w:rsidR="00000000" w:rsidRPr="00000000" w:rsidDel="00000000">
              <w:rPr>
                <w:rtl w:val="0"/>
              </w:rPr>
              <w:t xml:space="preserve"> punkts nav interpretējams tā, ka jāveic atkārtota atbilstības pārbaude kases sistēmas programmas versijai, kurai tā ir jau veikta un kura jau ir reģistrēta VID vienotajā datu bāzē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samazināt administratīvo slogu godprātīgajiem nodokļu maksātājiem – kases sistēmas mainītās programmas versijai ir jābūt iesniegtai atbilstības pārbaudes institūcijā divpadsmit mēnešu laikā (iepriekšējais regulējums paredzēja sešu mēnešu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nepieciešamo izmaiņu kases sistēmās biežums vai apjoms lielā mērā ir atkarīgs no izvēlētā kases sistēmas risinājuma. Ja atlaides, akcijas, klientu priekšrocības un citas funkcijas ir iestrādātas papildprogrammās vai integrētajās informācijas sistēmās (papildprogrammas un integrētās informācijas sistēmas var netikt iekļautas kases sistēmas programmā, piemēram, noliktavas un grāmatvedības sistēmas), izmaiņas kases sistēmas programmā nav nepieciešamas un atbilstības pārbaude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(LAA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atbalsta MK noteikumos Nr.96. iekļauto pārejas periodu (141.</w:t>
            </w:r>
            <w:r w:rsidR="00000000" w:rsidRPr="00000000" w:rsidDel="00000000">
              <w:rPr>
                <w:vertAlign w:val="superscript"/>
                <w:rtl w:val="0"/>
              </w:rPr>
              <w:t xml:space="preserve">14 </w:t>
            </w:r>
            <w:r w:rsidR="00000000" w:rsidRPr="00000000" w:rsidDel="00000000">
              <w:rPr>
                <w:rtl w:val="0"/>
              </w:rPr>
              <w:t xml:space="preserve">un 141.</w:t>
            </w:r>
            <w:r w:rsidR="00000000" w:rsidRPr="00000000" w:rsidDel="00000000">
              <w:rPr>
                <w:vertAlign w:val="superscript"/>
                <w:rtl w:val="0"/>
              </w:rPr>
              <w:t xml:space="preserve">15</w:t>
            </w:r>
            <w:r w:rsidR="00000000" w:rsidRPr="00000000" w:rsidDel="00000000">
              <w:rPr>
                <w:rtl w:val="0"/>
              </w:rPr>
              <w:t xml:space="preserve">) jeb, ka jaunais regulējums stājas spēkā 2027. gada 1. janvārī. Vienlaikus LAA lūdz MK noteikumu anotāciju papildināt ar norādi,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82.4. un 84.14. apakšpunkta stāšanās spēkā 2027. gada 1. janvārī (141.</w:t>
            </w:r>
            <w:r w:rsidR="00000000" w:rsidRPr="00000000" w:rsidDel="00000000">
              <w:rPr>
                <w:vertAlign w:val="superscript"/>
                <w:rtl w:val="0"/>
              </w:rPr>
              <w:t xml:space="preserve">14 </w:t>
            </w:r>
            <w:r w:rsidR="00000000" w:rsidRPr="00000000" w:rsidDel="00000000">
              <w:rPr>
                <w:rtl w:val="0"/>
              </w:rPr>
              <w:t xml:space="preserve">)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grozījuma par noteikumu 82.1.11. apakšpunkta svītrošanu un 84.1. apakšpunkta izteikšanu jaunā redakcijā, saistībā ar vārdu “kā arī Latvijas Banka, kredītiestādes un apdrošināšanas sabiedrības,” svītrošanu, stāšanās spēkā 2027. gada 1. janvārī (141.</w:t>
            </w:r>
            <w:r w:rsidR="00000000" w:rsidRPr="00000000" w:rsidDel="00000000">
              <w:rPr>
                <w:vertAlign w:val="superscript"/>
                <w:rtl w:val="0"/>
              </w:rPr>
              <w:t xml:space="preserve">15</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neliedz iespēju apdrošināšanas izplatītājiem, ieviest noteikumu grozījumos paredzēto darījumu apliecināšanas kārtību arī agrāk.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141.</w:t>
            </w:r>
            <w:r w:rsidR="00000000" w:rsidRPr="00000000" w:rsidDel="00000000">
              <w:rPr>
                <w:vertAlign w:val="superscript"/>
                <w:rtl w:val="0"/>
              </w:rPr>
              <w:t xml:space="preserve">14 </w:t>
            </w:r>
            <w:r w:rsidR="00000000" w:rsidRPr="00000000" w:rsidDel="00000000">
              <w:rPr>
                <w:rtl w:val="0"/>
              </w:rPr>
              <w:t xml:space="preserve">punkts papildināts un izteikts šādā redakcijā "Šo noteikumu 82.4. un 84.14. apakšpunkts stājas spēkā 2027. gada 1. janvārī. Kredītiestādes un apdrošināšanas izplatītāji šo noteikumu 71.punktā minētajā kārtībā noformētas reģistrētas kvītis drīkst sākt izsniegt arī pirms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14</w:t>
            </w:r>
            <w:r w:rsidR="00000000" w:rsidRPr="00000000" w:rsidDel="00000000">
              <w:rPr>
                <w:rtl w:val="0"/>
              </w:rPr>
              <w:t xml:space="preserve"> Šo noteikumu 82.4. un 84.14. apakšpunkts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2014. gada 11. februāra noteikumos Nr. 96 "Nodokļu un citu maksājumu reģistrēšanas elektronisko ierīču un iekārtu lietošanas kārtība"" ir papildināts ar jaunu Ministru kabineta 2014. gada 11. februāra noteikumu Nr. 96 "Nodokļu un citu maksājumu reģistrēšanas elektronisko ierīču un iekārtu lietošanas kārtība" 141.</w:t>
            </w:r>
            <w:r w:rsidR="00000000" w:rsidRPr="00000000" w:rsidDel="00000000">
              <w:rPr>
                <w:vertAlign w:val="superscript"/>
                <w:rtl w:val="0"/>
              </w:rPr>
              <w:t xml:space="preserve">14</w:t>
            </w:r>
            <w:r w:rsidR="00000000" w:rsidRPr="00000000" w:rsidDel="00000000">
              <w:rPr>
                <w:rtl w:val="0"/>
              </w:rPr>
              <w:t xml:space="preserve"> un 141.</w:t>
            </w:r>
            <w:r w:rsidR="00000000" w:rsidRPr="00000000" w:rsidDel="00000000">
              <w:rPr>
                <w:vertAlign w:val="superscript"/>
                <w:rtl w:val="0"/>
              </w:rPr>
              <w:t xml:space="preserve">15</w:t>
            </w:r>
            <w:r w:rsidR="00000000" w:rsidRPr="00000000" w:rsidDel="00000000">
              <w:rPr>
                <w:rtl w:val="0"/>
              </w:rPr>
              <w:t xml:space="preserve"> punktu, lūdzam papildināt Ministru kabineta noteikumu projekta "Grozījumi Ministru kabineta 2014. gada 11. februāra noteikumos Nr. 96 "Nodokļu un citu maksājumu reģistrēšanas elektronisko ierīču un iekārtu lietošanas kārtība"" sākotnējās ietekmes (ex-ante) novērtējuma ziņojumu (anotāciju) ar atbilstošu pamatojumu šāda regulējuma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1.3.apakšsadaļā ietvertais skaidrojums, ka pēc LAA izteiktā lūguma noteikt pārejas periodu, lai pielāgotu izmaiņas datu bāzēm, MK noteikumu Nr.96 82.4.punkts un 84.14.apakšpunkts stājas spēkā 2027.gada 1.janvārī. Un kredītiestādes un apdrošināšanas izplatītāji šo noteikumu 71.punktā minētajā kārtībā noformētas reģistrētas kvītis drīkst sākt izsniegt arī pirms 2027.gada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14</w:t>
            </w:r>
            <w:r w:rsidR="00000000" w:rsidRPr="00000000" w:rsidDel="00000000">
              <w:rPr>
                <w:rtl w:val="0"/>
              </w:rPr>
              <w:t xml:space="preserve"> Šo noteikumu 82.4. un 84.14. apakšpunkts stājas spēkā 2027. gada 1. janvārī. Kredītiestādes un apdrošināšanas izplatītāji šo noteikumu 71.punktā minētajā kārtībā noformētas reģistrētas kvītis drīkst sākt izsniegt arī pirms 2027. gada 1. janvāra.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29.04.2025. 13:24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februāra noteikumos Nr. 96 "Nodokļu un citu maksājumu reģistrēšanas elektronisko ierīču un iekārtu lietošanas kārtība" (Latvijas Vēstnesis, 2014, 70. nr.; 2015, 103., 253. nr.; 2016, 189. nr.; 2017, 97. nr.; 2018, 236., 251. nr.; 2019, 73., 146. nr.; 2020, 242.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ka ar Ministru kabineta noteikumu projektu "Grozījumi Ministru kabineta 2014. gada 11. februāra noteikumos Nr. 96 "Nodokļu un citu maksājumu reģistrēšanas elektronisko ierīču un iekārtu lietošanas kārtība"" (turpmāk – projekts) ir iecerēts par tiesību normu neievērošanu paralēli administratīvā pārkāpuma procesam paredzēt arī administratīvi tiesiskus pasākumus (proti, projekta 18. punktā ir regulējums, kas paredz izslēgt no Valsts ieņēmumu dienesta vienotās datubāzes (reģistra), ja tiek konstatēts, ka netiek pildīti Ministru kabineta 2014. gada 11. februāra noteikumu Nr. 96 "Nodokļu un citu maksājumu reģistrēšanas elektronisko ierīču un iekārtu lietošanas kārtība"  VIII nodaļā "Apkalpojošo dienestu atbildība un pienākumi" minētie pienākumi, savukārt likuma "Par nodokļiem un nodevām" 140. panta trešajā daļā ir paredzēta administratīvā atbildība par normatīvajos aktos noteikto nodokļu un citu maksājumu reģistrēšanas elektronisko ierīču un iekārtu apkalpojošo dienestu pienākumu nepildīšanu).  Nav atbalstāma prakse, kad par vienu un to pašu darbību vai bezdarbību pret personu var tikt uzsākti divi dažādi procesi (šajā gadījumā administratīvā pārkāpuma process un administratīvais process). Līdz ar to lūdzam precizēt projektu līdz tādai pakāpei, lai novērstu regulējumu, kas par vienu un to pašu darbību vai bezdarbību paredz divus dažādus procesus.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anotācijā raksturot izslēgšanas no Valsts ieņēmumu dienesta vienotās datubāzes (reģistra) nozīmi (ietekmi, šāda pasākuma būtību). Proti, lūdzam sniegt pamatojumu, ka izslēgšana no Valsts ieņēmumu dienesta vienotās datubāzes (reģistra) pēc būtības neatbilst soda raksturam.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129.</w:t>
            </w:r>
            <w:r w:rsidR="00000000" w:rsidRPr="00000000" w:rsidDel="00000000">
              <w:rPr>
                <w:vertAlign w:val="superscript"/>
                <w:rtl w:val="0"/>
              </w:rPr>
              <w:t xml:space="preserve">22</w:t>
            </w:r>
            <w:r w:rsidR="00000000" w:rsidRPr="00000000" w:rsidDel="00000000">
              <w:rPr>
                <w:rtl w:val="0"/>
              </w:rPr>
              <w:t xml:space="preserve">2.1.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februāra noteikumos Nr. 96 "Nodokļu un citu maksājumu reģistrēšanas elektronisko ierīču un iekārtu lietošanas kārtība" (Latvijas Vēstnesis, 2014, 70. nr.; 2015, 103., 253. nr.; 2016, 189. nr.; 2017, 97. nr.; 2018, 236., 251. nr.; 2019, 73., 146. nr.; 2020, 242.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projekta anotāciju ar izvērtējumu, kādēļ pie noteiktiem kritērijiem (minēti projekta 10. punktā) kases sistēmas lietotājs, kuram Valsts ieņēmumu dienesta noteiktajā nodokļu maksātāju reitinga kopējā novērtējumā ir noteikts augstākais reitinga līmenis iepriekšējo divpadsmit mēnešu laikā, nedrīkst izmantot speciālo kārtību tam lietošanā reģistrētajai kases sistēmai. Ministru kabinetam vispārīgi nav tiesību regulēt jautājumus, kas saistīti ar administratīvo atbildību, piemērotajiem sodiem vai personas sodāmību, it īpaši jau mainīt administratīvās sodāmības izpratni.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121.</w:t>
            </w:r>
            <w:r w:rsidR="00000000" w:rsidRPr="00000000" w:rsidDel="00000000">
              <w:rPr>
                <w:vertAlign w:val="superscript"/>
                <w:rtl w:val="0"/>
              </w:rPr>
              <w:t xml:space="preserve">12</w:t>
            </w:r>
            <w:r w:rsidR="00000000" w:rsidRPr="00000000" w:rsidDel="00000000">
              <w:rPr>
                <w:rtl w:val="0"/>
              </w:rPr>
              <w:t xml:space="preserve">5. un 121.</w:t>
            </w:r>
            <w:r w:rsidR="00000000" w:rsidRPr="00000000" w:rsidDel="00000000">
              <w:rPr>
                <w:vertAlign w:val="superscript"/>
                <w:rtl w:val="0"/>
              </w:rPr>
              <w:t xml:space="preserve">12</w:t>
            </w:r>
            <w:r w:rsidR="00000000" w:rsidRPr="00000000" w:rsidDel="00000000">
              <w:rPr>
                <w:rtl w:val="0"/>
              </w:rPr>
              <w:t xml:space="preserve">6. apakšpunkti svītroti.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valsts un pašvaldību budžeta iestādes, saņemot samaksu par sniegtajiem maksas pakalpojumiem skaidrā naudā iestādes kasē, izsniedzot attaisnojuma dokumentu saskaņā ar normatīvajiem aktiem par kases operāciju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LAA savu atzinumu sniedza par grozījumiem MK noteikumu 82.1.11.punktā, t.i., par atbrīvojumu no pienākuma nodokļu maksātājam lietot kases aparātus, hibrīda kases aparātus, kases sistēmas, specializētās ierīces, bet darījumu apliecināt ar reģistrēto kvīti, ja tiek sniegti apdrošināšanas izplatīšanas pakalpojumi. Iepazīstoties ar veiktajiem grozījumiem un anotāciju, LAA secina, ka papildus mūsu iebildumos teiktajam, ir veikti grozījumi 84.1.apakšpunktā, kas nosaka, kādā kārtībā nodokļu maksātājam jānodrošina kases aparātu, sistēmu vai ierīču lietošanas dokumentācija. Turklāt no anotācijas izriet, ka tas veikts pamatojoties uz LAA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MK 84.1.punkts neregulē darījumu apliecināšanu ar kvīti, bet gan nosaka kārtību dokumentācijas veikšanai un vairāki LAA biedri piemēro šo punktu savā praksē, lūdzam atstāt 84.1.punktu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valsts un pašvaldību budžeta iestādes, saņemot samaksu par sniegtajiem maksas pakalpojumiem skaidrā naudā iestādes kasē, kā arī Latvijas Banka, kredītiestādes un apdrošināšanas sabiedrības, izsniedzot attaisnojuma dokumentu saskaņā ar normatīvajiem aktiem par kases operāciju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Apdrošinātāju asociācija” neuztur šo iebildumu un - 07.08.2025. e-pastā sniedza saskaņojumu par tiesību akta projektu ārpus TAP portāla, vienlaikus lūdzot noteikt pārejas periodu. Ņemot vērā minēto, noteikumu projekta 23. punkts paredz papildināt noteikumus ar 141.</w:t>
            </w:r>
            <w:r w:rsidR="00000000" w:rsidRPr="00000000" w:rsidDel="00000000">
              <w:rPr>
                <w:vertAlign w:val="superscript"/>
                <w:rtl w:val="0"/>
              </w:rPr>
              <w:t xml:space="preserve">15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r w:rsidR="00000000" w:rsidRPr="00000000" w:rsidDel="00000000">
              <w:rPr>
                <w:vertAlign w:val="superscript"/>
                <w:rtl w:val="0"/>
              </w:rPr>
              <w:t xml:space="preserve">15</w:t>
            </w:r>
            <w:r w:rsidR="00000000" w:rsidRPr="00000000" w:rsidDel="00000000">
              <w:rPr>
                <w:rtl w:val="0"/>
              </w:rPr>
              <w:t xml:space="preserve"> Grozījums par šo noteikumu 82.1.11. apakšpunkta svītrošanu un 84.1. apakšpunkta izteikšanu jaunā redakcijā, saistībā ar vārdu “kā arī Latvijas Banka, kredītiestādes un apdrošināšanas sabiedrības,” svītrošanu,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valsts un pašvaldību budžeta iestādes, saņemot samaksu par sniegtajiem maksas pakalpojumiem skaidrā naudā iestādes kasē, izsniedzot attaisnojuma dokumentu saskaņā ar normatīvajiem aktiem par kases operāciju uzskaiti;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12</w:t>
            </w:r>
            <w:r w:rsidR="00000000" w:rsidRPr="00000000" w:rsidDel="00000000">
              <w:rPr>
                <w:rtl w:val="0"/>
              </w:rPr>
              <w:t xml:space="preserve">5. pēdējo trīs gadu laikā nodokļu maksātājam vai apkalpojošajam dienestam ir pieņemts lēmums par soda piemērošanu saistībā ar nodokļu un citu maksājumu reģistrēšanas elektronisko ierīču vai iekārtu lietošanu, ja ir mainīta to konstrukcija vai programma, vai saistībā ar neatļautu darbību veikšanu, lai mainītu normatīvajos aktos noteikto nodokļu un citu maksājumu reģistrēšanas elektronisko ierīču vai iekārtu konstrukciju, iejauktos programmā, ar ko tādējādi radīta iespēja slēpt vai samazināt ar nodokļiem un nodevām apliekamo objektu, vai sodāmība par šo pārkāpumu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121.125. un 121.126. apakšpunktā un projekta sākotnējās ietekmes novērtējuma ziņojumā (anotācijā) noteiktā nav viennozīmīgi skaidrs, kā tiks iegūta informācija par projekta 121.125. un 121.126.apakšpunktā minētajiem lēmumiem un vai minēto informāciju paredzēts iegūt no valsts informācijas sistēmas "Sodu reģistrs".  Ja attiecīgo informāciju plānots iegūt no valsts informācijas sistēmas "Sodu reģistrs", lai radītu viennozīmīgu izpratni par izsniedzamo ziņu apjomu no tās, papildināt projekta sākotnējās ietekmes novērtējuma ziņojumu (anotāciju), norādot konkrētus likumu pantus un pārkāpumu veidus.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121.</w:t>
            </w:r>
            <w:r w:rsidR="00000000" w:rsidRPr="00000000" w:rsidDel="00000000">
              <w:rPr>
                <w:vertAlign w:val="superscript"/>
                <w:rtl w:val="0"/>
              </w:rPr>
              <w:t xml:space="preserve">12</w:t>
            </w:r>
            <w:r w:rsidR="00000000" w:rsidRPr="00000000" w:rsidDel="00000000">
              <w:rPr>
                <w:rtl w:val="0"/>
              </w:rPr>
              <w:t xml:space="preserve">5. un 121.</w:t>
            </w:r>
            <w:r w:rsidR="00000000" w:rsidRPr="00000000" w:rsidDel="00000000">
              <w:rPr>
                <w:vertAlign w:val="superscript"/>
                <w:rtl w:val="0"/>
              </w:rPr>
              <w:t xml:space="preserve">12</w:t>
            </w:r>
            <w:r w:rsidR="00000000" w:rsidRPr="00000000" w:rsidDel="00000000">
              <w:rPr>
                <w:rtl w:val="0"/>
              </w:rPr>
              <w:t xml:space="preserve">6. apakšpunkti svītroti.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anotācijas 1.3. apakšsadaļā ietverto informāciju, norādot korektu datumu, kad tika pieņemti grozījumi likumā "Par nodokļiem un nodevām", kas paredzēja izslēgt regulējumu par Padziļinātās sadarbības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labots datums, kad pieņemti grozījumi likumā "Par nodokļiem un nodevām" (kļūdaini norādīts 2023.gada 6.jūnijs).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Valsts kancelejas izstrādātajām ”Vadlīnijām tiesību aktu projektu sākotnējās ietekmes novērtēšanai un novērtējumu ziņojuma sagatavošanai vienotajā tiesību aktu izstrādes saskaņošanas portālā”, 2. sadaļas 2.1. punktā norādīto informāciju par administratīvo un atbilstības izmaksu samazinājumu norādīt atbilstošajos anotācijas 2. sadaļas 2.3. (Administratīvo izmaksu monetārs novērtējums) un 2.4. (Atbilstības izmaksu monetārs novērtējums) punktos. Vienlaikus norādām, ka gadījumā, ja nav zināms personu (lietotāju skaits, kas izmanto elektronisko ierīču un iekārtas) skaits, tad atbilstības izmaksu samazinājumu rēķina uz 1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21</w:t>
            </w:r>
            <w:r w:rsidR="00000000" w:rsidRPr="00000000" w:rsidDel="00000000">
              <w:rPr>
                <w:rtl w:val="0"/>
              </w:rPr>
              <w:t xml:space="preserve"> Pēc šo noteikumu 129.</w:t>
            </w:r>
            <w:r w:rsidR="00000000" w:rsidRPr="00000000" w:rsidDel="00000000">
              <w:rPr>
                <w:vertAlign w:val="superscript"/>
                <w:rtl w:val="0"/>
              </w:rPr>
              <w:t xml:space="preserve">20 </w:t>
            </w:r>
            <w:r w:rsidR="00000000" w:rsidRPr="00000000" w:rsidDel="00000000">
              <w:rPr>
                <w:rtl w:val="0"/>
              </w:rPr>
              <w:t xml:space="preserve"> punktā minētā pieprasījuma saņemšanas, Valsts ieņēmumu dienests 15 darbdienu laikā izskata iesniegumu un rakstveidā paziņo lietotājam vai apkalpojošajam dienestam vai atbilstības pārbaudes institūcijai par izslēgšanu no Valsts ieņēmumu dienesta vienotās datubāzes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likuma 70. panta pirmajā daļā noteiktajam iestādes izdotu </w:t>
            </w:r>
            <w:r w:rsidR="00000000" w:rsidRPr="00000000" w:rsidDel="00000000">
              <w:rPr>
                <w:u w:val="single"/>
                <w:rtl w:val="0"/>
              </w:rPr>
              <w:t xml:space="preserve">administratīvo aktu paziņo adresātam</w:t>
            </w:r>
            <w:r w:rsidR="00000000" w:rsidRPr="00000000" w:rsidDel="00000000">
              <w:rPr>
                <w:rtl w:val="0"/>
              </w:rPr>
              <w:t xml:space="preserve">, lūdzam precizēt projektā paredzēto Ministru kabineta 2014. gada 11. februāra noteikumu Nr. 96 "Nodokļu un citu maksājumu reģistrēšanas elektronisko ierīču un iekārtu lietošanas kārtība" 129.</w:t>
            </w:r>
            <w:r w:rsidR="00000000" w:rsidRPr="00000000" w:rsidDel="00000000">
              <w:rPr>
                <w:vertAlign w:val="superscript"/>
                <w:rtl w:val="0"/>
              </w:rPr>
              <w:t xml:space="preserve">21</w:t>
            </w:r>
            <w:r w:rsidR="00000000" w:rsidRPr="00000000" w:rsidDel="00000000">
              <w:rPr>
                <w:rtl w:val="0"/>
              </w:rPr>
              <w:t xml:space="preserve">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šo noteikumu 129.</w:t>
            </w:r>
            <w:r w:rsidR="00000000" w:rsidRPr="00000000" w:rsidDel="00000000">
              <w:rPr>
                <w:vertAlign w:val="superscript"/>
                <w:rtl w:val="0"/>
              </w:rPr>
              <w:t xml:space="preserve">21 </w:t>
            </w:r>
            <w:r w:rsidR="00000000" w:rsidRPr="00000000" w:rsidDel="00000000">
              <w:rPr>
                <w:rtl w:val="0"/>
              </w:rPr>
              <w:t xml:space="preserve">apakšpunkts paredz, ka Valsts ieņēmumu dienests administratīvo aktu paziņo adresātam -lietotājam vai apkalpojošajam dienestam vai atbilstības pārbaudes institūcijai, ievērojot Administratīvā procesa likuma 70. panta pirmajā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21</w:t>
            </w:r>
            <w:r w:rsidR="00000000" w:rsidRPr="00000000" w:rsidDel="00000000">
              <w:rPr>
                <w:rtl w:val="0"/>
              </w:rPr>
              <w:t xml:space="preserve"> Pēc šo noteikumu 129.</w:t>
            </w:r>
            <w:r w:rsidR="00000000" w:rsidRPr="00000000" w:rsidDel="00000000">
              <w:rPr>
                <w:vertAlign w:val="superscript"/>
                <w:rtl w:val="0"/>
              </w:rPr>
              <w:t xml:space="preserve">20 </w:t>
            </w:r>
            <w:r w:rsidR="00000000" w:rsidRPr="00000000" w:rsidDel="00000000">
              <w:rPr>
                <w:rtl w:val="0"/>
              </w:rPr>
              <w:t xml:space="preserve"> punktā minētā pieprasījuma saņemšanas, Valsts ieņēmumu dienests 15 darbdienu laikā izskata iesniegumu un rakstveidā paziņo lietotājam vai apkalpojošajam dienestam vai atbilstības pārbaudes institūcijai par izslēgšanu no Valsts ieņēmumu dienesta vienotās datubāzes (reģistra).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29.01.2025. 17:35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februāra noteikumos Nr. 96 "Nodokļu un citu maksājumu reģistrēšanas elektronisko ierīču un iekārtu lietošanas kārtība" (Latvijas Vēstnesis, 2014, 70. nr.; 2015, 103., 253. nr.; 2016, 189. nr.; 2017, 97. nr.; 2018, 236., 251. nr.; 2019, 73., 146. nr.; 2020, 242.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Ministru kabineta noteikumu projektā "Grozījumi Ministru kabineta 2014. gada 11. februāra noteikumos Nr. 96 "Nodokļu un citu maksājumu reģistrēšanas elektronisko ierīču un iekārtu lietošanas kārtība"" (turpmāk – projekts) paredzētā regulējuma, kas saistīts ar reakciju uz personas izdarītajiem pārkāpumiem vai piemēroto administratīvo atbildību, pieļaujamību kontekstā ar administratīvās atbildības esību, kā arī šādu pasākumu atbilstību soda pazīmēm un likumā noteiktajam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140. pantam ir paredzēta administratīvā atbildība par nodokļu un citu maksājumu reģistrēšanas elektronisko ierīču un iekārtu lietošanas prasību neievērošanu. Tā, piemēram, atbilstoši minētā panta otrajai daļai ir paredzēta administratīvā atbildība par normatīvajos aktos noteikto nodokļu un citu maksājumu reģistrēšanas elektronisko ierīču un iekārtu lietošanas kārtības un lietotāju pienākumu nepildīšanu.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11. februāra noteikumos Nr.96 "Nodokļu un citu maksājumu reģistrēšanas elektronisko ierīču un iekārtu lietošanas kārtība" (turpmāk – noteikumi) cita starpā ir noteikta nodokļu un citu maksājumu reģistrēšanas elektronisko ierīču un iekārtu lietošanas kārtība, nodokļu un citu maksājumu reģistrēšanas elektronisko ierīču un iekārtu lietotāju un apkalpojošo dienestu pienākumi, kā arī ir noteikta kārtība citos jautājumos. Proti, minētajos noteikumos ir noteikts regulējums, par kura neievērošanu personai var tikt piemērota administratīvā atbildība atbilstoši likuma "Par nodokļiem un nodevām" 140.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(piemēram, projekta 13. punkts) ir iecerēts paplašināt Valsts ieņēmumu dienesta tiesības gadījumos, kad personas neievēro normatīvajos aktos noteiktās prasības, paredzot Valsts ieņēmumu dienestam tiesības izslēgt no Valsts ieņēmumu dienesta vienotās datubāzes (reģistra) nodokļu maksātājam lietošanā reģistrēto elektronisko ierīci vai iekārtu, ja netiek ievērota šajos noteikumos noteiktā elektronisko ierīču un iekārtu lietošanas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projektu ir iecerēts par tiesību normu neievērošanu paralēli administratīvā pārkāpuma procesam paredzēt arī administratīvi tiesiskus pasākumus. Nav atbalstāma prakse, kad par vienu un to pašu darbību vai bezdarbību pret personu var tikt uzsākti divi dažādi procesi (šajā gadījumā administratīvā pārkāpuma process un administratīvais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projektā ietvertā regulējuma nepieciešamību, kā iespējamais risinājums varētu būt pārskatīt likumā "Par nodokļiem un nodevām" 140. pantā ietvertos administratīvos pārkāpumus un tajos gadījumos, kad ir nepieciešams, lai persona izpilda noteiktas normatīvo aktu prasības, paredzēt regulējumu tikai administratīvā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process ir vērsts uz normatīvajos aktos noteikto prasību izpildi, un Administratīvā procesa likuma ietvaros ir pieejami tiesiskie instrumenti normatīvajos aktos noteikto prasību izpildei. Tā, piemēram, atbilstoši Administratīvā procesa likuma 368. panta pirmajai daļai administratīvo aktu, kas uzliek adresātam pienākumu izpildīt noteiktu darbību vai aizliedz izpildīt noteiktu darbību, izpilda piespiedu kārtā ar aizvietotājizpildes, piespiedu naudas vai tiešā spēka palīdzību. Savukārt administratīvais sods paredzams tikai tajos gadījumos, kad nepieciešams reaģēt uz kādu personas izdarītu pārkāpumu, kurš vairs nav novēršams un ir ar augstu bīstamības pakāpi.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sistemātiski aicina normatīvo aktu izstrādātājus neparedzēt administratīvo atbildību gadījumos, kad ir nepieciešams, lai personas izpildītu normatīvo aktu prasības, jo administratīvā atbildība nenodrošina normatīvajos aktos noteikto prasību izpildi, informējot, ka,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ietvertā skaidrojuma izriet, ka arī likuma "Par nodokļiem un nodevām" 140. pantā atsevišķi administratīvie pārkāpumi būtu izslēdzami, un normatīvo aktu prasību izpilde būtu efektīvāk īstenojama administratīvā procesa ietvaros, jo administratīvais sods nenodrošina normatīvajos aktos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atkārtoti izvērtēt projektā noteikto regulējumu, kas paredz par vienu un to pašu darbību vai bezdarbību paralēli administratīvā pārkāpuma procesam arī administratīvo procesu un attiecīgi nolemt, kura procesa ietvaros nodrošināt prasību izpildi. Tieslietu ministrija neatbalsta tādu regulējumu, kas paredz normatīvajos aktos noteiktā regulējuma prasību izpildi divos dažādos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projektā paredzētie pasākumi jau paši par sevi neatbilst soda raksturam. Anotācijā nav raksturota izslēgšanas no Valsts ieņēmumu dienesta vienotās datubāzes (reģistra) nozīme (ietekme, šāda pasākuma būtība). Tādā gadījumā attiecīgus pasākumus nemaz nav pieļaujams regulēt ar Ministru kabineta noteikumu palīdzību. Tāpat izvērtējama projektā paredzētā regulējuma, kas saistīts ar pārkāpumiem vai administratīvā pārkāpuma procesu, atbilstība likumā "Par nodokļiem un nodevām" esošajiem pilnvarojumiem. Iekārtu reģistrēšanas kārtība var ietvert tikai procesuālus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 1.3. apakšpunkta 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2014.gada 11.februāra noteikumu Nr.96 "Nodokļu un citu maksājumu reģistrēšanas elektronisko ierīču un iekārtu lietošanas kārtība" (turpmāk – MK noteikumi Nr.96) 32.punktā noteiktajam kases aparāts, hibrīda kases aparāts, kases sistēma, specializētā ierīce vai iekārta (turpmāk - elektroniskā ierīce un iekārta) uzskatāma par izslēgtu no Valsts ieņēmumu dienesta (turpmāk – VID) vienotās datubāzes (reģistra) tikai tad, kad lietotājs triju darbdienu laikā ir apstiprinājis elektroniskās deklarēšanas sistēmā (turpmāk – EDS) apkalpojošā dienesta iesniegto ziņojumu par elektroniskās ierīces un iekārtas lietošanas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lietotājs minēto darbību neveic EDS, elektroniskās ierīces un iekārtas statuss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VID vienotajā datubāzē (reģistrā) ir norādīta nekorekta informācija par lietotājam faktiski lietošanā reģistrētajām elektroniskajām ierīcēm un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gadījumos, VID neuzsāk administratīvā pārkāpuma procesu, bet aicina lietotāju EDS apstiprināt apkalpojošā dienesta iesniegto ziņojumu par elektroniskās ierīces un iekārtas lietošanas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lietotājs neatsaucas uz VID aicinājumiem izpildīt minētās normatīvo aktu prasības, VID nav tiesību šādas elektroniskās ierīces un iekārtas noņemt no uzskaites.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lietotāji, kuri vairs neveic saimniecisko darbību ar segmentu “Neaktīvie”, vai kuriem nav aktuālas amatpersonas, ir tie kuri nav apstiprinājuši apkalpojošā dienesta iesniegto ziņojumu par elektroniskās ierīces un iekārtas lietošanas izbeigšanu un kuri neatsaucas uz VID 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administratīvā pārkāpuma procesa uzsākšana konkrētajos gadījumos nav lietderīga un nesasniedz mērķi - sakārtot VID vienotajā datubāzē (reģistrā) esošo informāciju par lietotāju reģistrētajām elektroniskajām ierīcēm un 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iebildumus, precizēts Ministru kabineta noteikumu projekta "Grozījumi Ministru kabineta 2014. gada 11. februāra noteikumos Nr.96 "Nodokļu un citu maksājumu reģistrēšanas elektronisko ierīču un iekārtu lietošanas kārtība"" (turpmāk – noteikumu projekts) 129.</w:t>
            </w:r>
            <w:r w:rsidR="00000000" w:rsidRPr="00000000" w:rsidDel="00000000">
              <w:rPr>
                <w:vertAlign w:val="superscript"/>
                <w:rtl w:val="0"/>
              </w:rPr>
              <w:t xml:space="preserve">22</w:t>
            </w:r>
            <w:r w:rsidR="00000000" w:rsidRPr="00000000" w:rsidDel="00000000">
              <w:rPr>
                <w:rtl w:val="0"/>
              </w:rPr>
              <w:t xml:space="preserve">1.3. apakšpunkts un projekta sākotnējās ietekmes (ex-ante) novērtējuma ziņojuma (turpmāk - anotācija) 1.3.apakšsadaļā ietvertais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121.</w:t>
            </w:r>
            <w:r w:rsidR="00000000" w:rsidRPr="00000000" w:rsidDel="00000000">
              <w:rPr>
                <w:vertAlign w:val="superscript"/>
                <w:rtl w:val="0"/>
              </w:rPr>
              <w:t xml:space="preserve">11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rosina papildināt 121.</w:t>
            </w:r>
            <w:r w:rsidR="00000000" w:rsidRPr="00000000" w:rsidDel="00000000">
              <w:rPr>
                <w:vertAlign w:val="superscript"/>
                <w:rtl w:val="0"/>
              </w:rPr>
              <w:t xml:space="preserve">11</w:t>
            </w:r>
            <w:r w:rsidR="00000000" w:rsidRPr="00000000" w:rsidDel="00000000">
              <w:rPr>
                <w:rtl w:val="0"/>
              </w:rPr>
              <w:t xml:space="preserve"> punktu, paredzot iespēju sākt izmantot pilnīgi jaunu kasi pirms tās iesniegšanas atbilstības pārbaudei, </w:t>
            </w:r>
            <w:r w:rsidR="00000000" w:rsidRPr="00000000" w:rsidDel="00000000">
              <w:rPr>
                <w:u w:val="single"/>
                <w:rtl w:val="0"/>
              </w:rPr>
              <w:t xml:space="preserve">iepriekš to saskaņojot 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uzstādīta kase, kas ir 90% identiska iepriekšējai, bet ir paredzēta citam tirdzniecības veidam, piemēram, elektrouzlādēm vai automazgātuvēm, tad atbilstoši regulējumam šādu iekārtu ir nepieciešams reģistrēt no jauna un uz šādiem gadījumiem neattiektos šis 121.</w:t>
            </w:r>
            <w:r w:rsidR="00000000" w:rsidRPr="00000000" w:rsidDel="00000000">
              <w:rPr>
                <w:vertAlign w:val="superscript"/>
                <w:rtl w:val="0"/>
              </w:rPr>
              <w:t xml:space="preserve">11</w:t>
            </w:r>
            <w:r w:rsidR="00000000" w:rsidRPr="00000000" w:rsidDel="00000000">
              <w:rPr>
                <w:rtl w:val="0"/>
              </w:rPr>
              <w:t xml:space="preserve"> punkts. Ja būtu iespējams uzstādīt jauna tipa kasi un paralēli to nodot atbilstības pārbaudei, tas ievērojami atvieglotu un veicinātu jaunu projektu ātrāku ieviešanu un mazinātu birokrātiju.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veikto izmaiņu apjoma kases sistēmas programmas versijā,  nav pieļaujams, ka darījumu reģistrēšanai tiks lietots elektronisko ierīču un iekārtu modelis vai programma, kurai nav veikta atbilstības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Nr.96 121.2 punktam elektronisko ierīču un iekārtu modeļu, modifikāciju un programmas versijas atbilstības pārbaudi veic institūcija, kas atbilst šo noteikumu prasībām un ir reģistrēta VID vienotajā datubāzē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 reģistrē VID vienotajā datubāzē (reģistrā) elektroniskās ierīces un iekārtas, ja tās nodrošina normatīvajos aktos par nodokļu un citu maksājumu reģistrēšanas elektronisko ierīču un iekārtu tehniskajām prasībām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VID kompetencē neietilpst elektronisko ierīču un iekārtu etalonmodeļu atbilstības pārbaužu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projekts paredz noteikt speciālu kārtību, kad atbilstības pārbaudi var neveikt uzreiz pēc katras programmas izmaiņas jau VID vienotajā datubāzē (reģistrā) reģistrētajai elektroniskajai ierīcei un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projekta pielikumā noteikto kritēriju priekšrocību piemērošanai. Ministru kabinetam vispārīgi nav tiesību regulēt jautājumus, kas saistīti ar administratīvo atbildību, piemērotajiem sodiem vai personas sodāmību, it īpaši jau mainīt administratīvās sodāmības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atbilstoši Administratīvās atbildības likuma 116. pantam administratīvā pārkāpuma procesu cita starpā var uzsākt uz iesnieguma pamata. Attiecīgi saņemot iesniegumu, pret personu var tikt uzsākts administratīvā pārkāpuma process. Ievērojot minēto, aicinām rūpīgi izvērtēt, vai pret personu uzsākts administratīvā pārkāpuma process, kurš var tikt izbeigts, ir pieļaujams kritērijs priekšrocību piemērošanai, jo personai var tikt liegtas priekšrocības nepamatoti uzsākta procesa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82.1.11. par apdrošināšanas starpnieku sniegtajiem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oktobrī LAA vērsās FM ar lūgumu veikt grozījumus Ministru kabineta 2014.gada 11.februāra noteikumu Nr.96  “Nodokļu un citu maksājumu reģistrēšanas elektronisko ierīču un iekārtu lietošanas kārtība” (turpmāk – Noteikumi), norādot šādu pamatojumu - šobrīd spēkā esošā redakcija paredz atbrīvojumu no pienākuma nodokļu maksātājam lietot kases aparātus, hibrīda kases aparātus, kases sistēmas, specializētās ierīces, bet darījumu apliecināt ar reģistrēto kvīti, ja tiek sniegti apdrošināšanas starpniecības pakalpojumi. Šāds formulējums atbilstoši šobrīd spēkā esošajam Apdrošināšanas un pārapdrošināšanas izplatīšanas likuma (turpmāk – Izplatīšanas likums) 1. panta 8. punktam ļauj reģistrētās kvītis darījumu apliecināšanā izmantot tikai  apdrošināšanas aģentiem un apdrošināšanas brokeriem, bet liedz to darīt apdrošināšanas komersantam un ārvalsts apdrošinātāja filiālei. Šāda situācija LAA ieskatā ir izveidojusies, jo līdz 2019.gada 25. aprīlim apdrošināšanas izplatīšanu regulēja Apdrošināšanas un pārapdrošināšanas starpnieku darbības likums (turpmāk – Starpniecības likums), kurā tika lietota atšķirīga terminoloģija (Starpniecības likums definēja </w:t>
            </w:r>
            <w:r w:rsidR="00000000" w:rsidRPr="00000000" w:rsidDel="00000000">
              <w:rPr>
                <w:b w:val="1"/>
                <w:rtl w:val="0"/>
              </w:rPr>
              <w:t xml:space="preserve">apdrošināšanas starpniecību</w:t>
            </w:r>
            <w:r w:rsidR="00000000" w:rsidRPr="00000000" w:rsidDel="00000000">
              <w:rPr>
                <w:rtl w:val="0"/>
              </w:rPr>
              <w:t xml:space="preserve">). Pieņemot Izplatīšanas likumu, Starpniecības likums zaudēja spēku, un tika ieviests jauns termins </w:t>
            </w:r>
            <w:r w:rsidR="00000000" w:rsidRPr="00000000" w:rsidDel="00000000">
              <w:rPr>
                <w:b w:val="1"/>
                <w:rtl w:val="0"/>
              </w:rPr>
              <w:t xml:space="preserve">apdrošināšanas izplatīšana</w:t>
            </w:r>
            <w:r w:rsidR="00000000" w:rsidRPr="00000000" w:rsidDel="00000000">
              <w:rPr>
                <w:rtl w:val="0"/>
              </w:rPr>
              <w:t xml:space="preserve">. Salīdzinot minētās definīcijas, ir secināms, ka saturiski tās ir gandrīz identiskas un abos likumos tiek lietotas vienā un tajā pašā izpratnē. Izplatīšanas likums ievieš arī jaunu terminu “apdrošināšanas izplatītājs,” tas ir, apdrošināšanas komersants, ārvalsts apdrošinātāja filiāle, apdrošināšanas starpnieks vai apdrošināšanas papildpakalpojuma starpnieks. Līdz ar to apdrošināšanas komersants, ārvalsts apdrošinātāja filiāle, tāpat kā apdrošināšanas starpnieks, ir viens no apdrošināšanas izplatītāju veidiem, kas sniedz apdrošināšanas izplatīšanas pakalpojumus. Vienlaikus Izplatīšanas likumā saglabājas termins “apdrošināšanas starpnieks,” attiecinot to uz apdrošināšanas brokeri un apdrošināšanas aģentu. Tādējādi veidoja situācija, ka Noteikumu 82. 1.11. punkts vairs nav attiecināms uz apdrošināšanas komersantu un ārvalsts apdrošinātāja filiāli.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Izplatīšanas likums ir pieņemts, pārņemot Latvijas normatīvajā regulējumā Eiropas Parlamenta un Padomes Direktīvu (ES) 2016/97 (2016. gada 20. janvāris) par apdrošināšanas izplatīšanu (turpmāk – Direktīva). Atbilstoši Direktīvas piektajam ievilkumam tiek norādīts, ka apdrošināšanas pakalpojumus var izplatīt dažādas personas vai iestādes, piemēram, aģenti, brokeri un apdrošināšanas pakalpojumu sniedzēji bankās, apdrošināšanas sabiedrības, ceļojumu aģentūras un automobiļu nomas uzņēmumi. Vienlīdzīga attieksme pret operatoriem, kā arī klientu aizsardzība nosaka vajadzību šo direktīvu attiecināt uz visām minētajām personām un iestādēm. Ņemot vērā minēto, LAA ieskatā piedāvātie grozījumi Noteikumos palīdzēs mainīt situāciju, kas izveidojusies, mainoties normatīvajam regulējumam, un novērst atšķirīgu pieeju pret dažādiem apdrošināšanas izplatītājiem, kuri sniedz līdzīgus apdrošināšanas izplatīšanas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savā atbildes vēstule LAA 2023.gada novembrī norāda, ka Finanšu ministrija sadarbībā ar Valsts ieņēmumu dienestu ir iepazinusies ar priekšlikumu un atbalsta grozījumu veikšanu Noteikumos, pārskatot tajos ietvertos atbrīvojumus no elektronisko ierīču un iekārtu lietošanas atbilstoši izmaiņām, kas veiktas apdrošināšanas jomas normatīvajā regulējumā. Turklāt FM minētajā vēstulē apliecināja, ka attiecīgie grozījumi tiks iekļauti tuvākajā izstrādātajā Ministru kabineta noteikumu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šo grozījumu nepieciešamības konstatēšanas ir pagājis jau vairāk kā gads un šobrīd tiek gatavoti grozījumi minētajiem noteikumiem, lūdzam iekļaut šo grozījumu šobrīd virzītajā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82.1.11. par apdrošināšanas </w:t>
            </w:r>
            <w:r w:rsidR="00000000" w:rsidRPr="00000000" w:rsidDel="00000000">
              <w:rPr>
                <w:b w:val="1"/>
                <w:rtl w:val="0"/>
              </w:rPr>
              <w:t xml:space="preserve">izplatītāju</w:t>
            </w:r>
            <w:r w:rsidR="00000000" w:rsidRPr="00000000" w:rsidDel="00000000">
              <w:rPr>
                <w:rtl w:val="0"/>
              </w:rPr>
              <w:t xml:space="preserve">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konceptuāli neiebilst pret LAA ierosinājumu grozīt MK noteikumus Nr.96 attiecībā uz atbrīvojuma no elektronisko ierīču un iekārtu lietošanas noteikšanas.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mūsdienu digitalizācijas tendences un to, ka samaksu par apdrošināšanas, kredītiestāžu un Latvijas Bankas darījumiem var saņemt ne tikai skaidrā naudā, bet arī ar maksājumu kartēm vai izmantojot mobilās lietotnes, noteikumu projekta attiecīgās normas precizētas. Proti: MK noteikumu Nr.96 82.1.11.apakšpunkts svītrots, 84.1.apakšpunkts precizēts un papildināts ar 82.4. un 84.14.apakšpunktu.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nepiekrītam LAA iebilduma pamatojumam un secinājumam, ka apdrošināšanas starpnieki un apdrošināšanas izplatītāji ir gandrīz identiski termini un tiek lietoti vienā un tajā pašā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termins “apdrošināšanas izplatītājs” aptver visus apdrošināšanas tirgus dalībniekus - apdrošināšanas sabiedrības un dalībvalstu apdrošinātāju filiāles, apdrošināšanas brokerus, t.sk. dalībvalstu apdrošināšanas brokeru filiāles, apdrošināšanas aģentus, t.sk. kredītiestādes, apdrošināšanas papildpakalpojumu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82.1.11. apakšpunkts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11</w:t>
            </w:r>
            <w:r w:rsidR="00000000" w:rsidRPr="00000000" w:rsidDel="00000000">
              <w:rPr>
                <w:rtl w:val="0"/>
              </w:rPr>
              <w:t xml:space="preserve"> Ja lietotājam, kuram Valsts ieņēmumu dienesta noteiktajā nodokļu maksātāju reitinga kopējā novērtējumā ir noteikts augstākais reitinga līmenis iepriekšējo divpadsmit mēnešu laikā, un kurš atbilst šo noteikumu 6. pielikumā minētajiem kritērijiem, ir nepieciešams veikt izmaiņas Valsts ieņēmumu dienesta vienotajā datubāzē (reģistrā) reģistrētā un lietotājam uzstādītajā kases sistēmas programmā, kā rezultātā mainās kases sistēmas programmai aprēķinātā Hash SHA-256 kontrolsumma: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projekts ir izstrādāts, pamatojoties uz likuma "Par nodokļiem un nodevām" 28.</w:t>
            </w:r>
            <w:r w:rsidR="00000000" w:rsidRPr="00000000" w:rsidDel="00000000">
              <w:rPr>
                <w:vertAlign w:val="superscript"/>
                <w:rtl w:val="0"/>
              </w:rPr>
              <w:t xml:space="preserve">1</w:t>
            </w:r>
            <w:r w:rsidR="00000000" w:rsidRPr="00000000" w:rsidDel="00000000">
              <w:rPr>
                <w:rtl w:val="0"/>
              </w:rPr>
              <w:t xml:space="preserve"> panta piektajā un sestajā daļā noteikto pilnvarojumu Ministru kabinetam, proti, </w:t>
            </w:r>
            <w:r w:rsidR="00000000" w:rsidRPr="00000000" w:rsidDel="00000000">
              <w:rPr>
                <w:u w:val="single"/>
                <w:rtl w:val="0"/>
              </w:rPr>
              <w:t xml:space="preserve">Ministru kabinets nosaka elektronisko ierīču un iekārtu lietotājus un lietošanas kārtību, darījumus apliecinošo dokumentu veidus un rekvizītus, šo ierīču un iekārtu lietotāju un apkalpojošo dienestu pienākumus, kā arī kārtību, kādā elektroniskās ierīces un iekārtas, to lietotāji un apkalpojošie dienesti reģistrējami vienotajā datu bāzē (reģistrā), un to uzraudzības un kontroles kārtību, kā arī kārtību, kādā veic elektronisko ierīču un iekārtu atbilstības pārbaudi un apliecina to atbilstību normatīvajiem aktiem, kuri nosaka nodokļu un citu maksājumu reģistrēšanas elektronisko ierīču un iekārtu tehniskās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pilnvarojuma Ministru kabinetam </w:t>
            </w:r>
            <w:r w:rsidR="00000000" w:rsidRPr="00000000" w:rsidDel="00000000">
              <w:rPr>
                <w:u w:val="single"/>
                <w:rtl w:val="0"/>
              </w:rPr>
              <w:t xml:space="preserve">neizriet tiesības noteikt kases aparāta, hibrīda kases aparāta, kases sistēmas, specializētās ierīces vai iekārtas sertifikācijas priekšrocības, t.sk., attiecīgos kritērijus, kas ietverti projektā paredzētajā noteikumu 6. pielikumā</w:t>
            </w:r>
            <w:r w:rsidR="00000000" w:rsidRPr="00000000" w:rsidDel="00000000">
              <w:rPr>
                <w:rtl w:val="0"/>
              </w:rPr>
              <w:t xml:space="preserve">. Turklāt vēršam uzmanību uz to, ka normatīvā akta pielikumos ietver shēmas, tabulas u.tml., nevis regulējumu, kuru ietver normatīvā akta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 Tāpat </w:t>
            </w:r>
            <w:r w:rsidR="00000000" w:rsidRPr="00000000" w:rsidDel="00000000">
              <w:rPr>
                <w:u w:val="single"/>
                <w:rtl w:val="0"/>
              </w:rPr>
              <w:t xml:space="preserve">Ministru kabinets nevar ne paplašināt, ne sašaurināt likumdevēja noteikta pilnvarojuma apjomu</w:t>
            </w:r>
            <w:r w:rsidR="00000000" w:rsidRPr="00000000" w:rsidDel="00000000">
              <w:rPr>
                <w:rtl w:val="0"/>
              </w:rPr>
              <w:t xml:space="preserve">. Līdz ar to, lai papildinātu noteikumus ar jaunu regulējumu, nepieciešams attiecīgs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atbilstoši likuma "Par nodokļiem un nodevām" 28.</w:t>
            </w:r>
            <w:r w:rsidR="00000000" w:rsidRPr="00000000" w:rsidDel="00000000">
              <w:rPr>
                <w:vertAlign w:val="superscript"/>
                <w:rtl w:val="0"/>
              </w:rPr>
              <w:t xml:space="preserve">1</w:t>
            </w:r>
            <w:r w:rsidR="00000000" w:rsidRPr="00000000" w:rsidDel="00000000">
              <w:rPr>
                <w:rtl w:val="0"/>
              </w:rPr>
              <w:t xml:space="preserve"> panta piektajā un sestajā daļā noteiktajam pilnvarojumam Ministru kabinetam. Turklāt noteikumu grozījumus, ka neatbilst šobrīd spēkā esošajam pilnvarojumam Ministru kabinetam, lūdzam virzīt pēc tam, kad būs pieņemti attiecīgi grozījumi likuma "Par nodokļiem un nodevām" 28.</w:t>
            </w:r>
            <w:r w:rsidR="00000000" w:rsidRPr="00000000" w:rsidDel="00000000">
              <w:rPr>
                <w:vertAlign w:val="superscript"/>
                <w:rtl w:val="0"/>
              </w:rPr>
              <w:t xml:space="preserve">1</w:t>
            </w:r>
            <w:r w:rsidR="00000000" w:rsidRPr="00000000" w:rsidDel="00000000">
              <w:rPr>
                <w:rtl w:val="0"/>
              </w:rPr>
              <w:t xml:space="preserve"> panta piektajā un sestajā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attiecīgās normas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11</w:t>
            </w:r>
            <w:r w:rsidR="00000000" w:rsidRPr="00000000" w:rsidDel="00000000">
              <w:rPr>
                <w:rtl w:val="0"/>
              </w:rPr>
              <w:t xml:space="preserve"> Ja lietotājam, kuram Valsts ieņēmumu dienesta noteiktajā nodokļu maksātāju reitinga kopējā novērtējumā ir noteikts augstākais reitinga līmenis iepriekšējo divpadsmit mēnešu laikā, ir nepieciešams veikt izmaiņas Valsts ieņēmumu dienesta vienotajā datubāzē (reģistrā) reģistrētā un lietotājam uzstādītajā kases sistēmas programmā, kā rezultātā mainās kases sistēmas programmai aprēķinātā Hash SHA-256 kontrolsumma: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21</w:t>
            </w:r>
            <w:r w:rsidR="00000000" w:rsidRPr="00000000" w:rsidDel="00000000">
              <w:rPr>
                <w:rtl w:val="0"/>
              </w:rPr>
              <w:t xml:space="preserve"> Valsts ieņēmumu dienests 15 darbdienu laikā pēc šo noteikumu 129.</w:t>
            </w:r>
            <w:r w:rsidR="00000000" w:rsidRPr="00000000" w:rsidDel="00000000">
              <w:rPr>
                <w:vertAlign w:val="superscript"/>
                <w:rtl w:val="0"/>
              </w:rPr>
              <w:t xml:space="preserve">20 </w:t>
            </w:r>
            <w:r w:rsidR="00000000" w:rsidRPr="00000000" w:rsidDel="00000000">
              <w:rPr>
                <w:rtl w:val="0"/>
              </w:rPr>
              <w:t xml:space="preserve"> punktā minētā pieprasījuma saņemšanas, rakstveidā informē lietotāju vai apkalpojošo dienestu vai atbilstības pārbaudes institūciju par izslēgšanu no Valsts ieņēmumu dienesta vienotās datubāzes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likuma 70. panta pirmajā daļā noteiktajam iestādes izdotu </w:t>
            </w:r>
            <w:r w:rsidR="00000000" w:rsidRPr="00000000" w:rsidDel="00000000">
              <w:rPr>
                <w:u w:val="single"/>
                <w:rtl w:val="0"/>
              </w:rPr>
              <w:t xml:space="preserve">administratīvo aktu paziņo</w:t>
            </w:r>
            <w:r w:rsidR="00000000" w:rsidRPr="00000000" w:rsidDel="00000000">
              <w:rPr>
                <w:rtl w:val="0"/>
              </w:rPr>
              <w:t xml:space="preserve"> adresātam, nevis informē par to, ko lēmusi iestāde, lūdzam precizēt projektā paredzēto noteikumu 129.</w:t>
            </w:r>
            <w:r w:rsidR="00000000" w:rsidRPr="00000000" w:rsidDel="00000000">
              <w:rPr>
                <w:vertAlign w:val="superscript"/>
                <w:rtl w:val="0"/>
              </w:rPr>
              <w:t xml:space="preserve">21</w:t>
            </w:r>
            <w:r w:rsidR="00000000" w:rsidRPr="00000000" w:rsidDel="00000000">
              <w:rPr>
                <w:rtl w:val="0"/>
              </w:rPr>
              <w:t xml:space="preserve">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129.</w:t>
            </w:r>
            <w:r w:rsidR="00000000" w:rsidRPr="00000000" w:rsidDel="00000000">
              <w:rPr>
                <w:vertAlign w:val="superscript"/>
                <w:rtl w:val="0"/>
              </w:rPr>
              <w:t xml:space="preserve">21</w:t>
            </w:r>
            <w:r w:rsidR="00000000" w:rsidRPr="00000000" w:rsidDel="00000000">
              <w:rPr>
                <w:rtl w:val="0"/>
              </w:rPr>
              <w:t xml:space="preserve"> punkta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21</w:t>
            </w:r>
            <w:r w:rsidR="00000000" w:rsidRPr="00000000" w:rsidDel="00000000">
              <w:rPr>
                <w:rtl w:val="0"/>
              </w:rPr>
              <w:t xml:space="preserve"> Pēc šo noteikumu 129.</w:t>
            </w:r>
            <w:r w:rsidR="00000000" w:rsidRPr="00000000" w:rsidDel="00000000">
              <w:rPr>
                <w:vertAlign w:val="superscript"/>
                <w:rtl w:val="0"/>
              </w:rPr>
              <w:t xml:space="preserve">20 </w:t>
            </w:r>
            <w:r w:rsidR="00000000" w:rsidRPr="00000000" w:rsidDel="00000000">
              <w:rPr>
                <w:rtl w:val="0"/>
              </w:rPr>
              <w:t xml:space="preserve"> punktā minētā pieprasījuma saņemšanas, Valsts ieņēmumu dienests 15 darbdienu laikā izskata iesniegumu un rakstveidā paziņo lietotājam vai apkalpojošajam dienestam vai atbilstības pārbaudes institūcijai par izslēgšanu no Valsts ieņēmumu dienesta vienotās datubāzes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21</w:t>
            </w:r>
            <w:r w:rsidR="00000000" w:rsidRPr="00000000" w:rsidDel="00000000">
              <w:rPr>
                <w:rtl w:val="0"/>
              </w:rPr>
              <w:t xml:space="preserve"> Valsts ieņēmumu dienests 15 darbdienu laikā pēc šo noteikumu 129.</w:t>
            </w:r>
            <w:r w:rsidR="00000000" w:rsidRPr="00000000" w:rsidDel="00000000">
              <w:rPr>
                <w:vertAlign w:val="superscript"/>
                <w:rtl w:val="0"/>
              </w:rPr>
              <w:t xml:space="preserve">20 </w:t>
            </w:r>
            <w:r w:rsidR="00000000" w:rsidRPr="00000000" w:rsidDel="00000000">
              <w:rPr>
                <w:rtl w:val="0"/>
              </w:rPr>
              <w:t xml:space="preserve"> punktā minētā pieprasījuma saņemšanas, rakstveidā informē lietotāju vai apkalpojošo dienestu vai atbilstības pārbaudes institūciju par izslēgšanu no Valsts ieņēmumu dienesta vienotās datubāzes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Paziņošanas likums nenoteic konkrētu termiņu, kādā jāpaziņo dokuments, tomēr tam jābūt saprātīgam, proti, 15 darbdienas dokumenta paziņošanai ir nesamērīgs termiņš, tādēļ lūdzam precizēt projektā paredzēto noteikumu 129.</w:t>
            </w:r>
            <w:r w:rsidR="00000000" w:rsidRPr="00000000" w:rsidDel="00000000">
              <w:rPr>
                <w:vertAlign w:val="superscript"/>
                <w:rtl w:val="0"/>
              </w:rPr>
              <w:t xml:space="preserve">21</w:t>
            </w:r>
            <w:r w:rsidR="00000000" w:rsidRPr="00000000" w:rsidDel="00000000">
              <w:rPr>
                <w:rtl w:val="0"/>
              </w:rPr>
              <w:t xml:space="preserve">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129.</w:t>
            </w:r>
            <w:r w:rsidR="00000000" w:rsidRPr="00000000" w:rsidDel="00000000">
              <w:rPr>
                <w:vertAlign w:val="superscript"/>
                <w:rtl w:val="0"/>
              </w:rPr>
              <w:t xml:space="preserve">21</w:t>
            </w:r>
            <w:r w:rsidR="00000000" w:rsidRPr="00000000" w:rsidDel="00000000">
              <w:rPr>
                <w:rtl w:val="0"/>
              </w:rPr>
              <w:t xml:space="preserve"> punkta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21</w:t>
            </w:r>
            <w:r w:rsidR="00000000" w:rsidRPr="00000000" w:rsidDel="00000000">
              <w:rPr>
                <w:rtl w:val="0"/>
              </w:rPr>
              <w:t xml:space="preserve"> Pēc šo noteikumu 129.</w:t>
            </w:r>
            <w:r w:rsidR="00000000" w:rsidRPr="00000000" w:rsidDel="00000000">
              <w:rPr>
                <w:vertAlign w:val="superscript"/>
                <w:rtl w:val="0"/>
              </w:rPr>
              <w:t xml:space="preserve">20 </w:t>
            </w:r>
            <w:r w:rsidR="00000000" w:rsidRPr="00000000" w:rsidDel="00000000">
              <w:rPr>
                <w:rtl w:val="0"/>
              </w:rPr>
              <w:t xml:space="preserve"> punktā minētā pieprasījuma saņemšanas, Valsts ieņēmumu dienests 15 darbdienu laikā izskata iesniegumu un rakstveidā paziņo lietotājam vai apkalpojošajam dienestam vai atbilstības pārbaudes institūcijai par izslēgšanu no Valsts ieņēmumu dienesta vienotās datubāzes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26</w:t>
            </w:r>
            <w:r w:rsidR="00000000" w:rsidRPr="00000000" w:rsidDel="00000000">
              <w:rPr>
                <w:rtl w:val="0"/>
              </w:rPr>
              <w:t xml:space="preserve"> Šo noteikumu 129.</w:t>
            </w:r>
            <w:r w:rsidR="00000000" w:rsidRPr="00000000" w:rsidDel="00000000">
              <w:rPr>
                <w:vertAlign w:val="superscript"/>
                <w:rtl w:val="0"/>
              </w:rPr>
              <w:t xml:space="preserve">14</w:t>
            </w:r>
            <w:r w:rsidR="00000000" w:rsidRPr="00000000" w:rsidDel="00000000">
              <w:rPr>
                <w:rtl w:val="0"/>
              </w:rPr>
              <w:t xml:space="preserve">, 129.</w:t>
            </w:r>
            <w:r w:rsidR="00000000" w:rsidRPr="00000000" w:rsidDel="00000000">
              <w:rPr>
                <w:vertAlign w:val="superscript"/>
                <w:rtl w:val="0"/>
              </w:rPr>
              <w:t xml:space="preserve">15</w:t>
            </w:r>
            <w:r w:rsidR="00000000" w:rsidRPr="00000000" w:rsidDel="00000000">
              <w:rPr>
                <w:rtl w:val="0"/>
              </w:rPr>
              <w:t xml:space="preserve"> un 129.</w:t>
            </w:r>
            <w:r w:rsidR="00000000" w:rsidRPr="00000000" w:rsidDel="00000000">
              <w:rPr>
                <w:vertAlign w:val="superscript"/>
                <w:rtl w:val="0"/>
              </w:rPr>
              <w:t xml:space="preserve">25</w:t>
            </w:r>
            <w:r w:rsidR="00000000" w:rsidRPr="00000000" w:rsidDel="00000000">
              <w:rPr>
                <w:rtl w:val="0"/>
              </w:rPr>
              <w:t xml:space="preserve"> punktā minētajos gadījumos pieņemtā lēmuma par izslēgšanu no Valsts ieņēmumu dienesta vienotās datubāzes (reģistra) pārsūdzēšana neaptur tā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80. panta pirmā daļa noteic, ka </w:t>
            </w:r>
            <w:r w:rsidR="00000000" w:rsidRPr="00000000" w:rsidDel="00000000">
              <w:rPr>
                <w:u w:val="single"/>
                <w:rtl w:val="0"/>
              </w:rPr>
              <w:t xml:space="preserve">iesniegums par administratīvā akta apstrīdēšanu aptur tā darbību no dienas, kad iesniegums saņemts iestādē, izņemot gadījumus, kas paredzēti šā likuma 360. panta otrajā un trešajā daļā, kā arī gadījumos, kad iesniegumu iesniedzis labvēlīga administratīvā akta adresāts, lai panāktu vēl labvēlīgāka administratīvā akta izdošanu, vai ja iesniegums iesniegts par vispārīgo administratīvo aktu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185. panta pirmā daļa noteic, ka </w:t>
            </w:r>
            <w:r w:rsidR="00000000" w:rsidRPr="00000000" w:rsidDel="00000000">
              <w:rPr>
                <w:u w:val="single"/>
                <w:rtl w:val="0"/>
              </w:rPr>
              <w:t xml:space="preserve">pieteikuma iesniegšana tiesā par administratīvā akta atcelšanu, atzīšanu par spēku zaudējušu vai spēkā neesošu aptur administratīvā akta darbību no dienas, kad pieteikums saņemts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360. panta otrā un trešā daļas noteic, ka </w:t>
            </w:r>
            <w:r w:rsidR="00000000" w:rsidRPr="00000000" w:rsidDel="00000000">
              <w:rPr>
                <w:u w:val="single"/>
                <w:rtl w:val="0"/>
              </w:rPr>
              <w:t xml:space="preserve">administratīvo aktu var izpildīt piespiedu kārtā jau ar spēkā stāšanās brīdi, negaidot, kad tas kļuvis neapstrīdams un līdz piespiedu izpildes sākumam vēl nav izpildīts labprātīgi, ja: 1) izpilde ar spēkā stāšanās brīdi paredzēta citā likumā; 2) iestāde administratīvajā aktā īpaši nosaka, ka tas izpildāms jau ar spēkā stāšanās brīdi, pamatojot steidzamību ar to, ka jebkura kavēšanās tieši apdraud valsts drošību, sabiedrisko kārtību, vidi, personas dzīvību, veselību vai mantu; 3) administratīvais akts izdots saskaņā ar šā likuma 69. panta pirmās daļas noteikumiem. Policijas, robežsardzes, ugunsdzēsības dienesta un citu likumā pilnvarotu amatpersonu administratīvie akti, kas izdoti, lai nekavējoties novērstu tiešus draudus valsts drošībai, sabiedriskajai kārtībai, videi, personas dzīvībai, veselībai un mantai, ir izpildāmi piespiedu kārtā jau ar to spēkā stāšanās brīdi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w:t>
            </w:r>
            <w:r w:rsidR="00000000" w:rsidRPr="00000000" w:rsidDel="00000000">
              <w:rPr>
                <w:u w:val="single"/>
                <w:rtl w:val="0"/>
              </w:rPr>
              <w:t xml:space="preserve">iestādes lēmums ir apstrīdams un tikai tad pārsūdzams</w:t>
            </w:r>
            <w:r w:rsidR="00000000" w:rsidRPr="00000000" w:rsidDel="00000000">
              <w:rPr>
                <w:rtl w:val="0"/>
              </w:rPr>
              <w:t xml:space="preserve">, kā arī </w:t>
            </w:r>
            <w:r w:rsidR="00000000" w:rsidRPr="00000000" w:rsidDel="00000000">
              <w:rPr>
                <w:u w:val="single"/>
                <w:rtl w:val="0"/>
              </w:rPr>
              <w:t xml:space="preserve">noteikumi nav likums, kurā var paredzēt speciālu regulējumu</w:t>
            </w:r>
            <w:r w:rsidR="00000000" w:rsidRPr="00000000" w:rsidDel="00000000">
              <w:rPr>
                <w:rtl w:val="0"/>
              </w:rPr>
              <w:t xml:space="preserve">, lūdzam svītrot projektā paredzēto noteikumu. 129.</w:t>
            </w:r>
            <w:r w:rsidR="00000000" w:rsidRPr="00000000" w:rsidDel="00000000">
              <w:rPr>
                <w:vertAlign w:val="superscript"/>
                <w:rtl w:val="0"/>
              </w:rPr>
              <w:t xml:space="preserve">26</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apsvērt iespēju 6. pielikumā, </w:t>
            </w:r>
            <w:r w:rsidR="00000000" w:rsidRPr="00000000" w:rsidDel="00000000">
              <w:rPr>
                <w:i w:val="1"/>
                <w:rtl w:val="0"/>
              </w:rPr>
              <w:t xml:space="preserve">Kritēriji kases aparāta, hibrīda kases aparāta, kases sistēmas, specializētās ierīces vai iekārtas sertifikācijas priekšrocību piemērošanai</w:t>
            </w:r>
            <w:r w:rsidR="00000000" w:rsidRPr="00000000" w:rsidDel="00000000">
              <w:rPr>
                <w:rtl w:val="0"/>
              </w:rPr>
              <w:t xml:space="preserve">, pārskatīt 1. punktu – </w:t>
            </w:r>
            <w:r w:rsidR="00000000" w:rsidRPr="00000000" w:rsidDel="00000000">
              <w:rPr>
                <w:i w:val="1"/>
                <w:rtl w:val="0"/>
              </w:rPr>
              <w:t xml:space="preserve">saimniecisko darbību veic ilgāk par trim gadiem</w:t>
            </w:r>
            <w:r w:rsidR="00000000" w:rsidRPr="00000000" w:rsidDel="00000000">
              <w:rPr>
                <w:rtl w:val="0"/>
              </w:rPr>
              <w:t xml:space="preserve">. Aicinām izskatīt iespēju atvieglot prasību par trīs gadu darbības pieredzi, lai ļautu arī jauniem, bet godprātīgiem uzņēmumiem pretendēt uz priekšrocībām. Piemēram, varētu noteikt minimālu divu gadu periodu, kas nodrošinātu vienlīdzīgu piekļuvi sertifikācijas priekšrocībām uzņēmumiem ar mazāku darbības pieredzi, bet ar labu reputāciju un atbilstību pārējiem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saimniecisko darbību veic ilgāk par diviem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pamatojoties uz likuma “Par nodokļiem un nodevām 18.panta pirmās daļas 36.punktu, ar  2024.gada 1.janvāri, lai veicinātu labprātīgu nodokļu saistību izpildi, visi uzņēmumi tiek pakļauti VID noteiktajam reitinga kopējam novērtējumam, tātad visi uzņēmumi atrodas vienādos un salīdzināmos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 reitings ir VID veidots vērtējums par uzņēmuma nodokļu saistību izpildi, uz reitinga noteikšanas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Rādītāji, kuri apskata uzņēmuma uzvedību nodokļu saistību izpildes jomā, tiek novērtēti par noteiktu laika periodu – no sešiem mēnešiem līdz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seši mēneši – vērtē deklarāciju un pārskatu iesniegšanas faktu un iesniegšanas termiņa kavējumus, analizē nodokļu maksātāja deklarācijās un pārskatos sniegto informāciju, vērtē deklarācijās un pārskatos deklarētās aprēķinātās nodokļu summas iemaksai valsts budžetā, valsts budžetā veiktās nodokļu iemaksas, vērtē darba samaksas līmeni, salīdzinot to ar vidējiem rādītājiem valstī, nozarē un reģionā, vērtē trešo pušu datus attiecībā par darbinieku un darba samaksas nedeklarēšanu.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mēneši – vērtē VID veiktās nodokļu parādu piedziņas darbības, uzlikto administratīvo sodu summu par konstatētajiem pārkāpumiem nodokļu un muitas jomā, nodokļu un muitas administrēšanas pasākumu rezultātā papildus nomaksai budžetā aprēķināto nodokļu un muitas maksājumu summu, PVN riskus, ko izmanto reitinga noteikšanā,  izslēgšanas procesa no VID PVN maksātāju reģistra uzsākšanu un pārtraukšanu, uzņēmuma atkārtotu reģistrēšanu VID PVN maksātāju reģistrā, saņemto informāciju no Valsts darba inspekcijas par konstatētajiem nelegālās nodarbinātības gadījumiem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mēneši – vērtē informāciju par uzņēmuma amatpersonu rīcību nodokļu saistību izpildes jomā, informāciju par pieņemto lēmumu par soda naudas piemērošanu par transfertcenu dokumentācijas nesniegšanu vai sagatavošanas prasību pārkāpumiem un uzliktā soda apmēru, un uzņēmuma izslēgšanu no VID PVN maksātāju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projektā noteiktais priekšnoteikums -  saimniecisko darbību veic ilgāk par trim gadiem, ir tieši saistīts ar nodokļu maksātāja reitinga kopējo novērtējumu rādītāju, kas sniedz pilnīgu informāciju par uzņēmuma darbību un nodokļu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korektu datumu, kad tika pieņemti grozījumi likumā "Par nodokļiem un nodevām", kas paredzēja izslēgt regulējumu par Padziļinātās sadarbības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labots datums, kad pieņemti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 Valsts ieņēmumu dienestam ir tiesības izslēgt no Valsts ieņēmumu dienesta vienotās datubāzes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iestāžu juridisko dienestu vadītāju 2020. gada 22. oktobra sanāksmes protokola Nr. 2 1. § 2.1. apakšpunktā ir norādīts, ka, izstrādājot jaunu pilnvarojumu, savlaicīgi izsvērt nākotnes regulējuma saturu un gadījumā, </w:t>
            </w:r>
            <w:r w:rsidR="00000000" w:rsidRPr="00000000" w:rsidDel="00000000">
              <w:rPr>
                <w:u w:val="single"/>
                <w:rtl w:val="0"/>
              </w:rPr>
              <w:t xml:space="preserve">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w:t>
            </w:r>
            <w:r w:rsidR="00000000" w:rsidRPr="00000000" w:rsidDel="00000000">
              <w:rPr>
                <w:u w:val="single"/>
                <w:rtl w:val="0"/>
              </w:rPr>
              <w:t xml:space="preserve"> no likuma "Par nodokļiem un nodevām" 28.</w:t>
            </w:r>
            <w:r w:rsidR="00000000" w:rsidRPr="00000000" w:rsidDel="00000000">
              <w:rPr>
                <w:u w:val="single"/>
                <w:vertAlign w:val="superscript"/>
                <w:rtl w:val="0"/>
              </w:rPr>
              <w:t xml:space="preserve">1</w:t>
            </w:r>
            <w:r w:rsidR="00000000" w:rsidRPr="00000000" w:rsidDel="00000000">
              <w:rPr>
                <w:u w:val="single"/>
                <w:rtl w:val="0"/>
              </w:rPr>
              <w:t xml:space="preserve"> panta piektajā un sestajā daļā noteiktā pilnvarojuma Ministru kabinetam neizriet, ka Valts ieņēmumu dienests var izdot personai nelabvēlīgu administratīvo aktu, proti, noteikt nelabvēlīgu administratīvo aktu izdošanas kārtību, gadījumus, kuros izdod nelabvēlīgus administratīvos aktus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paredzētā noteikumu 129.</w:t>
            </w:r>
            <w:r w:rsidR="00000000" w:rsidRPr="00000000" w:rsidDel="00000000">
              <w:rPr>
                <w:vertAlign w:val="superscript"/>
                <w:rtl w:val="0"/>
              </w:rPr>
              <w:t xml:space="preserve">22</w:t>
            </w:r>
            <w:r w:rsidR="00000000" w:rsidRPr="00000000" w:rsidDel="00000000">
              <w:rPr>
                <w:rtl w:val="0"/>
              </w:rPr>
              <w:t xml:space="preserve"> 129.</w:t>
            </w:r>
            <w:r w:rsidR="00000000" w:rsidRPr="00000000" w:rsidDel="00000000">
              <w:rPr>
                <w:vertAlign w:val="superscript"/>
                <w:rtl w:val="0"/>
              </w:rPr>
              <w:t xml:space="preserve">23</w:t>
            </w:r>
            <w:r w:rsidR="00000000" w:rsidRPr="00000000" w:rsidDel="00000000">
              <w:rPr>
                <w:rtl w:val="0"/>
              </w:rPr>
              <w:t xml:space="preserve"> un 129.</w:t>
            </w:r>
            <w:r w:rsidR="00000000" w:rsidRPr="00000000" w:rsidDel="00000000">
              <w:rPr>
                <w:vertAlign w:val="superscript"/>
                <w:rtl w:val="0"/>
              </w:rPr>
              <w:t xml:space="preserve">24</w:t>
            </w:r>
            <w:r w:rsidR="00000000" w:rsidRPr="00000000" w:rsidDel="00000000">
              <w:rPr>
                <w:rtl w:val="0"/>
              </w:rPr>
              <w:t xml:space="preserve"> punkta atbilstību likuma "Par nodokļiem un nodevām" 28.</w:t>
            </w:r>
            <w:r w:rsidR="00000000" w:rsidRPr="00000000" w:rsidDel="00000000">
              <w:rPr>
                <w:vertAlign w:val="superscript"/>
                <w:rtl w:val="0"/>
              </w:rPr>
              <w:t xml:space="preserve">1</w:t>
            </w:r>
            <w:r w:rsidR="00000000" w:rsidRPr="00000000" w:rsidDel="00000000">
              <w:rPr>
                <w:rtl w:val="0"/>
              </w:rPr>
              <w:t xml:space="preserve"> panta piektajā un sestajā daļā noteiktajam pilnvarojumam Ministru kabinetam un paredzēt attiecīgus grozījumus likumā "Par nodokļiem un nodevām", kad likumā "Par nodokļiem un nodevām" tiks izstrādāti citi grozījumi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šobrīd MK noteikumu Nr.96 129.</w:t>
            </w:r>
            <w:r w:rsidR="00000000" w:rsidRPr="00000000" w:rsidDel="00000000">
              <w:rPr>
                <w:vertAlign w:val="superscript"/>
                <w:rtl w:val="0"/>
              </w:rPr>
              <w:t xml:space="preserve">17</w:t>
            </w:r>
            <w:r w:rsidR="00000000" w:rsidRPr="00000000" w:rsidDel="00000000">
              <w:rPr>
                <w:rtl w:val="0"/>
              </w:rPr>
              <w:t xml:space="preserve"> punktā ir noteikta kārtība, kādā VID no VID vienotās datubāzes (reģistra) izslēdz uz lietotāja vārda reģistrētās elektroniskās ierīces un iekārtas, apkalpojošos dienestus, elektronisko ierīču un iekārtu modeļus vai modifikācijas, atbilstības pārbaudes institūcijas. Un ar noteikumu projekta 129.</w:t>
            </w:r>
            <w:r w:rsidR="00000000" w:rsidRPr="00000000" w:rsidDel="00000000">
              <w:rPr>
                <w:vertAlign w:val="superscript"/>
                <w:rtl w:val="0"/>
              </w:rPr>
              <w:t xml:space="preserve">22</w:t>
            </w:r>
            <w:r w:rsidR="00000000" w:rsidRPr="00000000" w:rsidDel="00000000">
              <w:rPr>
                <w:rtl w:val="0"/>
              </w:rPr>
              <w:t xml:space="preserve"> 129.</w:t>
            </w:r>
            <w:r w:rsidR="00000000" w:rsidRPr="00000000" w:rsidDel="00000000">
              <w:rPr>
                <w:vertAlign w:val="superscript"/>
                <w:rtl w:val="0"/>
              </w:rPr>
              <w:t xml:space="preserve">23</w:t>
            </w:r>
            <w:r w:rsidR="00000000" w:rsidRPr="00000000" w:rsidDel="00000000">
              <w:rPr>
                <w:rtl w:val="0"/>
              </w:rPr>
              <w:t xml:space="preserve"> un 129.</w:t>
            </w:r>
            <w:r w:rsidR="00000000" w:rsidRPr="00000000" w:rsidDel="00000000">
              <w:rPr>
                <w:vertAlign w:val="superscript"/>
                <w:rtl w:val="0"/>
              </w:rPr>
              <w:t xml:space="preserve">24</w:t>
            </w:r>
            <w:r w:rsidR="00000000" w:rsidRPr="00000000" w:rsidDel="00000000">
              <w:rPr>
                <w:rtl w:val="0"/>
              </w:rPr>
              <w:t xml:space="preserve"> punktiem tiek precizētas šobrīd spēkā esošā regulējuma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likuma "Par nodokļiem un nodevām" 28.</w:t>
            </w:r>
            <w:r w:rsidR="00000000" w:rsidRPr="00000000" w:rsidDel="00000000">
              <w:rPr>
                <w:vertAlign w:val="superscript"/>
                <w:rtl w:val="0"/>
              </w:rPr>
              <w:t xml:space="preserve">1</w:t>
            </w:r>
            <w:r w:rsidR="00000000" w:rsidRPr="00000000" w:rsidDel="00000000">
              <w:rPr>
                <w:rtl w:val="0"/>
              </w:rPr>
              <w:t xml:space="preserve"> panta piektajā daļā ietverto pilnvarojumu Ministru kabinetam, mūsuprāt secināms, ka noteikumos ietvertais pilnvarojums ietver VID tiesības reģistrēt un izslēgt no reģistra lietotājiem reģistrētas elektroniskās ierīces un iekārtas, ja VID, uzturot aktīvu elektronisko ierīču un iekārtu reģistru vai veicot uzraudzību un kontroli, konstatē, ka netiek ievērota šo ierīču un iekārtu lietošanas kārtība, jo pilnvarojums paredz noteikt elektronisko ierīču un iekārtu lietotājus un lietošanas kārtību, darījumus apliecinošo dokumentu veidus un rekvizītus, šo ierīču un iekārtu lietotāju un apkalpojošo dienestu pienākumus, kā arī kārtību, kādā elektroniskās ierīces un iekārtas, to lietotāji un apkalpojošie dienesti reģistrējami VID vienotajā datubāzē (reģistrā), un to uzraudzības un kontroles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22</w:t>
            </w:r>
            <w:r w:rsidR="00000000" w:rsidRPr="00000000" w:rsidDel="00000000">
              <w:rPr>
                <w:rtl w:val="0"/>
              </w:rPr>
              <w:t xml:space="preserve"> Valsts ieņēmumu dienestam ir tiesības izslēgt no Valsts ieņēmumu dienesta vienotās datubāzes (reģistra):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24-TA-2285</w:t>
    </w:r>
    <w:r>
      <w:br/>
    </w:r>
    <w:r w:rsidR="00000000" w:rsidRPr="00000000" w:rsidDel="00000000">
      <w:rPr>
        <w:rtl w:val="0"/>
      </w:rPr>
      <w:t xml:space="preserve">18.12.2025. 14.42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24-TA-2285</w:t>
    </w:r>
    <w:r>
      <w:br/>
    </w:r>
    <w:r w:rsidR="00000000" w:rsidRPr="00000000" w:rsidDel="00000000">
      <w:rPr>
        <w:rtl w:val="0"/>
      </w:rPr>
      <w:t xml:space="preserve">18.12.2025. 14.42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Izziņa_24-TA-2285.docx</dc:title>
</cp:coreProperties>
</file>

<file path=docProps/custom.xml><?xml version="1.0" encoding="utf-8"?>
<Properties xmlns="http://schemas.openxmlformats.org/officeDocument/2006/custom-properties" xmlns:vt="http://schemas.openxmlformats.org/officeDocument/2006/docPropsVTypes"/>
</file>