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24-TA-1584: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dividendēs izmaksājamo valsts sabiedrības ar ierobežotu atbildību “Strenču psihoneiroloģiskā slimnīca” peļņas daļu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Koordinācijas institūcijai iesniegtais VSIA “Strenču psihoneiroloģiskā slimnīca” vidēja termiņa darbības stratēģijas projekts (turpmāk – stratēģija), par kuru tika sniegts atzinums, saturēja atšķirīgu peļņas prognozi stratēģijas periodam, nekā norādīts anotācijā, līdz ar to atšķiras arī prognozējamais dividendēs izmaksājamais apmērs. Stratēģijā nebija norādīti plānoto investīciju finansējuma avoti, kā arī plānoto darbu izmaksas bija būtiski zemākas nekā dividendēs izmaksājamā summa, uz ko tika norādīts atzinumā, atsevišķi norādot, ka “stratēģijā iekļautā informācija nav pietiekama, lai virzītu Ministru kabinetā jautājumu par atšķirīgu dividendēs izmaksājamo peļņas daļu”. Pieņemot, ka pēc koordinācijas institūcijas atzinuma saņemšanas stratēģija tika būtiski koriģēta un papildināta, vienlaikus jāsecina, ka arī šobrīd koordinācijas institūcijai nav pietiekamas informācijas, lai saskaņotu rīkojuma projektu. Lūdzam skaidri un nepārprotami iekļaut stratēģijā informāciju par plānotajām investīcijām un to finansēšanas avotiem, norādot to katram projektam atsevišķi un katram stratēģijas perioda gadam, izdalot pozīcijas, kuras plānots finansēt no valstij piekritīgās stratēģijas perioda peļņas daļas. Atbilstoši koriģēto stratēģiju lūdzam pievienot anotācijai kā papildus dokumentu vai arī, ja stratēģija netiks pievienota, iekļaut šo informāciju anotācijā. Vēršam uzmanību, ka minētā informācija būs nepieciešama arī sniedzot informāciju par kapitālsabiedrības kārtējā pārskata gada darbības rezultātiem atbilstoši Ministru kabineta 2016. gada 9. februāra noteikumiem Nr. 95 „Kārtība, kādā tiek vērtēti darbības rezultāti un finanšu rādītāji kapitālsabiedrībai, kurā valstij ir izšķirošā ietekme” un to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"Vienlaikus Kapitālsabiedrība ir nekomerciāli orientēta un komercdarbība, peļņas gūšana un citi komerciālām kapitālsabiedrībām dabiski mērķi ir ar sekundāru nozīmi", bet lūdzam precizēt kapitālsabiedrības iedalījumu grupā atbilstoši VSIA “Strenču psihoneiroloģiskā slimnīca” valsts kapitāla daļu turētāja gaidu vēstulē minētajam - Slimnīca ir iekļauta valsts atkarīgu nekomerciālu valsts kapitālsabiedrību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koordinācijas institūcijas atzinuma saņemšanas stratēģija tika papildināta ar plānotajām investīcijām un to finansējuma avotiem, kas norādīti Stratēģijas projekta pielikumos. Skatīt Anotācijas pielikumus (VManotp1_StrencuPNS_divid_220824; VManotp2_StrencuPNS_divid_110924).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2.sadaļas 1.3. apakšpunktā teikums "Vienlaikus Kapitālsabiedrība ir nekomerciāli orientēta un komercdarbība, peļņas gūšana un citi komerciālām kapitālsabiedrībām dabiski mērķi ir ar sekundāru nozīmi" aizstāts ar teikumu "Kapitālsabiedrība ir iekļauta valsts atkarīgu nekomerciālu valsts kapitālsabiedrību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“Pašreizējā situācija, problēmas un risinājumi” punktā “Pašreizējā situācija” norādīts, ka kapitālsabiedrības 2023.gada gūtā peļņa (971 032 </w:t>
            </w:r>
            <w:r w:rsidR="00000000" w:rsidRPr="00000000" w:rsidDel="00000000">
              <w:rPr>
                <w:i w:val="1"/>
                <w:rtl w:val="0"/>
              </w:rPr>
              <w:t xml:space="preserve">euro</w:t>
            </w:r>
            <w:r w:rsidR="00000000" w:rsidRPr="00000000" w:rsidDel="00000000">
              <w:rPr>
                <w:rtl w:val="0"/>
              </w:rPr>
              <w:t xml:space="preserve">) ir veidojusies lielāka sniegto valsts apmaksāto veselības aprūpes pakalpojumu apjoma rezultātā, kā arī no 2023.gada pēdējos mēnešos neplānoti piešķirtā papildus finansējuma un, pieaugot sniegto pakalpojumu apjomam, peļņa palielinās, jo fiksētās vai daļēji fiksētās izmaksas, kas ir lielākā daļa no pakalpojumu sniegšanas izmaksām, nepalielinās tādā apmērā, kā ieņēmumi. Ņemot vērā minēto, nepieciešams anotācijā sniegt detalizētu skaidrojumu, kāpēc šāda situācija ir izveidojusies, ka valsts apmaksātajos tarifos ir noteiktas izmaksas, kas pārsniedz faktiskās izmaksas, kā rezultātā kapitālsabiedrībai būtiski palielinot ieņēmumus un attiecīgi izveidojot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piešķirtais valsts budžeta finansējums veselības aprūpes pakalpojumu nodrošināšanai nav pietiekams, lai nosegtu visas ar pakalpojumu nodrošināšanu saistītas izmaksas, un līdz ar to veselības aprūpes pakalpojumu tarifs ir noteikts tādā apmērā, lai iekļautos kopējā piešķirtā finansējumā. Tā rezultātā ārstniecības iestāžu spējas uzkrāt finanšu līdzekļus, piemēram, kārtējiem remontiem, iekārtu iegādei utt., ir ierobežotas, kā arī atsevišķajos gadījumos tās spiestas nodarbināt mazāku skaitu personālu, nekā attiecīgā pakalpojuma sniegšanai būtu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2023. gada sākumā savus izdevumus plānoja tā, lai iekļautos Nacionālā veselības dienesta finanšu paziņojumā norādītajā finansējuma apmērā, kā rezultātā ārstniecības iestādes bija spiestas samazināt izdevumus vienā pozīcijā (tarifa elementā), lai nosegtu tos izdevumus, kurus nav iespējams samazināt.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iepriekšējo gadu datiem par cenu pieaugumu precēm un pakalpojumiem, 2023.gadā Nacionālais veselības dienests piešķīra papildus līdzekļus ēdināšanas un uzturēšanas izdevumu segšanai. Atbilstoši esošajai veselības aprūpes pakalpojumu apmaksas sistēmai šie finanšu līdzekļi tikai novirzīti tarifa elementu E (ēdināšanas izdevumi) un U (uzturēšanas izdevumi) pārskatīšanai un samaksāti ārstniecības iestādēm pēc vienādiem principiem, t.i. atbilstoši gultas dienu skaitam. Lai ievērotu vienlīdzības principu, netika vērtēts, vai ārstniecības iestāde ir atradusi iespēju šiem izdevumiem novirzīt izdevumus no citiem tarifa elementiem vai nav to veikusi.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secināms, ka galvenais Kapitālsabiedrības peļņas rašanās iemesls 2023. gadā bija Kapitālsabiedrības ieviestie taupības režīma pasākumi 2023. gada pirmajā pusgadā tajās izdevumu un ieguldījumu pozīcijās, kur tas bija iespējams. Saņemot papildus līdzekļus ēdināšanas un uzturēšanas izdevumu segšanai, Kapitālsabiedrība nebija nepieciešams veikt izdevumu pārstrukturizāciju papildus piešķirto līdzekļu apjomā, ņemot vērā 2023. gada pirmajā pusgadā jau ietaupītos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aizpildīts anotācijas 3.sadaļas “Tiesību akta projekta ietekme uz valsts budžetu un pašvaldību budžetiem” 6.punkts, nav saprotama anotācijas 3.sadaļas 1., 3., 5.punktā un 1.1. un 3.1.apakšpunktā norādītā informācija un tās saistība ar MK rīkojuma projektā paredzēto. Līdz ar to precizējama anotācijas 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“Tiesību akta projekta ietekme uz valsts budžetu un pašvaldību budžetiem”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2024. gadam un budžeta ietvaru 2024., 2025. un 2026. gadam"  2.pielikumam ir plānoti ieņēmumi no dividendēm (ieņēmumi no valsts (pašvaldību) kapitāla izmantošanas) 2024.gadā 382 942 220 euro, 2025.gadā 227 707 446 euro, 2026.gadā 205 507 447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stratēģijas projektu “Valsts sabiedrības ar ierobežotu atbildību “Strenču psihoneiroloģiskā slimnīca” vidēja termiņa darbības stratēģija 2024. – 2027.gadam”, pieņemot lēmumu par atšķirīgu dividendēs izmaksājamo summu (nosakot 0 procentu likmi), valsts budžetā četru gadu periodā netiktu pārskaitīta summa 1 220 800 euro apmērā, attiecīgi: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- 621 460 euro (no 2023.gada peļņas 971 032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- 206 918 euro (no 2024.gada prognozētās peļņas 323 310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2026.gadā - 197 811 euro (no 2025.gada prognozētās peļņas 309 080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2027.gadā - 194 611 euro (no 2026.gada prognozētās peļņas 304 080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Negatīvu ietekmi uz valsts budžetu rada ne tikai dividendēs izmaksājamā peļņas daļa, kas netiks iemaksāta, bet arī uzņēmumu ienākumu nodoklis, kas šajā gadījumā netiks maksāts. Attiecīgi lūdzam koriģēt paredzamo ietekmi uz valsts budžetu, norādot gan plānojamās dividendes, gan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3.sadaļas "Tiesību akta projekta ietekme uz valsts budžetu un pašvaldību budžetiem", "Cita informācija" ar otro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veicot dividenžu maksājumus, uzņēmumu ienākuma nodoklis tiek aprēķināts un nomaksāts uzņēmumu ienākuma nodokli regulējošos normatīvajos aktos noteiktajā kārtībā, lēmums par peļņas atstāšanu kapitālsabiedrības rīcībā samazinās arī uzņēmuma ienākuma nodokļa maksājumus.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vidēja termiņa darbības stratēģijas periodā plānota būtiska peļņa un lai pamatotu tās lietderīgu un saimniecisku izmantošanu, lūdzam iekļaut investīciju plānā atbilstošas investīcijas ne tikai par apmēru, kas atbilst valstij piekritīgajām dividendēm 64% apmērā, kas tiek atstātas VSIA “Strenču psihoneiroloģiskā slimnīca” rīcībā, bet gan visam kapitālsabiedrības rīcībā atstājamās plānotās peļņas apmēram. Lūdzam arī precizēt 2. pielikumā "Stratēģijas Pielikums Nr. 3 "Kapitālsabiedrības darbības attīstības plāna realizēšanai nepieciešamās investīcijas"" kolonā "Identificētie finansējuma avoti" iekļauto informāciju, norādot konkrētas plānotās summas no katra finansējuma avota.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vēršam uzmanību, ka 2024. un 2025.gadā plānotais investīciju apmērs ir neliels, kas rada finanšu resursu uzkrāšanu ilgākā laika posmā, jo, piemēram, daļu kapitālsabiedrības rīcībā atstāto 2023.gada peļņu plānots izlietot tikai 2027.gadā.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 pielikums "Stratēģijas Pielikums Nr. 3 "Kapitālsabiedrības darbības attīstības plāna realizēšanai nepieciešamās investīcijas"", norādot finanšu avotus, tai skaitā norādot arī informāciju par Kapitālsabiedrības rīcībā atstājamās peļņas daļas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24-TA-1584</w:t>
    </w:r>
    <w:r>
      <w:br/>
    </w:r>
    <w:r w:rsidR="00000000" w:rsidRPr="00000000" w:rsidDel="00000000">
      <w:rPr>
        <w:rtl w:val="0"/>
      </w:rPr>
      <w:t xml:space="preserve">16.09.2024. 18.33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24-TA-1584</w:t>
    </w:r>
    <w:r>
      <w:br/>
    </w:r>
    <w:r w:rsidR="00000000" w:rsidRPr="00000000" w:rsidDel="00000000">
      <w:rPr>
        <w:rtl w:val="0"/>
      </w:rPr>
      <w:t xml:space="preserve">16.09.2024. 18.33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Izziņa_24-TA-1584.docx</dc:title>
</cp:coreProperties>
</file>

<file path=docProps/custom.xml><?xml version="1.0" encoding="utf-8"?>
<Properties xmlns="http://schemas.openxmlformats.org/officeDocument/2006/custom-properties" xmlns:vt="http://schemas.openxmlformats.org/officeDocument/2006/docPropsVTypes"/>
</file>