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5E2CA6" w14:textId="77777777" w:rsidR="00093730" w:rsidRDefault="00093730">
      <w:pPr>
        <w:spacing w:line="100" w:lineRule="atLeast"/>
        <w:jc w:val="right"/>
      </w:pPr>
    </w:p>
    <w:p w14:paraId="6EE39685" w14:textId="77777777" w:rsidR="00093730" w:rsidRDefault="00093730">
      <w:pPr>
        <w:jc w:val="right"/>
      </w:pPr>
      <w:r>
        <w:rPr>
          <w:b/>
        </w:rPr>
        <w:t>LR Tieslietu ministrijai</w:t>
      </w:r>
    </w:p>
    <w:p w14:paraId="2C1271B1" w14:textId="77777777" w:rsidR="00093730" w:rsidRDefault="00093730">
      <w:pPr>
        <w:jc w:val="right"/>
        <w:rPr>
          <w:b/>
        </w:rPr>
      </w:pPr>
      <w:r>
        <w:t>e-pasts: pasts</w:t>
      </w:r>
      <w:hyperlink r:id="rId7" w:history="1">
        <w:r>
          <w:rPr>
            <w:rStyle w:val="Hipersaite"/>
            <w:color w:val="222222"/>
          </w:rPr>
          <w:t>@</w:t>
        </w:r>
        <w:r>
          <w:rPr>
            <w:rStyle w:val="Hipersaite"/>
            <w:color w:val="222222"/>
          </w:rPr>
          <w:t>tm</w:t>
        </w:r>
        <w:r>
          <w:rPr>
            <w:rStyle w:val="Hipersaite"/>
            <w:color w:val="222222"/>
          </w:rPr>
          <w:t>.gov.lv</w:t>
        </w:r>
      </w:hyperlink>
      <w:r>
        <w:t xml:space="preserve"> </w:t>
      </w:r>
      <w:r>
        <w:rPr>
          <w:color w:val="222222"/>
        </w:rPr>
        <w:t xml:space="preserve"> </w:t>
      </w:r>
    </w:p>
    <w:p w14:paraId="5AA05310" w14:textId="77777777" w:rsidR="00093730" w:rsidRDefault="00093730">
      <w:pPr>
        <w:jc w:val="right"/>
        <w:rPr>
          <w:b/>
        </w:rPr>
      </w:pPr>
    </w:p>
    <w:p w14:paraId="539F7CC1" w14:textId="77777777" w:rsidR="00093730" w:rsidRDefault="00093730">
      <w:pPr>
        <w:jc w:val="right"/>
        <w:rPr>
          <w:rStyle w:val="go"/>
          <w:color w:val="000000"/>
        </w:rPr>
      </w:pPr>
      <w:r>
        <w:rPr>
          <w:rStyle w:val="go"/>
          <w:b/>
          <w:color w:val="000000"/>
        </w:rPr>
        <w:t>Valsts zemes dienestam</w:t>
      </w:r>
    </w:p>
    <w:p w14:paraId="2881E031" w14:textId="77777777" w:rsidR="00093730" w:rsidRDefault="00093730">
      <w:pPr>
        <w:jc w:val="right"/>
      </w:pPr>
      <w:r>
        <w:rPr>
          <w:rStyle w:val="go"/>
          <w:color w:val="000000"/>
        </w:rPr>
        <w:t xml:space="preserve">e-pasts: </w:t>
      </w:r>
      <w:r>
        <w:rPr>
          <w:rStyle w:val="go"/>
          <w:color w:val="000000"/>
        </w:rPr>
        <w:t>pasts</w:t>
      </w:r>
      <w:hyperlink r:id="rId8" w:history="1">
        <w:r>
          <w:rPr>
            <w:rStyle w:val="Hipersaite"/>
            <w:color w:val="000000"/>
          </w:rPr>
          <w:t>@vzd.gov.lv</w:t>
        </w:r>
      </w:hyperlink>
      <w:r>
        <w:t xml:space="preserve"> </w:t>
      </w:r>
      <w:r>
        <w:rPr>
          <w:rStyle w:val="go"/>
          <w:color w:val="000000"/>
        </w:rPr>
        <w:t xml:space="preserve"> </w:t>
      </w:r>
    </w:p>
    <w:p w14:paraId="198276BE" w14:textId="77777777" w:rsidR="00093730" w:rsidRDefault="00093730"/>
    <w:p w14:paraId="3D1220AE" w14:textId="77777777" w:rsidR="00093730" w:rsidRDefault="00093730"/>
    <w:p w14:paraId="7B7C7BE3" w14:textId="77777777" w:rsidR="00093730" w:rsidRDefault="00093730">
      <w:r>
        <w:t>Rīgā, dokumenta datums ir tā elektroniskās parakstīšanas datums</w:t>
      </w:r>
      <w:r>
        <w:tab/>
      </w:r>
      <w:r>
        <w:tab/>
      </w:r>
      <w:r>
        <w:tab/>
      </w:r>
      <w:r>
        <w:tab/>
        <w:t xml:space="preserve">   </w:t>
      </w:r>
    </w:p>
    <w:p w14:paraId="71A9BB02" w14:textId="77777777" w:rsidR="00093730" w:rsidRDefault="00093730">
      <w:pPr>
        <w:rPr>
          <w:sz w:val="16"/>
          <w:szCs w:val="16"/>
        </w:rPr>
      </w:pPr>
      <w:r>
        <w:t>Nr. 18/2023</w:t>
      </w:r>
    </w:p>
    <w:p w14:paraId="17782C32" w14:textId="77777777" w:rsidR="00093730" w:rsidRDefault="00093730">
      <w:pPr>
        <w:ind w:firstLine="720"/>
        <w:jc w:val="both"/>
        <w:rPr>
          <w:sz w:val="16"/>
          <w:szCs w:val="16"/>
        </w:rPr>
      </w:pPr>
    </w:p>
    <w:p w14:paraId="7844465D" w14:textId="77777777" w:rsidR="00093730" w:rsidRDefault="00093730">
      <w:pPr>
        <w:jc w:val="both"/>
        <w:rPr>
          <w:b/>
        </w:rPr>
      </w:pPr>
      <w:r>
        <w:rPr>
          <w:b/>
          <w:bCs/>
          <w:i/>
          <w:iCs/>
          <w:color w:val="040404"/>
          <w:lang w:eastAsia="lv-LV"/>
        </w:rPr>
        <w:t xml:space="preserve">Par </w:t>
      </w:r>
      <w:r>
        <w:rPr>
          <w:b/>
          <w:bCs/>
          <w:i/>
          <w:iCs/>
          <w:color w:val="040404"/>
          <w:lang w:eastAsia="lv-LV"/>
        </w:rPr>
        <w:t>informatīvo ziņojumu (</w:t>
      </w:r>
      <w:r>
        <w:rPr>
          <w:b/>
          <w:bCs/>
          <w:i/>
          <w:iCs/>
          <w:color w:val="040404"/>
          <w:lang w:eastAsia="lv-LV"/>
        </w:rPr>
        <w:t>23-TA-1954)</w:t>
      </w:r>
    </w:p>
    <w:p w14:paraId="6E4C5392" w14:textId="77777777" w:rsidR="00093730" w:rsidRDefault="00093730">
      <w:pPr>
        <w:jc w:val="both"/>
        <w:rPr>
          <w:b/>
        </w:rPr>
      </w:pPr>
    </w:p>
    <w:p w14:paraId="012EF690" w14:textId="77777777" w:rsidR="00093730" w:rsidRDefault="00093730">
      <w:pPr>
        <w:ind w:firstLine="720"/>
        <w:jc w:val="both"/>
        <w:rPr>
          <w:b/>
          <w:sz w:val="16"/>
          <w:szCs w:val="16"/>
        </w:rPr>
      </w:pPr>
    </w:p>
    <w:p w14:paraId="01B5A2CC" w14:textId="77777777" w:rsidR="00093730" w:rsidRDefault="00093730">
      <w:pPr>
        <w:jc w:val="both"/>
        <w:rPr>
          <w:rFonts w:cs="Calibri"/>
        </w:rPr>
      </w:pPr>
      <w:r>
        <w:rPr>
          <w:rFonts w:cs="Calibri"/>
        </w:rPr>
        <w:tab/>
      </w:r>
      <w:r>
        <w:rPr>
          <w:rFonts w:cs="Calibri"/>
        </w:rPr>
        <w:t xml:space="preserve">Latvijas Mērnieku biedrība (turpmāk – LMB) ir iepazinusies ar Tieslietu ministrijas (turpmāk – TM) informatīvo ziņojumu </w:t>
      </w:r>
      <w:bookmarkStart w:id="0" w:name="_Hlk120865040"/>
      <w:r>
        <w:rPr>
          <w:rFonts w:cs="Calibri"/>
        </w:rPr>
        <w:t xml:space="preserve">''Par </w:t>
      </w:r>
      <w:r>
        <w:rPr>
          <w:rFonts w:cs="Calibri"/>
          <w:shd w:val="clear" w:color="auto" w:fill="FFFFFF"/>
        </w:rPr>
        <w:t>risinājumiem vienotā būves reģistrācijas procesa ieviešanai</w:t>
      </w:r>
      <w:r>
        <w:rPr>
          <w:rFonts w:cs="Calibri"/>
        </w:rPr>
        <w:t>''</w:t>
      </w:r>
      <w:bookmarkEnd w:id="0"/>
      <w:r>
        <w:rPr>
          <w:rFonts w:cs="Calibri"/>
        </w:rPr>
        <w:t xml:space="preserve"> (turpmā</w:t>
      </w:r>
      <w:r>
        <w:rPr>
          <w:rFonts w:cs="Calibri"/>
        </w:rPr>
        <w:t xml:space="preserve">k – Informatīvais ziņojums) un sniedz sekojošus iebildumus un viedokli par to. </w:t>
      </w:r>
    </w:p>
    <w:p w14:paraId="30330D3B" w14:textId="77777777" w:rsidR="00093730" w:rsidRDefault="00093730">
      <w:pPr>
        <w:jc w:val="both"/>
        <w:rPr>
          <w:rFonts w:cs="Calibri"/>
        </w:rPr>
      </w:pPr>
      <w:r>
        <w:rPr>
          <w:rFonts w:cs="Calibri"/>
        </w:rPr>
        <w:tab/>
        <w:t>LMB Informatīvo ziņojumu vērtē kā pavirši un vienpusīgi sagatavotu, lai arī kopumā atbalsta nepieciešamību reorganizēt un optimizēt būvju kadastrālās uzmērīšanas procesu</w:t>
      </w:r>
      <w:r>
        <w:rPr>
          <w:rFonts w:cs="Calibri"/>
        </w:rPr>
        <w:t>, izma</w:t>
      </w:r>
      <w:r>
        <w:rPr>
          <w:rFonts w:cs="Calibri"/>
        </w:rPr>
        <w:t>ntojot valsts informācijas sistēmās pieejamos datus un savstarpēju datu apmaiņu starp tām</w:t>
      </w:r>
      <w:r>
        <w:rPr>
          <w:rFonts w:cs="Calibri"/>
        </w:rPr>
        <w:t>. Lai arī v</w:t>
      </w:r>
      <w:r>
        <w:rPr>
          <w:rFonts w:cs="Calibri"/>
        </w:rPr>
        <w:t>aldības rīcības plāna 292.1. apakšpunkts TM uzdod pilnveidot valsts pārvaldi, mazināt birokrātiju un izmantot modernās tehnoloģijas un rast alternatīvu Vals</w:t>
      </w:r>
      <w:r>
        <w:rPr>
          <w:rFonts w:cs="Calibri"/>
        </w:rPr>
        <w:t>ts zemes dienesta (turpmāk – VZD) funkcijām, tādejādi ēku kadastrālo uzmērīšanu nodot privātam sektoram, t.i. sertificētiem speciālistiem, informatīvā ziņojuma izklāstā faktiski šāda pieeja netiek aprakstīta. Ar nožēlu secinām, ka TM un VZD nav ņēmis</w:t>
      </w:r>
      <w:r>
        <w:rPr>
          <w:rFonts w:cs="Calibri"/>
        </w:rPr>
        <w:t xml:space="preserve"> vērā </w:t>
      </w:r>
      <w:r>
        <w:rPr>
          <w:rFonts w:cs="Calibri"/>
        </w:rPr>
        <w:t>LMB un citu profesionālo organizāciju 2023. gadā un agrāk pausto viedokli par aktuālas, faktiskas un precīzas</w:t>
      </w:r>
      <w:r>
        <w:rPr>
          <w:rFonts w:cs="Calibri"/>
        </w:rPr>
        <w:t xml:space="preserve"> visas būves informācijas ieguvi.</w:t>
      </w:r>
    </w:p>
    <w:p w14:paraId="318F5A59" w14:textId="77777777" w:rsidR="00093730" w:rsidRDefault="00093730">
      <w:pPr>
        <w:jc w:val="both"/>
        <w:rPr>
          <w:rFonts w:cs="Calibri"/>
        </w:rPr>
      </w:pPr>
      <w:r>
        <w:rPr>
          <w:rFonts w:cs="Calibri"/>
        </w:rPr>
        <w:tab/>
        <w:t>[1.] Tiekoties ar VZD, LMB vairākkārt ir informējis, ka jau šobrīd mērnieki (sertificētas personas) veic ēkas uz</w:t>
      </w:r>
      <w:r>
        <w:rPr>
          <w:rFonts w:cs="Calibri"/>
        </w:rPr>
        <w:t>mērīšanu, nosakot tās raksturlielumus un sagatavojot ēkas izpildmērījumu plānus. Sertificētas personas veic arī iekštelpu uzmērīšanu un visu ģeometrisko un parametrisko raksturlielumu faktisku noteikšanu, ko tālāk izmanto arhitekti un projektētāji. Informa</w:t>
      </w:r>
      <w:r>
        <w:rPr>
          <w:rFonts w:cs="Calibri"/>
        </w:rPr>
        <w:t>tīvā ziņojumā vairākās vietās (1., 2. lpp.) tiek paredzēts Valsts zemes dienestam nepieciešamos datus par būvēm iegūt datu apmaiņas procesā no būvniecības informācijas sistēmas. Sarunās starp VZD un profesionālām organizācijām valsts institūcija ir paudusi</w:t>
      </w:r>
      <w:r>
        <w:rPr>
          <w:rFonts w:cs="Calibri"/>
        </w:rPr>
        <w:t xml:space="preserve"> stingru apņemšanos, ka būvniecības informācijas sistēmā (turpmāk – BIS) ir jābūt iespējai sertificētām personām iesniegt atbilstošus ģeotelpiskos datus. LMB secina, ka valsts institūcijas vienpusīgi ir atkāpušās no sākotnēji paustā un LMB iebilst, ka tas </w:t>
      </w:r>
      <w:r>
        <w:rPr>
          <w:rFonts w:cs="Calibri"/>
        </w:rPr>
        <w:t>nav atspoguļots un iekļauts Informatīvā ziņojuma esošā redakcijā.</w:t>
      </w:r>
    </w:p>
    <w:p w14:paraId="6389E594" w14:textId="77777777" w:rsidR="00093730" w:rsidRDefault="00093730">
      <w:pPr>
        <w:jc w:val="both"/>
        <w:rPr>
          <w:rFonts w:cs="Calibri"/>
        </w:rPr>
      </w:pPr>
      <w:r>
        <w:rPr>
          <w:rFonts w:cs="Calibri"/>
        </w:rPr>
        <w:tab/>
        <w:t>LMB ieskatā sertificētam mērniekam ir jākļūst par Būvniecības informācijas sistēmas (turpmāk – BIS) dalībnieku. Tādējādi sertificēta persona sagatavotos izpildmērījumus, kas tiek sagatavoti</w:t>
      </w:r>
      <w:r>
        <w:rPr>
          <w:rFonts w:cs="Calibri"/>
        </w:rPr>
        <w:t xml:space="preserve"> vektordatu formātā un tiek elektroniski parakstīti, nepastarpināti (tieši) var ievietot BIS un šie dati tiktu ātrāk izmantoti būves reģistrācijas procesā. Tas novērstu iespējamās kļūdas un nepilnības datu iesniegšanas procesā un informācijas falsifikācija</w:t>
      </w:r>
      <w:r>
        <w:rPr>
          <w:rFonts w:cs="Calibri"/>
        </w:rPr>
        <w:t>s iespējas.</w:t>
      </w:r>
    </w:p>
    <w:p w14:paraId="3C394DC6" w14:textId="77777777" w:rsidR="00093730" w:rsidRDefault="00093730">
      <w:pPr>
        <w:pStyle w:val="NoSpacing"/>
        <w:jc w:val="both"/>
        <w:rPr>
          <w:rFonts w:ascii="Times New Roman" w:hAnsi="Times New Roman" w:cs="Calibri"/>
        </w:rPr>
      </w:pPr>
      <w:r>
        <w:rPr>
          <w:rFonts w:ascii="Times New Roman" w:hAnsi="Times New Roman" w:cs="Calibri"/>
        </w:rPr>
        <w:tab/>
        <w:t>[2.] LMB norāda uz Informatīvā ziņojuma 2. sadaļā pausto, ka “stiprinot (…) BIS sniegtā atbalsta pilnveidošanu tieši būvniecības procesa uzsākšanas posmā, varētu nodrošināt veiksmīgu būves ierakstīšanu Zemesgrāmatā, novēršot tādus trūkumus, kā</w:t>
      </w:r>
      <w:r>
        <w:rPr>
          <w:rFonts w:ascii="Times New Roman" w:hAnsi="Times New Roman" w:cs="Calibri"/>
        </w:rPr>
        <w:t xml:space="preserve"> (…) informācijas savstarpējā neatbilstība teksta un grafiskajos datos (…)” un pauž viedokli, ka, ieviešot vienotu būves reģistrācijas pakalpojumu, nepieciešams noteikt pēc iespējas vairāk integrēt teksta datu radīšanu reizē ar grafiskiem datiem. To nepiec</w:t>
      </w:r>
      <w:r>
        <w:rPr>
          <w:rFonts w:ascii="Times New Roman" w:hAnsi="Times New Roman" w:cs="Calibri"/>
        </w:rPr>
        <w:t xml:space="preserve">iešams arī ietvert Informatīvā ziņojumā, </w:t>
      </w:r>
      <w:r>
        <w:rPr>
          <w:rFonts w:ascii="Times New Roman" w:hAnsi="Times New Roman" w:cs="Calibri"/>
        </w:rPr>
        <w:lastRenderedPageBreak/>
        <w:t xml:space="preserve">aprakstot </w:t>
      </w:r>
      <w:r>
        <w:rPr>
          <w:rFonts w:ascii="Times New Roman" w:hAnsi="Times New Roman" w:cs="Calibri"/>
          <w:shd w:val="clear" w:color="auto" w:fill="FFFFFF"/>
        </w:rPr>
        <w:t xml:space="preserve">vienotā būves reģistrācijas pakalpojuma priekšnosacījumus. Savukārt, šobrīd esošā redakcija ir pārprotama un </w:t>
      </w:r>
      <w:r>
        <w:rPr>
          <w:rFonts w:ascii="Times New Roman" w:hAnsi="Times New Roman" w:cs="Calibri"/>
        </w:rPr>
        <w:t xml:space="preserve">ir pretrunā ar Informatīvā ziņojuma </w:t>
      </w:r>
      <w:r>
        <w:rPr>
          <w:rFonts w:ascii="Times New Roman" w:hAnsi="Times New Roman" w:cs="Calibri"/>
          <w:shd w:val="clear" w:color="auto" w:fill="FFFFFF"/>
        </w:rPr>
        <w:t>vienotā būves reģistrācijas pakalpojuma ieviešanas p</w:t>
      </w:r>
      <w:r>
        <w:rPr>
          <w:rFonts w:ascii="Times New Roman" w:hAnsi="Times New Roman" w:cs="Calibri"/>
        </w:rPr>
        <w:t>riekšnos</w:t>
      </w:r>
      <w:r>
        <w:rPr>
          <w:rFonts w:ascii="Times New Roman" w:hAnsi="Times New Roman" w:cs="Calibri"/>
        </w:rPr>
        <w:t>acījumiem, ka “procesa gaitā ierosinātājs tos papildina atbilstoši faktiskajai situācijai”. Tāpat, tas ir pretrunā ar Informatīvā ziņojuma 3.2. sadaļā aprakstīto datu apmaiņas procesu vienota būves reģistrācijas pakalpojuma ietvaros, kur “reģistrācijai Kad</w:t>
      </w:r>
      <w:r>
        <w:rPr>
          <w:rFonts w:ascii="Times New Roman" w:hAnsi="Times New Roman" w:cs="Calibri"/>
        </w:rPr>
        <w:t xml:space="preserve">astra informācijas sistēmā </w:t>
      </w:r>
      <w:r>
        <w:rPr>
          <w:rFonts w:ascii="Times New Roman" w:hAnsi="Times New Roman" w:cs="Calibri"/>
          <w:u w:val="single"/>
        </w:rPr>
        <w:t>visi nepieciešamie ģeotelpiskie dati tiek radīti būvniecības procesā</w:t>
      </w:r>
      <w:r>
        <w:rPr>
          <w:rFonts w:ascii="Times New Roman" w:hAnsi="Times New Roman" w:cs="Calibri"/>
        </w:rPr>
        <w:t xml:space="preserve"> vektordatu formātā”.</w:t>
      </w:r>
    </w:p>
    <w:p w14:paraId="7D696F68" w14:textId="77777777" w:rsidR="00093730" w:rsidRDefault="00093730">
      <w:pPr>
        <w:jc w:val="both"/>
        <w:rPr>
          <w:rFonts w:cs="Calibri"/>
        </w:rPr>
      </w:pPr>
      <w:r>
        <w:rPr>
          <w:rFonts w:cs="Calibri"/>
        </w:rPr>
        <w:tab/>
        <w:t>[3.] LMB iebilst pret Informatīvā ziņojumā ietverto priekšnosacījumu par to, “ka pašā procesa sākumā no personas jau ir iegūti visi nepiec</w:t>
      </w:r>
      <w:r>
        <w:rPr>
          <w:rFonts w:cs="Calibri"/>
        </w:rPr>
        <w:t>iešamie dokumenti, datnes un dati”. LMB ieskatā procesa sākumā datnes un dati būves reģistrācijai var būt tikai no projekta dokumentācijas. Tātad, tā ir iecere vai plānotā darbu realizācija, bet ne apvidū faktiskā situācija. Tas nozīmē, ka valsts institūci</w:t>
      </w:r>
      <w:r>
        <w:rPr>
          <w:rFonts w:cs="Calibri"/>
        </w:rPr>
        <w:t xml:space="preserve">jas nav vērtējušas Informatīvā ziņojum trešā sadaļā pašu pausto atziņu, ka būves ir iedalītas grupās atkarībā no </w:t>
      </w:r>
      <w:r>
        <w:rPr>
          <w:rFonts w:cs="Calibri"/>
          <w:u w:val="single"/>
        </w:rPr>
        <w:t xml:space="preserve">būvniecības sarežģītības pakāpes, apjoma un iespējamās ietekmes uz cilvēku dzīvību, veselību un vidi (…) </w:t>
      </w:r>
      <w:r>
        <w:rPr>
          <w:rFonts w:cs="Calibri"/>
        </w:rPr>
        <w:t>nozīmi, nav ņemts vērā profesionālo or</w:t>
      </w:r>
      <w:r>
        <w:rPr>
          <w:rFonts w:cs="Calibri"/>
        </w:rPr>
        <w:t>ganizāciju priekšlikums visas telpisko datu iegūšanas darbības būvobjektā veikt vienlaicīgi un nav ņemta vērā izpildmērījumu nozīme un to sagatavošana būvniecības procesā. LMB iebilst pret plānoto vienotā pakalpojuma kārtību, kurā ir iespējams reģistrēt bū</w:t>
      </w:r>
      <w:r>
        <w:rPr>
          <w:rFonts w:cs="Calibri"/>
        </w:rPr>
        <w:t>ves pamatojoties uz projekta dokumentāciju. LMB ieskatā inženierbūvēm jau pastāvošā kārtība ir attiecināma uz jebkuru būvju datu iegūšanu un reģistrāciju.</w:t>
      </w:r>
    </w:p>
    <w:p w14:paraId="50E3D7C0" w14:textId="77777777" w:rsidR="00093730" w:rsidRDefault="00093730">
      <w:pPr>
        <w:jc w:val="both"/>
        <w:rPr>
          <w:rFonts w:cs="Calibri"/>
        </w:rPr>
      </w:pPr>
      <w:r>
        <w:rPr>
          <w:rFonts w:cs="Calibri"/>
        </w:rPr>
        <w:tab/>
        <w:t xml:space="preserve">[4.] Lai arī Informatīvā ziņojuma </w:t>
      </w:r>
      <w:r>
        <w:rPr>
          <w:rFonts w:cs="Calibri"/>
          <w:shd w:val="clear" w:color="auto" w:fill="FFFFFF"/>
        </w:rPr>
        <w:t>vienotā būves reģistrācijas pakalpojuma ieviešanas priekšnosacījum</w:t>
      </w:r>
      <w:r>
        <w:rPr>
          <w:rFonts w:cs="Calibri"/>
          <w:shd w:val="clear" w:color="auto" w:fill="FFFFFF"/>
        </w:rPr>
        <w:t xml:space="preserve">u 4. apakšpunktā (3.lpp.) ir paredzēts, “ka </w:t>
      </w:r>
      <w:r>
        <w:rPr>
          <w:rFonts w:cs="Calibri"/>
        </w:rPr>
        <w:t>pakalpojuma nodrošināšanā iesaistītās institūcijas (…), konstatējot neprecizitātes vai pretrunas, paziņo datu pirmavotam, kurš nodrošina nepieciešamos labojumus vai pārskata iepriekšējā stadijā pieņemtos lēmumus”</w:t>
      </w:r>
      <w:r>
        <w:rPr>
          <w:rFonts w:cs="Calibri"/>
        </w:rPr>
        <w:t xml:space="preserve">, tas ir formulēts tik vispārīgi, ka nav iespējams identificēt, kurai institūcijai tas ir jākonstatē un kura institūcija veic kontroli par šiem datiem. Ja tas nav identificējams Informatīvā </w:t>
      </w:r>
      <w:r>
        <w:rPr>
          <w:rFonts w:cs="Calibri"/>
        </w:rPr>
        <w:t>ziņojumā, tad to nevarēs izdarīt un plānot arī pakalpojuma nodroši</w:t>
      </w:r>
      <w:r>
        <w:rPr>
          <w:rFonts w:cs="Calibri"/>
        </w:rPr>
        <w:t>nāšanā iesaistītās institūcijas.</w:t>
      </w:r>
    </w:p>
    <w:p w14:paraId="4FD8BB0A" w14:textId="77777777" w:rsidR="00093730" w:rsidRDefault="00093730">
      <w:pPr>
        <w:jc w:val="both"/>
        <w:rPr>
          <w:rFonts w:cs="Calibri"/>
        </w:rPr>
      </w:pPr>
      <w:r>
        <w:rPr>
          <w:rFonts w:cs="Calibri"/>
        </w:rPr>
        <w:tab/>
        <w:t>[5.] LMB atkārtoti pauž viedokli, ka visas darbības, kas saistītas ar būvju telpisko datu ieguvi ir jāveic sertificētām personām. Jau 15 gadus mērniecības nozarē pastāv sertifikācija, ir noteikti profesionālās darbības apd</w:t>
      </w:r>
      <w:r>
        <w:rPr>
          <w:rFonts w:cs="Calibri"/>
        </w:rPr>
        <w:t xml:space="preserve">rošināšanas kritēriji un ir noteikta iesaistīto pušu atbildība. Līdz ar to, būves informācijas, t.sk. telpisko datu ieguve ir vienkārši pārņemama, iesaistot zinošus profesionāļus. Ņemot vērā, ka mērniecības nozarē tiek izmantotas jaunākās tehnoloģijas, </w:t>
      </w:r>
      <w:r>
        <w:rPr>
          <w:rFonts w:cs="Calibri"/>
          <w:shd w:val="clear" w:color="auto" w:fill="FFFFFF"/>
        </w:rPr>
        <w:t>vie</w:t>
      </w:r>
      <w:r>
        <w:rPr>
          <w:rFonts w:cs="Calibri"/>
          <w:shd w:val="clear" w:color="auto" w:fill="FFFFFF"/>
        </w:rPr>
        <w:t xml:space="preserve">notais būves reģistrācijas pakalpojums notiktu ātrāk, balstoties uz reāliem un </w:t>
      </w:r>
      <w:r>
        <w:rPr>
          <w:rFonts w:cs="Calibri"/>
        </w:rPr>
        <w:t>precīziem datiem.</w:t>
      </w:r>
    </w:p>
    <w:p w14:paraId="488C43C0" w14:textId="77777777" w:rsidR="00093730" w:rsidRDefault="00093730">
      <w:pPr>
        <w:jc w:val="both"/>
        <w:rPr>
          <w:rStyle w:val="go"/>
          <w:rFonts w:cs="Calibri"/>
          <w:lang w:eastAsia="lv-LV"/>
        </w:rPr>
      </w:pPr>
      <w:r>
        <w:rPr>
          <w:rFonts w:cs="Calibri"/>
        </w:rPr>
        <w:tab/>
        <w:t>[6.] LMB norāda uz Informatīvā ziņojuma esošā redakcijā ietverto nesaprotamo gramatisko formu “būtu”. Lasot tekstu, sevišķi 5. lpp., Informatīvā ziņojuma esoš</w:t>
      </w:r>
      <w:r>
        <w:rPr>
          <w:rFonts w:cs="Calibri"/>
        </w:rPr>
        <w:t>o redakciju var saprast kā vēlamu vai iespējamu, nevis noteiktu un plānotu valsts institūciju rīcību. LMB iebilst pret šādu formulējumu valsts attīstības plānošanas dokumentā, kas vēlāk rada pārpratumus iesaistītām institūcijām vai ļauj atkāpties no plānot</w:t>
      </w:r>
      <w:r>
        <w:rPr>
          <w:rFonts w:cs="Calibri"/>
        </w:rPr>
        <w:t>ā realizācijas.</w:t>
      </w:r>
    </w:p>
    <w:p w14:paraId="481003C7" w14:textId="77777777" w:rsidR="00093730" w:rsidRDefault="00093730">
      <w:pPr>
        <w:jc w:val="both"/>
      </w:pPr>
      <w:r>
        <w:rPr>
          <w:rStyle w:val="go"/>
          <w:rFonts w:cs="Calibri"/>
          <w:lang w:eastAsia="lv-LV"/>
        </w:rPr>
        <w:tab/>
        <w:t xml:space="preserve">[7.] LMB iebilst, ka profesionālo organizāciju paustais viedoklis vispār nav atspoguļots un vērtēts Informatīvā ziņojumā. </w:t>
      </w:r>
    </w:p>
    <w:p w14:paraId="296DB9C5" w14:textId="77777777" w:rsidR="00093730" w:rsidRDefault="00093730">
      <w:pPr>
        <w:pStyle w:val="NormalWeb"/>
        <w:spacing w:before="0" w:after="0"/>
        <w:ind w:firstLine="720"/>
        <w:jc w:val="both"/>
      </w:pPr>
    </w:p>
    <w:p w14:paraId="717C7130" w14:textId="77777777" w:rsidR="00093730" w:rsidRDefault="00093730">
      <w:pPr>
        <w:jc w:val="both"/>
      </w:pPr>
      <w:r>
        <w:t>Latvijas Mērnieku biedrības</w:t>
      </w:r>
    </w:p>
    <w:p w14:paraId="4E0F283C" w14:textId="77777777" w:rsidR="00093730" w:rsidRDefault="00093730">
      <w:pPr>
        <w:jc w:val="both"/>
      </w:pPr>
      <w:r>
        <w:t xml:space="preserve">Valdes priekšsēdētājs          </w:t>
      </w:r>
      <w:r>
        <w:tab/>
      </w:r>
      <w:r>
        <w:tab/>
      </w:r>
      <w:r>
        <w:tab/>
        <w:t xml:space="preserve"> </w:t>
      </w:r>
      <w:r>
        <w:tab/>
      </w:r>
      <w:r>
        <w:tab/>
      </w:r>
      <w:r>
        <w:tab/>
        <w:t>/ Aldis Pizāns /</w:t>
      </w:r>
    </w:p>
    <w:p w14:paraId="368771EB" w14:textId="77777777" w:rsidR="00093730" w:rsidRDefault="00093730">
      <w:pPr>
        <w:jc w:val="both"/>
      </w:pPr>
    </w:p>
    <w:p w14:paraId="052A2256" w14:textId="77777777" w:rsidR="00093730" w:rsidRDefault="00093730">
      <w:pPr>
        <w:jc w:val="both"/>
      </w:pPr>
      <w:r>
        <w:t>Latvijas Mērnieku biedrības</w:t>
      </w:r>
    </w:p>
    <w:p w14:paraId="3C73E82D" w14:textId="77777777" w:rsidR="00093730" w:rsidRDefault="00093730">
      <w:pPr>
        <w:jc w:val="both"/>
      </w:pPr>
      <w:r>
        <w:t>Val</w:t>
      </w:r>
      <w:r>
        <w:t>des loceklis</w:t>
      </w:r>
      <w:r>
        <w:tab/>
      </w:r>
      <w:r>
        <w:tab/>
      </w:r>
      <w:r>
        <w:tab/>
      </w:r>
      <w:r>
        <w:tab/>
      </w:r>
      <w:r>
        <w:tab/>
      </w:r>
      <w:r>
        <w:tab/>
      </w:r>
      <w:r>
        <w:tab/>
        <w:t>/Jānis Kokins/</w:t>
      </w:r>
    </w:p>
    <w:p w14:paraId="459EE342" w14:textId="77777777" w:rsidR="00093730" w:rsidRDefault="00093730"/>
    <w:p w14:paraId="7B813DCE" w14:textId="77777777" w:rsidR="00093730" w:rsidRDefault="00093730"/>
    <w:p w14:paraId="282CF815" w14:textId="77777777" w:rsidR="00073CD1" w:rsidRDefault="00093730">
      <w:pPr>
        <w:jc w:val="center"/>
      </w:pPr>
      <w:r>
        <w:rPr>
          <w:sz w:val="20"/>
          <w:szCs w:val="20"/>
        </w:rPr>
        <w:t>DOKUMENTS IR PARAKSTĪTS AR DROŠU ELEKTRONISKO PARAKSTU UN SATUR LAIKA ZĪMOGU</w:t>
      </w:r>
    </w:p>
    <w:sectPr w:rsidR="00073CD1">
      <w:headerReference w:type="default" r:id="rId9"/>
      <w:headerReference w:type="first" r:id="rId10"/>
      <w:pgSz w:w="11906" w:h="16838"/>
      <w:pgMar w:top="2268" w:right="1416" w:bottom="567" w:left="1418" w:header="709"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BC1ED" w14:textId="77777777" w:rsidR="00073CD1" w:rsidRDefault="00073CD1">
      <w:r>
        <w:separator/>
      </w:r>
    </w:p>
  </w:endnote>
  <w:endnote w:type="continuationSeparator" w:id="0">
    <w:p w14:paraId="2C3B8C11" w14:textId="77777777" w:rsidR="00073CD1" w:rsidRDefault="0007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5F500" w14:textId="77777777" w:rsidR="00073CD1" w:rsidRDefault="00073CD1">
      <w:r>
        <w:separator/>
      </w:r>
    </w:p>
  </w:footnote>
  <w:footnote w:type="continuationSeparator" w:id="0">
    <w:p w14:paraId="03A24C64" w14:textId="77777777" w:rsidR="00073CD1" w:rsidRDefault="00073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8F8B" w14:textId="77777777" w:rsidR="00093730" w:rsidRDefault="00093730">
    <w:pPr>
      <w:pStyle w:val="Galvene"/>
      <w:rPr>
        <w:lang w:val="x-none"/>
      </w:rPr>
    </w:pPr>
    <w:r>
      <w:pict w14:anchorId="0B9EBD42">
        <v:rect id="_x0000_s1026" style="position:absolute;margin-left:.75pt;margin-top:50.95pt;width:157.6pt;height:.75pt;z-index:-251668480;mso-wrap-style:none;v-text-anchor:middle" o:allowincell="f" fillcolor="#848282" stroked="f" strokecolor="#3465a4">
          <v:fill color2="#7b7d7d"/>
          <v:stroke color2="#cb9a5b" joinstyle="round"/>
        </v:rect>
      </w:pict>
    </w:r>
    <w:r>
      <w:pict w14:anchorId="63CF37AF">
        <v:rect id="_x0000_s1035" style="position:absolute;margin-left:-1.6pt;margin-top:71.45pt;width:453.3pt;height:1.55pt;z-index:-251659264;mso-wrap-style:none;v-text-anchor:middle" o:allowincell="f" fillcolor="#848282" stroked="f" strokecolor="#3465a4">
          <v:fill color2="#7b7d7d"/>
          <v:stroke color2="#cb9a5b" joinstyle="round"/>
        </v:rect>
      </w:pict>
    </w:r>
    <w:r>
      <w:pict w14:anchorId="1F9822F2">
        <v:shapetype id="_x0000_t202" coordsize="21600,21600" o:spt="202" path="m,l,21600r21600,l21600,xe">
          <v:stroke joinstyle="miter"/>
          <v:path gradientshapeok="t" o:connecttype="rect"/>
        </v:shapetype>
        <v:shape id="_x0000_s1037" type="#_x0000_t202" style="position:absolute;margin-left:1.2pt;margin-top:53.2pt;width:63.15pt;height:7.6pt;z-index:251659264;mso-wrap-distance-left:9.05pt;mso-wrap-distance-right:9.05pt" o:allowincell="f" stroked="f">
          <v:fill opacity="0" color2="black"/>
          <v:textbox inset=".25pt,.25pt,.25pt,.25pt">
            <w:txbxContent>
              <w:p w14:paraId="3335053D" w14:textId="77777777" w:rsidR="00093730" w:rsidRDefault="00093730">
                <w:r>
                  <w:rPr>
                    <w:color w:val="000000"/>
                    <w:sz w:val="14"/>
                    <w:szCs w:val="14"/>
                  </w:rPr>
                  <w:t>Reģ.Nr. 40008004744</w:t>
                </w:r>
              </w:p>
            </w:txbxContent>
          </v:textbox>
        </v:shape>
      </w:pict>
    </w:r>
    <w:r>
      <w:pict w14:anchorId="2A8166BF">
        <v:shape id="_x0000_s1039" type="#_x0000_t202" style="position:absolute;margin-left:.7pt;margin-top:62.5pt;width:174.95pt;height:13.85pt;z-index:251661312;mso-wrap-distance-left:9.05pt;mso-wrap-distance-right:9.05pt" o:allowincell="f" stroked="f">
          <v:fill opacity="0" color2="black"/>
          <v:textbox inset=".25pt,.25pt,.25pt,.25pt">
            <w:txbxContent>
              <w:p w14:paraId="48B43452" w14:textId="77777777" w:rsidR="00093730" w:rsidRDefault="00093730">
                <w:r>
                  <w:rPr>
                    <w:color w:val="000000"/>
                    <w:sz w:val="14"/>
                    <w:szCs w:val="14"/>
                  </w:rPr>
                  <w:t>A/S „Swedbank”, konts: LV29HABA000140</w:t>
                </w:r>
                <w:r>
                  <w:rPr>
                    <w:color w:val="000000"/>
                    <w:sz w:val="14"/>
                    <w:szCs w:val="14"/>
                  </w:rPr>
                  <w:t>J056533</w:t>
                </w:r>
              </w:p>
            </w:txbxContent>
          </v:textbox>
        </v:shape>
      </w:pict>
    </w:r>
    <w:r>
      <w:pict w14:anchorId="414F7624">
        <v:shape id="_x0000_s1041" type="#_x0000_t202" style="position:absolute;margin-left:294.05pt;margin-top:51.9pt;width:155.75pt;height:7.6pt;z-index:251663360;mso-wrap-distance-left:9.05pt;mso-wrap-distance-right:9.05pt" o:allowincell="f" stroked="f">
          <v:fill opacity="0" color2="black"/>
          <v:textbox inset=".25pt,.25pt,.25pt,.25pt">
            <w:txbxContent>
              <w:p w14:paraId="1A455E11" w14:textId="77777777" w:rsidR="00093730" w:rsidRDefault="00093730">
                <w:pPr>
                  <w:jc w:val="right"/>
                </w:pPr>
                <w:r>
                  <w:rPr>
                    <w:color w:val="000000"/>
                    <w:sz w:val="14"/>
                    <w:szCs w:val="14"/>
                  </w:rPr>
                  <w:t xml:space="preserve">Ķīpsalas iela 6B-105, Rīga, LV-1048 </w:t>
                </w:r>
              </w:p>
            </w:txbxContent>
          </v:textbox>
        </v:shape>
      </w:pict>
    </w:r>
    <w:r>
      <w:pict w14:anchorId="20742B3B">
        <v:shape id="_x0000_s1045" type="#_x0000_t202" style="position:absolute;margin-left:279.25pt;margin-top:62.75pt;width:171.3pt;height:14.7pt;z-index:251667456;mso-wrap-distance-left:9.05pt;mso-wrap-distance-right:9.05pt" o:allowincell="f" stroked="f">
          <v:fill opacity="0" color2="black"/>
          <v:textbox inset=".25pt,.25pt,.25pt,.25pt">
            <w:txbxContent>
              <w:p w14:paraId="3027F854" w14:textId="77777777" w:rsidR="00093730" w:rsidRDefault="00093730">
                <w:pPr>
                  <w:jc w:val="right"/>
                </w:pPr>
                <w:r>
                  <w:rPr>
                    <w:color w:val="000000"/>
                    <w:sz w:val="14"/>
                    <w:szCs w:val="14"/>
                  </w:rPr>
                  <w:t xml:space="preserve"> </w:t>
                </w:r>
                <w:r>
                  <w:rPr>
                    <w:color w:val="000000"/>
                    <w:sz w:val="14"/>
                    <w:szCs w:val="14"/>
                  </w:rPr>
                  <w:t>Tālr. 26459631, lmb@lmb.lv</w:t>
                </w:r>
              </w:p>
            </w:txbxContent>
          </v:textbox>
        </v:shape>
      </w:pict>
    </w:r>
    <w:r>
      <w:t xml:space="preserve">                </w:t>
    </w:r>
    <w:r>
      <w:tab/>
      <w:t xml:space="preserve">                                 </w:t>
    </w:r>
    <w:r>
      <w:rPr>
        <w:lang w:val="x-none"/>
      </w:rPr>
      <w:pict w14:anchorId="66B3FA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69.5pt" filled="t">
          <v:fill opacity="0" color2="black"/>
          <v:imagedata r:id="rId1" o:title="" croptop="-17f" cropbottom="-17f" cropleft="-14f" cropright="-14f"/>
        </v:shape>
      </w:pict>
    </w:r>
    <w:r>
      <w:pict w14:anchorId="23AB3C58">
        <v:shape id="_x0000_s1025" style="position:absolute;margin-left:-26.25pt;margin-top:50.95pt;width:.5pt;height:.75pt;z-index:-251669504;mso-wrap-style:none;mso-position-horizontal:absolute;mso-position-horizontal-relative:text;mso-position-vertical:absolute;mso-position-vertical-relative:text;v-text-anchor:middle" coordsize="9,15" o:allowincell="f" path="m9,l7,,5,,2,r,3l,5,,7r,3l2,12r,3l5,15r2,l9,15,9,xe" fillcolor="#848282" stroked="f" strokecolor="#3465a4">
          <v:fill color2="#7b7d7d"/>
          <v:stroke color2="#cb9a5b"/>
        </v:shape>
      </w:pict>
    </w:r>
    <w:r>
      <w:pict w14:anchorId="7B36C180">
        <v:shape id="_x0000_s1027" style="position:absolute;margin-left:158.5pt;margin-top:50.85pt;width:.35pt;height:.85pt;z-index:-251667456;mso-wrap-style:none;mso-position-horizontal:absolute;mso-position-horizontal-relative:text;mso-position-vertical:absolute;mso-position-vertical-relative:text;v-text-anchor:middle" coordsize="7,17" o:allowincell="f" path="m,17r2,l2,14r2,l4,14,7,12,7,7,7,5,4,2r,l2,2,2,,,,,17xe" fillcolor="#848282" stroked="f" strokecolor="#3465a4">
          <v:fill color2="#7b7d7d"/>
          <v:stroke color2="#cb9a5b"/>
        </v:shape>
      </w:pict>
    </w:r>
    <w:r>
      <w:pict w14:anchorId="7EAA3AEA">
        <v:shape id="_x0000_s1028" style="position:absolute;margin-left:259.5pt;margin-top:50.5pt;width:.35pt;height:.7pt;z-index:-251666432;mso-wrap-style:none;mso-position-horizontal:absolute;mso-position-horizontal-relative:text;mso-position-vertical:absolute;mso-position-vertical-relative:text;v-text-anchor:middle" coordsize="7,14" o:allowincell="f" path="m7,l4,r,l2,2r,l,5,,7,,9r2,3l2,14r2,l4,14r3,l7,xe" fillcolor="#848282" stroked="f" strokecolor="#3465a4">
          <v:fill color2="#7b7d7d"/>
          <v:stroke color2="#cb9a5b"/>
        </v:shape>
      </w:pict>
    </w:r>
    <w:r>
      <w:pict w14:anchorId="63A3271B">
        <v:rect id="_x0000_s1029" style="position:absolute;margin-left:261pt;margin-top:50.5pt;width:191.35pt;height:.8pt;z-index:-251665408;mso-wrap-style:none;mso-position-horizontal-relative:text;mso-position-vertical-relative:text;v-text-anchor:middle" o:allowincell="f" fillcolor="#848282" stroked="f" strokecolor="#3465a4">
          <v:fill color2="#7b7d7d"/>
          <v:stroke color2="#cb9a5b" joinstyle="round"/>
        </v:rect>
      </w:pict>
    </w:r>
    <w:r>
      <w:pict w14:anchorId="052019A5">
        <v:shape id="_x0000_s1030" style="position:absolute;margin-left:451.2pt;margin-top:50.5pt;width:.45pt;height:.8pt;z-index:-251664384;mso-wrap-style:none;mso-position-horizontal:absolute;mso-position-horizontal-relative:text;mso-position-vertical:absolute;mso-position-vertical-relative:text;v-text-anchor:middle" coordsize="9,16" o:allowincell="f" path="m,16l2,14r2,l7,14r,l9,12,9,9,9,5,7,2r,l4,2,2,2,,,,16xe" fillcolor="#848282" stroked="f" strokecolor="#3465a4">
          <v:fill color2="#7b7d7d"/>
          <v:stroke color2="#cb9a5b"/>
        </v:shape>
      </w:pict>
    </w:r>
    <w:r>
      <w:pict w14:anchorId="3B847275">
        <v:rect id="_x0000_s1031" style="position:absolute;margin-left:-23.8pt;margin-top:53.1pt;width:76.45pt;height:10.45pt;z-index:-251663360;mso-wrap-style:none;mso-position-horizontal-relative:text;mso-position-vertical-relative:text;v-text-anchor:middle" o:allowincell="f" filled="f" stroked="f" strokecolor="#3465a4">
          <v:stroke color2="#cb9a5b" joinstyle="round"/>
        </v:rect>
      </w:pict>
    </w:r>
    <w:r>
      <w:pict w14:anchorId="6327D016">
        <v:rect id="_x0000_s1032" style="position:absolute;margin-left:-23.8pt;margin-top:60.85pt;width:472.65pt;height:10.75pt;z-index:-251662336;mso-wrap-style:none;mso-position-horizontal-relative:text;mso-position-vertical-relative:text;v-text-anchor:middle" o:allowincell="f" filled="f" stroked="f" strokecolor="#3465a4">
          <v:stroke color2="#cb9a5b" joinstyle="round"/>
        </v:rect>
      </w:pict>
    </w:r>
    <w:r>
      <w:pict w14:anchorId="0966D72E">
        <v:rect id="_x0000_s1033" style="position:absolute;margin-left:325.05pt;margin-top:52.05pt;width:123.8pt;height:10.7pt;z-index:-251661312;mso-wrap-style:none;mso-position-horizontal-relative:text;mso-position-vertical-relative:text;v-text-anchor:middle" o:allowincell="f" filled="f" stroked="f" strokecolor="#3465a4">
          <v:stroke color2="#cb9a5b" joinstyle="round"/>
        </v:rect>
      </w:pict>
    </w:r>
    <w:r>
      <w:pict w14:anchorId="4959A480">
        <v:rect id="_x0000_s1034" style="position:absolute;margin-left:296.55pt;margin-top:62.65pt;width:123.8pt;height:8.95pt;z-index:-251660288;mso-wrap-style:none;mso-position-horizontal-relative:text;mso-position-vertical-relative:text;v-text-anchor:middle" o:allowincell="f" filled="f" stroked="f" strokecolor="#3465a4">
          <v:stroke color2="#cb9a5b" joinstyle="round"/>
        </v:rect>
      </w:pict>
    </w:r>
    <w:r>
      <w:pict w14:anchorId="0F08A376">
        <v:shape id="_x0000_s1036" type="#_x0000_t202" style="position:absolute;margin-left:-26.6pt;margin-top:-8.4pt;width:2.6pt;height:13.35pt;z-index:251658240;mso-wrap-distance-left:9.05pt;mso-wrap-distance-right:9.05pt;mso-position-horizontal-relative:text;mso-position-vertical-relative:text" o:allowincell="f" stroked="f">
          <v:fill opacity="0" color2="black"/>
          <v:textbox inset=".25pt,.25pt,.25pt,.25pt">
            <w:txbxContent>
              <w:p w14:paraId="0F4A4C96" w14:textId="77777777" w:rsidR="00093730" w:rsidRDefault="00093730">
                <w:r>
                  <w:rPr>
                    <w:color w:val="000000"/>
                  </w:rPr>
                  <w:t xml:space="preserve"> </w:t>
                </w:r>
              </w:p>
            </w:txbxContent>
          </v:textbox>
        </v:shape>
      </w:pict>
    </w:r>
    <w:r>
      <w:pict w14:anchorId="59739AFD">
        <v:shape id="_x0000_s1038" type="#_x0000_t202" style="position:absolute;margin-left:41.9pt;margin-top:48.85pt;width:2.6pt;height:13.35pt;z-index:251660288;mso-wrap-distance-left:9.05pt;mso-wrap-distance-right:9.05pt;mso-position-horizontal-relative:text;mso-position-vertical-relative:text" o:allowincell="f" stroked="f">
          <v:fill opacity="0" color2="black"/>
          <v:textbox inset=".25pt,.25pt,.25pt,.25pt">
            <w:txbxContent>
              <w:p w14:paraId="3D92125B" w14:textId="77777777" w:rsidR="00093730" w:rsidRDefault="00093730">
                <w:r>
                  <w:rPr>
                    <w:color w:val="000000"/>
                  </w:rPr>
                  <w:t xml:space="preserve"> </w:t>
                </w:r>
              </w:p>
            </w:txbxContent>
          </v:textbox>
        </v:shape>
      </w:pict>
    </w:r>
    <w:r>
      <w:pict w14:anchorId="430DD3CC">
        <v:shape id="_x0000_s1040" type="#_x0000_t202" style="position:absolute;margin-left:175.1pt;margin-top:56.6pt;width:2.6pt;height:13.35pt;z-index:251662336;mso-wrap-distance-left:9.05pt;mso-wrap-distance-right:9.05pt;mso-position-horizontal-relative:text;mso-position-vertical-relative:text" o:allowincell="f" stroked="f">
          <v:fill opacity="0" color2="black"/>
          <v:textbox inset=".25pt,.25pt,.25pt,.25pt">
            <w:txbxContent>
              <w:p w14:paraId="7CE051DD" w14:textId="77777777" w:rsidR="00093730" w:rsidRDefault="00093730">
                <w:r>
                  <w:rPr>
                    <w:color w:val="000000"/>
                  </w:rPr>
                  <w:t xml:space="preserve"> </w:t>
                </w:r>
              </w:p>
            </w:txbxContent>
          </v:textbox>
        </v:shape>
      </w:pict>
    </w:r>
    <w:r>
      <w:pict w14:anchorId="04830491">
        <v:shape id="_x0000_s1042" type="#_x0000_t202" style="position:absolute;margin-left:439.2pt;margin-top:51.9pt;width:1.6pt;height:7.6pt;z-index:251664384;mso-wrap-distance-left:9.05pt;mso-wrap-distance-right:9.05pt;mso-position-horizontal-relative:text;mso-position-vertical-relative:text" o:allowincell="f" stroked="f">
          <v:fill opacity="0" color2="black"/>
          <v:textbox inset=".25pt,.25pt,.25pt,.25pt">
            <w:txbxContent>
              <w:p w14:paraId="6AED8465" w14:textId="77777777" w:rsidR="00093730" w:rsidRDefault="00093730">
                <w:r>
                  <w:rPr>
                    <w:color w:val="000000"/>
                    <w:sz w:val="14"/>
                    <w:szCs w:val="14"/>
                  </w:rPr>
                  <w:t xml:space="preserve"> </w:t>
                </w:r>
              </w:p>
            </w:txbxContent>
          </v:textbox>
        </v:shape>
      </w:pict>
    </w:r>
    <w:r>
      <w:pict w14:anchorId="3152DEC8">
        <v:shape id="_x0000_s1043" type="#_x0000_t202" style="position:absolute;margin-left:325.05pt;margin-top:59.8pt;width:1.6pt;height:7.6pt;z-index:251665408;mso-wrap-distance-left:9.05pt;mso-wrap-distance-right:9.05pt;mso-position-horizontal-relative:text;mso-position-vertical-relative:text" o:allowincell="f" stroked="f">
          <v:fill opacity="0" color2="black"/>
          <v:textbox inset=".25pt,.25pt,.25pt,.25pt">
            <w:txbxContent>
              <w:p w14:paraId="6ACED33F" w14:textId="77777777" w:rsidR="00093730" w:rsidRDefault="00093730">
                <w:r>
                  <w:rPr>
                    <w:color w:val="000000"/>
                    <w:sz w:val="14"/>
                    <w:szCs w:val="14"/>
                  </w:rPr>
                  <w:t xml:space="preserve"> </w:t>
                </w:r>
              </w:p>
            </w:txbxContent>
          </v:textbox>
        </v:shape>
      </w:pict>
    </w:r>
    <w:r>
      <w:pict w14:anchorId="533969A9">
        <v:shape id="_x0000_s1044" type="#_x0000_t202" style="position:absolute;margin-left:345.5pt;margin-top:63.35pt;width:2.6pt;height:13.35pt;z-index:251666432;mso-wrap-distance-left:9.05pt;mso-wrap-distance-right:9.05pt;mso-position-horizontal-relative:text;mso-position-vertical-relative:text" o:allowincell="f" stroked="f">
          <v:fill opacity="0" color2="black"/>
          <v:textbox inset=".25pt,.25pt,.25pt,.25pt">
            <w:txbxContent>
              <w:p w14:paraId="3F453D6A" w14:textId="77777777" w:rsidR="00093730" w:rsidRDefault="00093730">
                <w:r>
                  <w:rPr>
                    <w:color w:val="000000"/>
                  </w:rPr>
                  <w:t xml:space="preserve"> </w:t>
                </w:r>
              </w:p>
            </w:txbxContent>
          </v:textbox>
        </v:shape>
      </w:pict>
    </w:r>
    <w:r>
      <w:pict w14:anchorId="5C974B6A">
        <v:shape id="_x0000_s1046" type="#_x0000_t202" style="position:absolute;margin-left:385.55pt;margin-top:58.4pt;width:2.6pt;height:13.35pt;z-index:251668480;mso-wrap-distance-left:9.05pt;mso-wrap-distance-right:9.05pt;mso-position-horizontal-relative:text;mso-position-vertical-relative:text" o:allowincell="f" stroked="f">
          <v:fill opacity="0" color2="black"/>
          <v:textbox inset=".25pt,.25pt,.25pt,.25pt">
            <w:txbxContent>
              <w:p w14:paraId="069BFBB9" w14:textId="77777777" w:rsidR="00093730" w:rsidRDefault="00093730">
                <w:r>
                  <w:rPr>
                    <w:color w:val="000000"/>
                  </w:rPr>
                  <w:t xml:space="preserve"> </w:t>
                </w:r>
              </w:p>
            </w:txbxContent>
          </v:textbox>
        </v:shape>
      </w:pict>
    </w:r>
  </w:p>
  <w:p w14:paraId="208AA9E1" w14:textId="77777777" w:rsidR="00093730" w:rsidRDefault="00093730">
    <w:pPr>
      <w:pStyle w:val="Galvene"/>
      <w:rPr>
        <w:lang w:val="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DEEE" w14:textId="77777777" w:rsidR="00093730" w:rsidRDefault="000937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Symbol"/>
      </w:rPr>
    </w:lvl>
    <w:lvl w:ilvl="1">
      <w:start w:val="1"/>
      <w:numFmt w:val="none"/>
      <w:suff w:val="nothing"/>
      <w:lvlText w:val=""/>
      <w:lvlJc w:val="left"/>
      <w:pPr>
        <w:tabs>
          <w:tab w:val="num" w:pos="0"/>
        </w:tabs>
        <w:ind w:left="576" w:hanging="576"/>
      </w:pPr>
      <w:rPr>
        <w:rFonts w:cs="Symbol"/>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32540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090F"/>
    <w:rsid w:val="00073CD1"/>
    <w:rsid w:val="00093730"/>
    <w:rsid w:val="00880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5EB5275D"/>
  <w15:chartTrackingRefBased/>
  <w15:docId w15:val="{9D14C624-2119-427B-97FA-4433C74C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sz w:val="24"/>
      <w:szCs w:val="24"/>
      <w:lang w:eastAsia="zh-CN"/>
    </w:rPr>
  </w:style>
  <w:style w:type="paragraph" w:styleId="Virsraksts1">
    <w:name w:val="heading 1"/>
    <w:basedOn w:val="Parasts"/>
    <w:next w:val="Parasts"/>
    <w:qFormat/>
    <w:pPr>
      <w:keepNext/>
      <w:numPr>
        <w:numId w:val="1"/>
      </w:numPr>
      <w:jc w:val="center"/>
      <w:outlineLvl w:val="0"/>
    </w:pPr>
    <w:rPr>
      <w:sz w:val="28"/>
    </w:rPr>
  </w:style>
  <w:style w:type="paragraph" w:styleId="Virsraksts2">
    <w:name w:val="heading 2"/>
    <w:basedOn w:val="Parasts"/>
    <w:next w:val="Parasts"/>
    <w:qFormat/>
    <w:pPr>
      <w:keepNext/>
      <w:numPr>
        <w:ilvl w:val="1"/>
        <w:numId w:val="1"/>
      </w:numPr>
      <w:spacing w:before="240" w:after="60"/>
      <w:outlineLvl w:val="1"/>
    </w:pPr>
    <w:rPr>
      <w:rFonts w:ascii="Courier New" w:hAnsi="Courier New" w:cs="Courier New"/>
      <w:b/>
      <w:bCs/>
      <w:i/>
      <w:iCs/>
      <w:sz w:val="28"/>
      <w:szCs w:val="28"/>
    </w:rPr>
  </w:style>
  <w:style w:type="character" w:default="1" w:customStyle="1" w:styleId="WW8Num1z0">
    <w:name w:val="WW8Num1z0"/>
    <w:rPr>
      <w:rFonts w:cs="Symbol"/>
    </w:rPr>
  </w:style>
  <w:style w:type="character" w:default="1" w:customStyle="1" w:styleId="WW8Num2z0">
    <w:name w:val="WW8Num2z0"/>
    <w:rPr>
      <w:rFonts w:ascii="Times New Roman" w:hAnsi="Times New Roman" w:cs="Times New Roman"/>
    </w:rPr>
  </w:style>
  <w:style w:type="character" w:default="1"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6z0">
    <w:name w:val="WW8Num6z0"/>
    <w:rPr>
      <w:strike w:val="0"/>
      <w:dstrike w:val="0"/>
      <w:u w:val="none"/>
    </w:rPr>
  </w:style>
  <w:style w:type="character" w:customStyle="1" w:styleId="WW8Num7z0">
    <w:name w:val="WW8Num7z0"/>
    <w:rPr>
      <w:rFonts w:hint="default"/>
      <w:color w:val="000000"/>
    </w:rPr>
  </w:style>
  <w:style w:type="character" w:customStyle="1" w:styleId="WW8Num9z0">
    <w:name w:val="WW8Num9z0"/>
    <w:rPr>
      <w:rFonts w:ascii="Symbol" w:eastAsia="Cambria Math" w:hAnsi="Symbol" w:cs="Symbol" w:hint="default"/>
    </w:rPr>
  </w:style>
  <w:style w:type="character" w:customStyle="1" w:styleId="WW8Num9z1">
    <w:name w:val="WW8Num9z1"/>
    <w:rPr>
      <w:rFonts w:ascii="Georgia" w:hAnsi="Georgia" w:cs="Georgia" w:hint="default"/>
    </w:rPr>
  </w:style>
  <w:style w:type="character" w:customStyle="1" w:styleId="WW8Num9z2">
    <w:name w:val="WW8Num9z2"/>
    <w:rPr>
      <w:rFonts w:ascii="Calibri" w:hAnsi="Calibri" w:cs="Calibri" w:hint="default"/>
    </w:rPr>
  </w:style>
  <w:style w:type="character" w:customStyle="1" w:styleId="WW8Num9z3">
    <w:name w:val="WW8Num9z3"/>
    <w:rPr>
      <w:rFonts w:ascii="Courier New" w:hAnsi="Courier New" w:cs="Courier New" w:hint="default"/>
    </w:rPr>
  </w:style>
  <w:style w:type="character" w:customStyle="1" w:styleId="WW8Num10z0">
    <w:name w:val="WW8Num10z0"/>
    <w:rPr>
      <w:rFonts w:ascii="Arial" w:eastAsia="Times New Roman" w:hAnsi="Arial" w:cs="Arial" w:hint="default"/>
      <w:color w:val="000000"/>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strike w:val="0"/>
      <w:dstrike w:val="0"/>
      <w:u w:val="none"/>
    </w:rPr>
  </w:style>
  <w:style w:type="character" w:customStyle="1" w:styleId="WW8Num12z0">
    <w:name w:val="WW8Num12z0"/>
    <w:rPr>
      <w:rFonts w:ascii="Arial" w:eastAsia="Times New Roman" w:hAnsi="Arial" w:cs="Arial" w:hint="default"/>
      <w:i/>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hint="default"/>
      <w:color w:val="000000"/>
    </w:rPr>
  </w:style>
  <w:style w:type="character" w:customStyle="1" w:styleId="DefaultParagraphFont">
    <w:name w:val="Default Paragraph Font"/>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
    <w:name w:val="WW-Default Paragraph Font"/>
  </w:style>
  <w:style w:type="character" w:customStyle="1" w:styleId="WW8Num4z0">
    <w:name w:val="WW8Num4z0"/>
    <w:rPr>
      <w:rFonts w:ascii="Calibri" w:hAnsi="Calibri" w:cs="Calibri"/>
    </w:rPr>
  </w:style>
  <w:style w:type="character" w:customStyle="1" w:styleId="WW8Num4z1">
    <w:name w:val="WW8Num4z1"/>
    <w:rPr>
      <w:rFonts w:ascii="Symbol" w:hAnsi="Symbol" w:cs="Symbol"/>
    </w:rPr>
  </w:style>
  <w:style w:type="character" w:customStyle="1" w:styleId="WW8Num4z2">
    <w:name w:val="WW8Num4z2"/>
    <w:rPr>
      <w:rFonts w:ascii="Cambria Math" w:hAnsi="Cambria Math" w:cs="Cambria Math"/>
    </w:rPr>
  </w:style>
  <w:style w:type="character" w:customStyle="1" w:styleId="WW8Num5z0">
    <w:name w:val="WW8Num5z0"/>
    <w:rPr>
      <w:rFonts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rPr>
  </w:style>
  <w:style w:type="character" w:customStyle="1" w:styleId="WW8Num13z1">
    <w:name w:val="WW8Num13z1"/>
    <w:rPr>
      <w:rFonts w:cs="Times New Roman"/>
    </w:rPr>
  </w:style>
  <w:style w:type="character" w:customStyle="1" w:styleId="WW8Num14z0">
    <w:name w:val="WW8Num14z0"/>
    <w:rPr>
      <w:rFonts w:ascii="Calibri" w:hAnsi="Calibri" w:cs="Calibri"/>
    </w:rPr>
  </w:style>
  <w:style w:type="character" w:customStyle="1" w:styleId="WW8Num14z1">
    <w:name w:val="WW8Num14z1"/>
    <w:rPr>
      <w:rFonts w:ascii="Symbol" w:hAnsi="Symbol" w:cs="Symbol"/>
    </w:rPr>
  </w:style>
  <w:style w:type="character" w:customStyle="1" w:styleId="WW8Num14z2">
    <w:name w:val="WW8Num14z2"/>
    <w:rPr>
      <w:rFonts w:ascii="Cambria Math" w:hAnsi="Cambria Math" w:cs="Cambria Math"/>
    </w:rPr>
  </w:style>
  <w:style w:type="character" w:customStyle="1" w:styleId="WW8Num15z0">
    <w:name w:val="WW8Num15z0"/>
    <w:rPr>
      <w:rFonts w:cs="Times New Roman"/>
    </w:rPr>
  </w:style>
  <w:style w:type="character" w:customStyle="1" w:styleId="WW8Num15z1">
    <w:name w:val="WW8Num15z1"/>
    <w:rPr>
      <w:rFonts w:cs="Times New Roman"/>
    </w:rPr>
  </w:style>
  <w:style w:type="character" w:customStyle="1" w:styleId="WW8Num16z0">
    <w:name w:val="WW8Num16z0"/>
    <w:rPr>
      <w:rFonts w:ascii="Calibri" w:hAnsi="Calibri" w:cs="Calibri"/>
    </w:rPr>
  </w:style>
  <w:style w:type="character" w:customStyle="1" w:styleId="WW8Num16z1">
    <w:name w:val="WW8Num16z1"/>
    <w:rPr>
      <w:rFonts w:ascii="Symbol" w:hAnsi="Symbol" w:cs="Symbol"/>
    </w:rPr>
  </w:style>
  <w:style w:type="character" w:customStyle="1" w:styleId="WW8Num16z2">
    <w:name w:val="WW8Num16z2"/>
    <w:rPr>
      <w:rFonts w:ascii="Cambria Math" w:hAnsi="Cambria Math" w:cs="Cambria Math"/>
    </w:rPr>
  </w:style>
  <w:style w:type="character" w:customStyle="1" w:styleId="WW8Num17z0">
    <w:name w:val="WW8Num17z0"/>
    <w:rPr>
      <w:rFonts w:cs="Times New Roman"/>
    </w:rPr>
  </w:style>
  <w:style w:type="character" w:customStyle="1" w:styleId="WW8Num17z1">
    <w:name w:val="WW8Num17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19z1">
    <w:name w:val="WW8Num19z1"/>
    <w:rPr>
      <w:rFonts w:cs="Times New Roman"/>
    </w:rPr>
  </w:style>
  <w:style w:type="character" w:customStyle="1" w:styleId="WW8Num20z0">
    <w:name w:val="WW8Num20z0"/>
    <w:rPr>
      <w:rFonts w:ascii="Wingdings" w:eastAsia="Wingdings" w:hAnsi="Wingdings" w:cs="Times New Roman"/>
    </w:rPr>
  </w:style>
  <w:style w:type="character" w:customStyle="1" w:styleId="WW8Num20z1">
    <w:name w:val="WW8Num20z1"/>
    <w:rPr>
      <w:rFonts w:ascii="Symbol" w:hAnsi="Symbol" w:cs="Symbol"/>
    </w:rPr>
  </w:style>
  <w:style w:type="character" w:customStyle="1" w:styleId="WW8Num20z2">
    <w:name w:val="WW8Num20z2"/>
    <w:rPr>
      <w:rFonts w:ascii="Cambria Math" w:hAnsi="Cambria Math" w:cs="Cambria Math"/>
    </w:rPr>
  </w:style>
  <w:style w:type="character" w:customStyle="1" w:styleId="WW8Num20z3">
    <w:name w:val="WW8Num20z3"/>
    <w:rPr>
      <w:rFonts w:ascii="Calibri" w:hAnsi="Calibri" w:cs="Calibri"/>
    </w:rPr>
  </w:style>
  <w:style w:type="character" w:customStyle="1" w:styleId="WW8Num21z0">
    <w:name w:val="WW8Num21z0"/>
    <w:rPr>
      <w:rFonts w:cs="Times New Roman"/>
    </w:rPr>
  </w:style>
  <w:style w:type="character" w:customStyle="1" w:styleId="WW8Num21z1">
    <w:name w:val="WW8Num21z1"/>
    <w:rPr>
      <w:rFonts w:cs="Times New Roman"/>
    </w:rPr>
  </w:style>
  <w:style w:type="character" w:customStyle="1" w:styleId="WW8Num22z0">
    <w:name w:val="WW8Num22z0"/>
    <w:rPr>
      <w:rFonts w:ascii="Calibri" w:hAnsi="Calibri" w:cs="Calibri"/>
    </w:rPr>
  </w:style>
  <w:style w:type="character" w:customStyle="1" w:styleId="WW8Num22z1">
    <w:name w:val="WW8Num22z1"/>
    <w:rPr>
      <w:rFonts w:ascii="Symbol" w:hAnsi="Symbol" w:cs="Symbol"/>
    </w:rPr>
  </w:style>
  <w:style w:type="character" w:customStyle="1" w:styleId="WW8Num22z2">
    <w:name w:val="WW8Num22z2"/>
    <w:rPr>
      <w:rFonts w:ascii="Cambria Math" w:hAnsi="Cambria Math" w:cs="Cambria Math"/>
    </w:rPr>
  </w:style>
  <w:style w:type="character" w:customStyle="1" w:styleId="WW8Num23z0">
    <w:name w:val="WW8Num23z0"/>
    <w:rPr>
      <w:rFonts w:ascii="Times New Roman" w:eastAsia="Wingdings" w:hAnsi="Times New Roman" w:cs="Times New Roman"/>
    </w:rPr>
  </w:style>
  <w:style w:type="character" w:customStyle="1" w:styleId="WW8Num23z1">
    <w:name w:val="WW8Num23z1"/>
    <w:rPr>
      <w:rFonts w:ascii="Symbol" w:hAnsi="Symbol" w:cs="Symbol"/>
    </w:rPr>
  </w:style>
  <w:style w:type="character" w:customStyle="1" w:styleId="WW8Num23z2">
    <w:name w:val="WW8Num23z2"/>
    <w:rPr>
      <w:rFonts w:ascii="Cambria Math" w:hAnsi="Cambria Math" w:cs="Cambria Math"/>
    </w:rPr>
  </w:style>
  <w:style w:type="character" w:customStyle="1" w:styleId="WW8Num23z3">
    <w:name w:val="WW8Num23z3"/>
    <w:rPr>
      <w:rFonts w:ascii="Calibri" w:hAnsi="Calibri" w:cs="Calibri"/>
    </w:rPr>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cs="Times New Roman"/>
    </w:rPr>
  </w:style>
  <w:style w:type="character" w:customStyle="1" w:styleId="WW8Num27z0">
    <w:name w:val="WW8Num27z0"/>
    <w:rPr>
      <w:rFonts w:cs="Times New Roman"/>
    </w:rPr>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30z0">
    <w:name w:val="WW8Num30z0"/>
    <w:rPr>
      <w:rFonts w:cs="Times New Roman"/>
    </w:rPr>
  </w:style>
  <w:style w:type="character" w:customStyle="1" w:styleId="WW8Num30z1">
    <w:name w:val="WW8Num30z1"/>
    <w:rPr>
      <w:rFonts w:cs="Times New Roman"/>
    </w:rPr>
  </w:style>
  <w:style w:type="character" w:customStyle="1" w:styleId="WW8Num31z0">
    <w:name w:val="WW8Num31z0"/>
    <w:rPr>
      <w:rFonts w:cs="Times New Roman"/>
    </w:rPr>
  </w:style>
  <w:style w:type="character" w:customStyle="1" w:styleId="WW8Num32z0">
    <w:name w:val="WW8Num32z0"/>
    <w:rPr>
      <w:rFonts w:cs="Times New Roman"/>
    </w:rPr>
  </w:style>
  <w:style w:type="character" w:customStyle="1" w:styleId="WW8Num32z2">
    <w:name w:val="WW8Num32z2"/>
    <w:rPr>
      <w:rFonts w:cs="Times New Roman"/>
    </w:rPr>
  </w:style>
  <w:style w:type="character" w:customStyle="1" w:styleId="WW8Num33z0">
    <w:name w:val="WW8Num33z0"/>
    <w:rPr>
      <w:rFonts w:ascii="Calibri" w:hAnsi="Calibri" w:cs="Calibri"/>
    </w:rPr>
  </w:style>
  <w:style w:type="character" w:customStyle="1" w:styleId="WW8Num33z1">
    <w:name w:val="WW8Num33z1"/>
    <w:rPr>
      <w:rFonts w:ascii="Symbol" w:hAnsi="Symbol" w:cs="Symbol"/>
    </w:rPr>
  </w:style>
  <w:style w:type="character" w:customStyle="1" w:styleId="WW8Num33z2">
    <w:name w:val="WW8Num33z2"/>
    <w:rPr>
      <w:rFonts w:ascii="Cambria Math" w:hAnsi="Cambria Math" w:cs="Cambria Math"/>
    </w:rPr>
  </w:style>
  <w:style w:type="character" w:customStyle="1" w:styleId="WW8Num34z0">
    <w:name w:val="WW8Num34z0"/>
    <w:rPr>
      <w:rFonts w:cs="Times New Roman"/>
    </w:rPr>
  </w:style>
  <w:style w:type="character" w:customStyle="1" w:styleId="WW8Num34z1">
    <w:name w:val="WW8Num34z1"/>
    <w:rPr>
      <w:rFonts w:cs="Times New Roman"/>
    </w:rPr>
  </w:style>
  <w:style w:type="character" w:customStyle="1" w:styleId="WW8Num35z0">
    <w:name w:val="WW8Num35z0"/>
    <w:rPr>
      <w:rFonts w:cs="Times New Roman"/>
    </w:rPr>
  </w:style>
  <w:style w:type="character" w:customStyle="1" w:styleId="WW8Num35z1">
    <w:name w:val="WW8Num35z1"/>
    <w:rPr>
      <w:rFonts w:cs="Times New Roman"/>
    </w:rPr>
  </w:style>
  <w:style w:type="character" w:customStyle="1" w:styleId="WW8Num36z0">
    <w:name w:val="WW8Num36z0"/>
    <w:rPr>
      <w:rFonts w:ascii="Times New Roman" w:eastAsia="Times New Roman" w:hAnsi="Times New Roman" w:cs="Times New Roman"/>
      <w:sz w:val="24"/>
      <w:szCs w:val="24"/>
    </w:rPr>
  </w:style>
  <w:style w:type="character" w:customStyle="1" w:styleId="WW8Num36z1">
    <w:name w:val="WW8Num36z1"/>
    <w:rPr>
      <w:rFonts w:ascii="Symbol" w:hAnsi="Symbol" w:cs="Symbol"/>
    </w:rPr>
  </w:style>
  <w:style w:type="character" w:customStyle="1" w:styleId="WW8Num36z2">
    <w:name w:val="WW8Num36z2"/>
    <w:rPr>
      <w:rFonts w:ascii="Cambria Math" w:hAnsi="Cambria Math" w:cs="Cambria Math"/>
    </w:rPr>
  </w:style>
  <w:style w:type="character" w:customStyle="1" w:styleId="WW8Num36z3">
    <w:name w:val="WW8Num36z3"/>
    <w:rPr>
      <w:rFonts w:ascii="Calibri" w:hAnsi="Calibri" w:cs="Calibri"/>
    </w:rPr>
  </w:style>
  <w:style w:type="character" w:customStyle="1" w:styleId="WW8Num37z0">
    <w:name w:val="WW8Num37z0"/>
    <w:rPr>
      <w:rFonts w:ascii="Calibri" w:hAnsi="Calibri" w:cs="Calibri"/>
    </w:rPr>
  </w:style>
  <w:style w:type="character" w:customStyle="1" w:styleId="WW8Num37z1">
    <w:name w:val="WW8Num37z1"/>
    <w:rPr>
      <w:rFonts w:ascii="Symbol" w:hAnsi="Symbol" w:cs="Symbol"/>
    </w:rPr>
  </w:style>
  <w:style w:type="character" w:customStyle="1" w:styleId="WW8Num37z2">
    <w:name w:val="WW8Num37z2"/>
    <w:rPr>
      <w:rFonts w:ascii="Cambria Math" w:hAnsi="Cambria Math" w:cs="Cambria Math"/>
    </w:rPr>
  </w:style>
  <w:style w:type="character" w:customStyle="1" w:styleId="WW8Num38z0">
    <w:name w:val="WW8Num38z0"/>
    <w:rPr>
      <w:rFonts w:cs="Times New Roman"/>
    </w:rPr>
  </w:style>
  <w:style w:type="character" w:customStyle="1" w:styleId="WW8Num38z1">
    <w:name w:val="WW8Num38z1"/>
    <w:rPr>
      <w:rFonts w:cs="Times New Roman"/>
    </w:rPr>
  </w:style>
  <w:style w:type="character" w:customStyle="1" w:styleId="WW8Num39z0">
    <w:name w:val="WW8Num39z0"/>
    <w:rPr>
      <w:rFonts w:cs="Times New Roman"/>
    </w:rPr>
  </w:style>
  <w:style w:type="character" w:customStyle="1" w:styleId="WW8Num40z0">
    <w:name w:val="WW8Num40z0"/>
    <w:rPr>
      <w:rFonts w:cs="Times New Roman"/>
    </w:rPr>
  </w:style>
  <w:style w:type="character" w:customStyle="1" w:styleId="WW8Num40z1">
    <w:name w:val="WW8Num40z1"/>
    <w:rPr>
      <w:rFonts w:cs="Times New Roman"/>
    </w:rPr>
  </w:style>
  <w:style w:type="character" w:customStyle="1" w:styleId="WW8Num41z0">
    <w:name w:val="WW8Num41z0"/>
    <w:rPr>
      <w:rFonts w:ascii="Calibri" w:hAnsi="Calibri" w:cs="Calibri"/>
    </w:rPr>
  </w:style>
  <w:style w:type="character" w:customStyle="1" w:styleId="WW8Num41z1">
    <w:name w:val="WW8Num41z1"/>
    <w:rPr>
      <w:rFonts w:ascii="Symbol" w:hAnsi="Symbol" w:cs="Symbol"/>
    </w:rPr>
  </w:style>
  <w:style w:type="character" w:customStyle="1" w:styleId="WW8Num41z2">
    <w:name w:val="WW8Num41z2"/>
    <w:rPr>
      <w:rFonts w:ascii="Cambria Math" w:hAnsi="Cambria Math" w:cs="Cambria Math"/>
    </w:rPr>
  </w:style>
  <w:style w:type="character" w:customStyle="1" w:styleId="WW8Num42z0">
    <w:name w:val="WW8Num42z0"/>
    <w:rPr>
      <w:rFonts w:cs="Times New Roman"/>
    </w:rPr>
  </w:style>
  <w:style w:type="character" w:customStyle="1" w:styleId="WW8Num43z0">
    <w:name w:val="WW8Num43z0"/>
    <w:rPr>
      <w:rFonts w:cs="Times New Roman"/>
    </w:rPr>
  </w:style>
  <w:style w:type="character" w:customStyle="1" w:styleId="WW8Num43z1">
    <w:name w:val="WW8Num43z1"/>
    <w:rPr>
      <w:rFonts w:cs="Times New Roman"/>
    </w:rPr>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Calibri" w:hAnsi="Calibri" w:cs="Calibri"/>
    </w:rPr>
  </w:style>
  <w:style w:type="character" w:customStyle="1" w:styleId="WW8Num45z1">
    <w:name w:val="WW8Num45z1"/>
    <w:rPr>
      <w:rFonts w:ascii="Symbol" w:hAnsi="Symbol" w:cs="Symbol"/>
    </w:rPr>
  </w:style>
  <w:style w:type="character" w:customStyle="1" w:styleId="WW8Num45z2">
    <w:name w:val="WW8Num45z2"/>
    <w:rPr>
      <w:rFonts w:ascii="Cambria Math" w:hAnsi="Cambria Math" w:cs="Cambria Math"/>
    </w:rPr>
  </w:style>
  <w:style w:type="character" w:customStyle="1" w:styleId="WW8Num46z0">
    <w:name w:val="WW8Num46z0"/>
    <w:rPr>
      <w:rFonts w:cs="Times New Roman"/>
    </w:rPr>
  </w:style>
  <w:style w:type="character" w:customStyle="1" w:styleId="WW8Num46z1">
    <w:name w:val="WW8Num46z1"/>
    <w:rPr>
      <w:rFonts w:cs="Times New Roman"/>
    </w:rPr>
  </w:style>
  <w:style w:type="character" w:customStyle="1" w:styleId="WW8Num47z0">
    <w:name w:val="WW8Num47z0"/>
    <w:rPr>
      <w:rFonts w:cs="Times New Roman"/>
    </w:rPr>
  </w:style>
  <w:style w:type="character" w:customStyle="1" w:styleId="WW8Num47z1">
    <w:name w:val="WW8Num47z1"/>
    <w:rPr>
      <w:rFonts w:cs="Times New Roman"/>
    </w:rPr>
  </w:style>
  <w:style w:type="character" w:customStyle="1" w:styleId="WW8Num48z0">
    <w:name w:val="WW8Num48z0"/>
    <w:rPr>
      <w:rFonts w:ascii="Calibri" w:hAnsi="Calibri" w:cs="Calibri"/>
    </w:rPr>
  </w:style>
  <w:style w:type="character" w:customStyle="1" w:styleId="WW8Num48z1">
    <w:name w:val="WW8Num48z1"/>
    <w:rPr>
      <w:rFonts w:cs="Times New Roman"/>
    </w:rPr>
  </w:style>
  <w:style w:type="character" w:customStyle="1" w:styleId="WW-DefaultParagraphFont1">
    <w:name w:val="WW-Default Paragraph Font1"/>
  </w:style>
  <w:style w:type="character" w:customStyle="1" w:styleId="Heading1Char">
    <w:name w:val="Heading 1 Char"/>
    <w:rPr>
      <w:rFonts w:ascii="Georgia" w:hAnsi="Georgia" w:cs="Times New Roman"/>
      <w:b/>
      <w:bCs/>
      <w:kern w:val="2"/>
      <w:sz w:val="32"/>
      <w:szCs w:val="32"/>
      <w:lang w:bidi="ar-SA"/>
    </w:rPr>
  </w:style>
  <w:style w:type="character" w:customStyle="1" w:styleId="Heading2Char">
    <w:name w:val="Heading 2 Char"/>
    <w:rPr>
      <w:rFonts w:ascii="Georgia" w:hAnsi="Georgia" w:cs="Times New Roman"/>
      <w:b/>
      <w:bCs/>
      <w:i/>
      <w:iCs/>
      <w:sz w:val="28"/>
      <w:szCs w:val="28"/>
      <w:lang w:bidi="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TitleChar">
    <w:name w:val="Title Char"/>
    <w:rPr>
      <w:rFonts w:ascii="Courier New" w:hAnsi="Courier New" w:cs="Times New Roman"/>
      <w:b/>
      <w:kern w:val="2"/>
      <w:sz w:val="24"/>
      <w:szCs w:val="24"/>
      <w:lang w:val="en-US" w:bidi="ar-SA"/>
    </w:rPr>
  </w:style>
  <w:style w:type="character" w:customStyle="1" w:styleId="NumberingSymbols">
    <w:name w:val="Numbering Symbols"/>
  </w:style>
  <w:style w:type="character" w:customStyle="1" w:styleId="BodyTextChar">
    <w:name w:val="Body Text Char"/>
    <w:rPr>
      <w:rFonts w:cs="Times New Roman"/>
      <w:sz w:val="24"/>
      <w:szCs w:val="24"/>
      <w:lang w:bidi="ar-SA"/>
    </w:rPr>
  </w:style>
  <w:style w:type="character" w:customStyle="1" w:styleId="HeaderChar">
    <w:name w:val="Header Char"/>
    <w:rPr>
      <w:rFonts w:cs="Times New Roman"/>
      <w:sz w:val="24"/>
      <w:szCs w:val="24"/>
      <w:lang w:bidi="ar-SA"/>
    </w:rPr>
  </w:style>
  <w:style w:type="character" w:customStyle="1" w:styleId="FooterChar">
    <w:name w:val="Footer Char"/>
    <w:rPr>
      <w:rFonts w:cs="Times New Roman"/>
      <w:sz w:val="24"/>
      <w:szCs w:val="24"/>
      <w:lang w:bidi="ar-SA"/>
    </w:rPr>
  </w:style>
  <w:style w:type="character" w:customStyle="1" w:styleId="BodyTextIndentChar">
    <w:name w:val="Body Text Indent Char"/>
    <w:rPr>
      <w:rFonts w:cs="Times New Roman"/>
      <w:sz w:val="24"/>
      <w:szCs w:val="24"/>
      <w:lang w:bidi="ar-SA"/>
    </w:rPr>
  </w:style>
  <w:style w:type="character" w:customStyle="1" w:styleId="BalloonTextChar">
    <w:name w:val="Balloon Text Char"/>
    <w:rPr>
      <w:rFonts w:cs="Times New Roman"/>
      <w:sz w:val="2"/>
      <w:lang w:bidi="ar-SA"/>
    </w:rPr>
  </w:style>
  <w:style w:type="character" w:customStyle="1" w:styleId="BodyText2Char">
    <w:name w:val="Body Text 2 Char"/>
    <w:rPr>
      <w:rFonts w:cs="Times New Roman"/>
      <w:sz w:val="24"/>
      <w:szCs w:val="24"/>
      <w:lang w:bidi="ar-SA"/>
    </w:rPr>
  </w:style>
  <w:style w:type="character" w:customStyle="1" w:styleId="TitleChar1">
    <w:name w:val="Title Char1"/>
    <w:rPr>
      <w:rFonts w:ascii="Georgia" w:hAnsi="Georgia" w:cs="Times New Roman"/>
      <w:b/>
      <w:bCs/>
      <w:kern w:val="2"/>
      <w:sz w:val="32"/>
      <w:szCs w:val="32"/>
      <w:lang w:bidi="ar-SA"/>
    </w:rPr>
  </w:style>
  <w:style w:type="character" w:customStyle="1" w:styleId="SubtitleChar">
    <w:name w:val="Subtitle Char"/>
    <w:rPr>
      <w:rFonts w:ascii="Georgia" w:hAnsi="Georgia" w:cs="Times New Roman"/>
      <w:sz w:val="24"/>
      <w:szCs w:val="24"/>
      <w:lang w:bidi="ar-SA"/>
    </w:rPr>
  </w:style>
  <w:style w:type="character" w:styleId="Hipersaite">
    <w:name w:val="Hyperlink"/>
    <w:rPr>
      <w:rFonts w:cs="Times New Roman"/>
      <w:color w:val="0000FF"/>
      <w:u w:val="single"/>
    </w:rPr>
  </w:style>
  <w:style w:type="character" w:styleId="Lappusesnumurs">
    <w:name w:val="page number"/>
    <w:rPr>
      <w:rFonts w:cs="Times New Roman"/>
    </w:rPr>
  </w:style>
  <w:style w:type="character" w:styleId="Izteiksmgs">
    <w:name w:val="Strong"/>
    <w:qFormat/>
    <w:rPr>
      <w:rFonts w:cs="Times New Roman"/>
      <w:b/>
      <w:bCs/>
    </w:rPr>
  </w:style>
  <w:style w:type="character" w:customStyle="1" w:styleId="CommentReference">
    <w:name w:val="Comment Reference"/>
    <w:rPr>
      <w:rFonts w:cs="Times New Roman"/>
      <w:sz w:val="16"/>
      <w:szCs w:val="16"/>
    </w:rPr>
  </w:style>
  <w:style w:type="character" w:customStyle="1" w:styleId="CommentTextChar">
    <w:name w:val="Comment Text Char"/>
    <w:rPr>
      <w:rFonts w:cs="Times New Roman"/>
      <w:lang w:val="lv-LV" w:bidi="ar-SA"/>
    </w:rPr>
  </w:style>
  <w:style w:type="character" w:customStyle="1" w:styleId="CommentSubjectChar">
    <w:name w:val="Comment Subject Char"/>
    <w:rPr>
      <w:rFonts w:cs="Times New Roman"/>
      <w:b/>
      <w:bCs/>
      <w:lang w:val="lv-LV" w:bidi="ar-SA"/>
    </w:rPr>
  </w:style>
  <w:style w:type="character" w:customStyle="1" w:styleId="copyright1">
    <w:name w:val="copyright1"/>
    <w:rPr>
      <w:rFonts w:ascii="Calibri" w:hAnsi="Calibri" w:cs="Calibri"/>
      <w:strike w:val="0"/>
      <w:dstrike w:val="0"/>
      <w:color w:val="F3F0DA"/>
      <w:sz w:val="15"/>
      <w:szCs w:val="15"/>
      <w:u w:val="none"/>
    </w:rPr>
  </w:style>
  <w:style w:type="character" w:customStyle="1" w:styleId="ListLabel1">
    <w:name w:val="ListLabel 1"/>
    <w:rPr>
      <w:rFonts w:cs="Symbol"/>
    </w:rPr>
  </w:style>
  <w:style w:type="character" w:customStyle="1" w:styleId="il">
    <w:name w:val="il"/>
  </w:style>
  <w:style w:type="character" w:styleId="Izclums">
    <w:name w:val="Emphasis"/>
    <w:qFormat/>
    <w:rPr>
      <w:i/>
      <w:iCs/>
    </w:rPr>
  </w:style>
  <w:style w:type="character" w:customStyle="1" w:styleId="go">
    <w:name w:val="go"/>
  </w:style>
  <w:style w:type="character" w:customStyle="1" w:styleId="markedcontent">
    <w:name w:val="markedcontent"/>
  </w:style>
  <w:style w:type="character" w:customStyle="1" w:styleId="Neatrisintapieminana1">
    <w:name w:val="Neatrisināta pieminēšana1"/>
    <w:rPr>
      <w:color w:val="605E5C"/>
      <w:shd w:val="clear" w:color="auto" w:fill="E1DFDD"/>
    </w:rPr>
  </w:style>
  <w:style w:type="character" w:customStyle="1" w:styleId="UnresolvedMention">
    <w:name w:val="Unresolved Mention"/>
    <w:rPr>
      <w:color w:val="605E5C"/>
      <w:shd w:val="clear" w:color="auto" w:fill="E1DFDD"/>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paragraph" w:customStyle="1" w:styleId="Heading">
    <w:name w:val="Heading"/>
    <w:basedOn w:val="Parasts"/>
    <w:next w:val="Pamatteksts"/>
    <w:pPr>
      <w:keepNext/>
      <w:spacing w:before="240" w:after="120"/>
    </w:pPr>
    <w:rPr>
      <w:rFonts w:ascii="Courier New" w:hAnsi="Courier New" w:cs="Courier New"/>
      <w:sz w:val="28"/>
      <w:szCs w:val="28"/>
    </w:rPr>
  </w:style>
  <w:style w:type="paragraph" w:styleId="Pamatteksts">
    <w:name w:val="Body Text"/>
    <w:basedOn w:val="Parasts"/>
    <w:pPr>
      <w:spacing w:after="120"/>
    </w:pPr>
  </w:style>
  <w:style w:type="paragraph" w:styleId="Saraksts">
    <w:name w:val="List"/>
    <w:basedOn w:val="Pamatteksts"/>
    <w:rPr>
      <w:rFonts w:cs="Courier New"/>
    </w:rPr>
  </w:style>
  <w:style w:type="paragraph" w:styleId="Parakstszemobjekta">
    <w:name w:val="caption"/>
    <w:basedOn w:val="Parasts"/>
    <w:qFormat/>
    <w:pPr>
      <w:suppressLineNumbers/>
      <w:spacing w:before="120" w:after="120"/>
    </w:pPr>
    <w:rPr>
      <w:rFonts w:cs="Wingdings"/>
      <w:i/>
      <w:iCs/>
    </w:rPr>
  </w:style>
  <w:style w:type="paragraph" w:customStyle="1" w:styleId="Index">
    <w:name w:val="Index"/>
    <w:basedOn w:val="Parasts"/>
    <w:pPr>
      <w:suppressLineNumbers/>
    </w:pPr>
    <w:rPr>
      <w:rFonts w:cs="Courier New"/>
    </w:rPr>
  </w:style>
  <w:style w:type="paragraph" w:customStyle="1" w:styleId="Virsraksts">
    <w:name w:val="Virsraksts"/>
    <w:basedOn w:val="Parasts"/>
    <w:next w:val="Apakvirsraksts"/>
    <w:pPr>
      <w:keepLines/>
      <w:spacing w:before="360" w:after="360"/>
      <w:jc w:val="center"/>
    </w:pPr>
    <w:rPr>
      <w:rFonts w:ascii="Courier New" w:hAnsi="Courier New" w:cs="Courier New"/>
      <w:b/>
      <w:kern w:val="2"/>
      <w:sz w:val="32"/>
      <w:lang w:val="en-US"/>
    </w:rPr>
  </w:style>
  <w:style w:type="paragraph" w:customStyle="1" w:styleId="Rdtjs">
    <w:name w:val="Rādītājs"/>
    <w:basedOn w:val="Parasts"/>
    <w:pPr>
      <w:suppressLineNumbers/>
    </w:pPr>
    <w:rPr>
      <w:rFonts w:cs="Wingdings"/>
    </w:rPr>
  </w:style>
  <w:style w:type="paragraph" w:customStyle="1" w:styleId="WW-Caption">
    <w:name w:val="WW-Caption"/>
    <w:basedOn w:val="Parasts"/>
    <w:pPr>
      <w:suppressLineNumbers/>
      <w:spacing w:before="120" w:after="120"/>
    </w:pPr>
    <w:rPr>
      <w:rFonts w:cs="Courier New"/>
      <w:i/>
      <w:iCs/>
    </w:rPr>
  </w:style>
  <w:style w:type="paragraph" w:customStyle="1" w:styleId="Galveneunkjene">
    <w:name w:val="Galvene un kājene"/>
    <w:basedOn w:val="Parasts"/>
    <w:pPr>
      <w:suppressLineNumbers/>
      <w:tabs>
        <w:tab w:val="center" w:pos="4819"/>
        <w:tab w:val="right" w:pos="9638"/>
      </w:tabs>
    </w:pPr>
  </w:style>
  <w:style w:type="paragraph" w:customStyle="1" w:styleId="HeaderandFooter">
    <w:name w:val="Header and Footer"/>
    <w:basedOn w:val="Parasts"/>
    <w:pPr>
      <w:suppressLineNumbers/>
      <w:tabs>
        <w:tab w:val="center" w:pos="4819"/>
        <w:tab w:val="right" w:pos="9638"/>
      </w:tabs>
    </w:pPr>
  </w:style>
  <w:style w:type="paragraph" w:styleId="Galvene">
    <w:name w:val="header"/>
    <w:basedOn w:val="Parasts"/>
  </w:style>
  <w:style w:type="paragraph" w:styleId="Kjene">
    <w:name w:val="footer"/>
    <w:basedOn w:val="Parasts"/>
  </w:style>
  <w:style w:type="paragraph" w:styleId="Pamattekstsaratkpi">
    <w:name w:val="Body Text Indent"/>
    <w:basedOn w:val="Parasts"/>
    <w:pPr>
      <w:ind w:firstLine="720"/>
      <w:jc w:val="both"/>
    </w:pPr>
  </w:style>
  <w:style w:type="paragraph" w:customStyle="1" w:styleId="BalloonText">
    <w:name w:val="Balloon Text"/>
    <w:basedOn w:val="Parasts"/>
    <w:rPr>
      <w:rFonts w:ascii="Courier New" w:hAnsi="Courier New" w:cs="Courier New"/>
      <w:sz w:val="16"/>
      <w:szCs w:val="16"/>
    </w:rPr>
  </w:style>
  <w:style w:type="paragraph" w:customStyle="1" w:styleId="NormalWeb">
    <w:name w:val="Normal (Web)"/>
    <w:basedOn w:val="Parasts"/>
    <w:pPr>
      <w:spacing w:before="280" w:after="280"/>
    </w:pPr>
  </w:style>
  <w:style w:type="paragraph" w:customStyle="1" w:styleId="BodyText2">
    <w:name w:val="Body Text 2"/>
    <w:basedOn w:val="Parasts"/>
    <w:pPr>
      <w:keepLines/>
      <w:overflowPunct w:val="0"/>
      <w:autoSpaceDE w:val="0"/>
      <w:spacing w:after="120" w:line="480" w:lineRule="auto"/>
      <w:textAlignment w:val="baseline"/>
    </w:pPr>
    <w:rPr>
      <w:rFonts w:ascii="Courier New" w:hAnsi="Courier New" w:cs="Courier New"/>
      <w:szCs w:val="20"/>
    </w:rPr>
  </w:style>
  <w:style w:type="paragraph" w:styleId="Apakvirsraksts">
    <w:name w:val="Subtitle"/>
    <w:basedOn w:val="Heading"/>
    <w:next w:val="Pamatteksts"/>
    <w:qFormat/>
    <w:pPr>
      <w:jc w:val="center"/>
    </w:pPr>
    <w:rPr>
      <w:i/>
      <w:iCs/>
    </w:rPr>
  </w:style>
  <w:style w:type="paragraph" w:customStyle="1" w:styleId="Framecontents">
    <w:name w:val="Frame contents"/>
    <w:basedOn w:val="Pamatteksts"/>
  </w:style>
  <w:style w:type="paragraph" w:customStyle="1" w:styleId="tv2131">
    <w:name w:val="tv2131"/>
    <w:basedOn w:val="Parasts"/>
    <w:pPr>
      <w:suppressAutoHyphens w:val="0"/>
      <w:spacing w:before="240" w:line="360" w:lineRule="auto"/>
      <w:ind w:firstLine="300"/>
      <w:jc w:val="both"/>
    </w:pPr>
    <w:rPr>
      <w:rFonts w:ascii="Calibri" w:hAnsi="Calibri" w:cs="Calibri"/>
      <w:sz w:val="18"/>
      <w:szCs w:val="18"/>
    </w:rPr>
  </w:style>
  <w:style w:type="paragraph" w:customStyle="1" w:styleId="CommentText">
    <w:name w:val="Comment Text"/>
    <w:basedOn w:val="Parasts"/>
    <w:rPr>
      <w:sz w:val="20"/>
      <w:szCs w:val="20"/>
    </w:rPr>
  </w:style>
  <w:style w:type="paragraph" w:customStyle="1" w:styleId="CommentSubject">
    <w:name w:val="Comment Subject"/>
    <w:basedOn w:val="CommentText"/>
    <w:next w:val="CommentText"/>
    <w:rPr>
      <w:b/>
      <w:bCs/>
    </w:rPr>
  </w:style>
  <w:style w:type="paragraph" w:customStyle="1" w:styleId="ListParagraph">
    <w:name w:val="List Paragraph"/>
    <w:basedOn w:val="Parasts"/>
    <w:pPr>
      <w:suppressAutoHyphens w:val="0"/>
      <w:spacing w:after="200" w:line="276" w:lineRule="auto"/>
      <w:ind w:left="720"/>
    </w:pPr>
    <w:rPr>
      <w:rFonts w:ascii="Wingdings" w:eastAsia="Wingdings" w:hAnsi="Wingdings" w:cs="Wingdings"/>
      <w:sz w:val="22"/>
      <w:szCs w:val="22"/>
    </w:rPr>
  </w:style>
  <w:style w:type="paragraph" w:customStyle="1" w:styleId="Ietvarasaturs">
    <w:name w:val="Ietvara saturs"/>
    <w:basedOn w:val="Parasts"/>
  </w:style>
  <w:style w:type="paragraph" w:customStyle="1" w:styleId="Standard">
    <w:name w:val="Standard"/>
    <w:pPr>
      <w:suppressAutoHyphens/>
    </w:pPr>
    <w:rPr>
      <w:rFonts w:ascii="Liberation Serif" w:eastAsia="NSimSun" w:hAnsi="Liberation Serif" w:cs="Arial Unicode MS"/>
      <w:kern w:val="2"/>
      <w:sz w:val="24"/>
      <w:szCs w:val="24"/>
      <w:lang w:eastAsia="zh-CN" w:bidi="hi-IN"/>
    </w:rPr>
  </w:style>
  <w:style w:type="paragraph" w:customStyle="1" w:styleId="tv213">
    <w:name w:val="tv213"/>
    <w:basedOn w:val="Parasts"/>
    <w:pPr>
      <w:suppressAutoHyphens w:val="0"/>
      <w:spacing w:before="280" w:after="280"/>
    </w:pPr>
  </w:style>
  <w:style w:type="paragraph" w:customStyle="1" w:styleId="Revision">
    <w:name w:val="Revision"/>
    <w:pPr>
      <w:suppressAutoHyphens/>
    </w:pPr>
    <w:rPr>
      <w:sz w:val="24"/>
      <w:szCs w:val="24"/>
      <w:lang w:eastAsia="zh-CN"/>
    </w:rPr>
  </w:style>
  <w:style w:type="paragraph" w:customStyle="1" w:styleId="FrameContents0">
    <w:name w:val="Frame Contents"/>
    <w:basedOn w:val="Parasts"/>
  </w:style>
  <w:style w:type="paragraph" w:customStyle="1" w:styleId="NoSpacing">
    <w:name w:val="No Spacing"/>
    <w:pPr>
      <w:suppressAutoHyphens/>
    </w:pPr>
    <w:rPr>
      <w:rFonts w:ascii="Liberation Serif" w:eastAsia="NSimSun" w:hAnsi="Liberation Serif" w:cs="Lucida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mkp@vzd.gov.lv" TargetMode="External"/><Relationship Id="rId3" Type="http://schemas.openxmlformats.org/officeDocument/2006/relationships/settings" Target="settings.xml"/><Relationship Id="rId7" Type="http://schemas.openxmlformats.org/officeDocument/2006/relationships/hyperlink" Target="mailto:ZKUnoteikumi@vzd.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4474</Words>
  <Characters>2551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Latvijas ģeotelpiskās informācijas aģentūras direktoram</vt:lpstr>
    </vt:vector>
  </TitlesOfParts>
  <Company/>
  <LinksUpToDate>false</LinksUpToDate>
  <CharactersWithSpaces>7011</CharactersWithSpaces>
  <SharedDoc>false</SharedDoc>
  <HLinks>
    <vt:vector size="12" baseType="variant">
      <vt:variant>
        <vt:i4>1048692</vt:i4>
      </vt:variant>
      <vt:variant>
        <vt:i4>3</vt:i4>
      </vt:variant>
      <vt:variant>
        <vt:i4>0</vt:i4>
      </vt:variant>
      <vt:variant>
        <vt:i4>5</vt:i4>
      </vt:variant>
      <vt:variant>
        <vt:lpwstr>mailto:mkp@vzd.gov.lv</vt:lpwstr>
      </vt:variant>
      <vt:variant>
        <vt:lpwstr/>
      </vt:variant>
      <vt:variant>
        <vt:i4>4325409</vt:i4>
      </vt:variant>
      <vt:variant>
        <vt:i4>0</vt:i4>
      </vt:variant>
      <vt:variant>
        <vt:i4>0</vt:i4>
      </vt:variant>
      <vt:variant>
        <vt:i4>5</vt:i4>
      </vt:variant>
      <vt:variant>
        <vt:lpwstr>mailto:ZKUnoteikumi@vzd.gov.lv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ģeotelpiskās informācijas aģentūras direktoram</dc:title>
  <dc:subject/>
  <dc:creator>Baiba</dc:creator>
  <cp:keywords/>
  <cp:lastModifiedBy>Margarita Baumane</cp:lastModifiedBy>
  <cp:revision>2</cp:revision>
  <cp:lastPrinted>2023-01-23T11:00:00Z</cp:lastPrinted>
  <dcterms:created xsi:type="dcterms:W3CDTF">2023-11-24T08:28:00Z</dcterms:created>
  <dcterms:modified xsi:type="dcterms:W3CDTF">2023-11-24T08:28:00Z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0x010100C12C8C9A437ED443B8B42645B71342C8</vt:lpwstr>
  </property>
</Properties>
</file>