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EB9D5" w14:textId="470EE765" w:rsidR="00254279" w:rsidRPr="008D4ECD" w:rsidRDefault="00254279" w:rsidP="00254279">
      <w:pPr>
        <w:rPr>
          <w:szCs w:val="24"/>
        </w:rPr>
      </w:pPr>
      <w:r w:rsidRPr="008D4ECD">
        <w:rPr>
          <w:szCs w:val="24"/>
        </w:rPr>
        <w:t>Uz 2</w:t>
      </w:r>
      <w:r w:rsidR="007841F6">
        <w:rPr>
          <w:szCs w:val="24"/>
        </w:rPr>
        <w:t>0</w:t>
      </w:r>
      <w:r w:rsidRPr="008D4ECD">
        <w:rPr>
          <w:szCs w:val="24"/>
        </w:rPr>
        <w:t>.0</w:t>
      </w:r>
      <w:r w:rsidR="007841F6">
        <w:rPr>
          <w:szCs w:val="24"/>
        </w:rPr>
        <w:t>5</w:t>
      </w:r>
      <w:r w:rsidRPr="008D4ECD">
        <w:rPr>
          <w:szCs w:val="24"/>
        </w:rPr>
        <w:t>.202</w:t>
      </w:r>
      <w:r w:rsidR="007841F6">
        <w:rPr>
          <w:szCs w:val="24"/>
        </w:rPr>
        <w:t>1</w:t>
      </w:r>
      <w:r w:rsidRPr="008D4ECD">
        <w:rPr>
          <w:szCs w:val="24"/>
        </w:rPr>
        <w:t>. VSS-</w:t>
      </w:r>
      <w:r>
        <w:rPr>
          <w:szCs w:val="24"/>
        </w:rPr>
        <w:t>462</w:t>
      </w:r>
      <w:r w:rsidRPr="008D4ECD">
        <w:rPr>
          <w:szCs w:val="24"/>
        </w:rPr>
        <w:t xml:space="preserve"> (prot. Nr. </w:t>
      </w:r>
      <w:r w:rsidR="007841F6">
        <w:rPr>
          <w:szCs w:val="24"/>
        </w:rPr>
        <w:t>1</w:t>
      </w:r>
      <w:r w:rsidRPr="008D4ECD">
        <w:rPr>
          <w:szCs w:val="24"/>
        </w:rPr>
        <w:t xml:space="preserve">9 </w:t>
      </w:r>
      <w:r w:rsidR="007841F6">
        <w:rPr>
          <w:szCs w:val="24"/>
        </w:rPr>
        <w:t>26</w:t>
      </w:r>
      <w:r w:rsidRPr="008D4ECD">
        <w:rPr>
          <w:szCs w:val="24"/>
        </w:rPr>
        <w:t>.§)</w:t>
      </w:r>
    </w:p>
    <w:p w14:paraId="327BEB88" w14:textId="77777777" w:rsidR="00254279" w:rsidRPr="008D4ECD" w:rsidRDefault="00254279" w:rsidP="00254279">
      <w:pPr>
        <w:rPr>
          <w:szCs w:val="24"/>
        </w:rPr>
      </w:pPr>
    </w:p>
    <w:p w14:paraId="5707A15D" w14:textId="77777777" w:rsidR="00254279" w:rsidRPr="008D4ECD" w:rsidRDefault="00254279" w:rsidP="00254279">
      <w:pPr>
        <w:jc w:val="right"/>
        <w:rPr>
          <w:b/>
          <w:szCs w:val="24"/>
        </w:rPr>
      </w:pPr>
      <w:r w:rsidRPr="008D4ECD">
        <w:rPr>
          <w:b/>
          <w:szCs w:val="24"/>
        </w:rPr>
        <w:t>Vides aizsardzības un reģionālās</w:t>
      </w:r>
    </w:p>
    <w:p w14:paraId="5AC64845" w14:textId="77777777" w:rsidR="00254279" w:rsidRPr="008D4ECD" w:rsidRDefault="00254279" w:rsidP="00254279">
      <w:pPr>
        <w:jc w:val="right"/>
        <w:rPr>
          <w:b/>
          <w:szCs w:val="24"/>
        </w:rPr>
      </w:pPr>
      <w:r w:rsidRPr="008D4ECD">
        <w:rPr>
          <w:b/>
          <w:szCs w:val="24"/>
        </w:rPr>
        <w:t>attīstības ministrijai</w:t>
      </w:r>
    </w:p>
    <w:p w14:paraId="03CF76F5" w14:textId="77777777" w:rsidR="00254279" w:rsidRPr="008D4ECD" w:rsidRDefault="00254279" w:rsidP="00254279">
      <w:pPr>
        <w:ind w:right="4549"/>
        <w:rPr>
          <w:b/>
          <w:i/>
          <w:szCs w:val="24"/>
        </w:rPr>
      </w:pPr>
    </w:p>
    <w:p w14:paraId="49133A18" w14:textId="2040E3CC" w:rsidR="00254279" w:rsidRPr="008D4ECD" w:rsidRDefault="00254279" w:rsidP="00254279">
      <w:pPr>
        <w:ind w:right="4549"/>
        <w:rPr>
          <w:rFonts w:eastAsia="Times New Roman"/>
          <w:i/>
          <w:szCs w:val="24"/>
          <w:lang w:eastAsia="zh-CN"/>
        </w:rPr>
      </w:pPr>
      <w:r w:rsidRPr="008D4ECD">
        <w:rPr>
          <w:i/>
          <w:szCs w:val="24"/>
        </w:rPr>
        <w:t>Atzinums par</w:t>
      </w:r>
      <w:r w:rsidRPr="008D4ECD">
        <w:rPr>
          <w:rFonts w:eastAsia="Times New Roman"/>
          <w:i/>
          <w:szCs w:val="24"/>
          <w:lang w:eastAsia="zh-CN"/>
        </w:rPr>
        <w:t xml:space="preserve"> Ministru kabineta noteikumu projektu </w:t>
      </w:r>
      <w:r w:rsidRPr="008D4ECD">
        <w:rPr>
          <w:bCs/>
          <w:i/>
          <w:szCs w:val="24"/>
        </w:rPr>
        <w:t>"</w:t>
      </w:r>
      <w:r w:rsidR="007841F6" w:rsidRPr="007841F6">
        <w:rPr>
          <w:i/>
          <w:szCs w:val="24"/>
        </w:rPr>
        <w:t>Dabas parka "Piejūra" individuālie aizsardzības un izmantošanas noteikumi</w:t>
      </w:r>
      <w:r w:rsidRPr="008D4ECD">
        <w:rPr>
          <w:i/>
          <w:szCs w:val="24"/>
        </w:rPr>
        <w:t>"</w:t>
      </w:r>
    </w:p>
    <w:p w14:paraId="01A88131" w14:textId="77777777" w:rsidR="00254279" w:rsidRPr="008D4ECD" w:rsidRDefault="00254279" w:rsidP="00254279">
      <w:pPr>
        <w:rPr>
          <w:i/>
          <w:szCs w:val="24"/>
        </w:rPr>
      </w:pPr>
    </w:p>
    <w:p w14:paraId="3870D971" w14:textId="2BF12A22" w:rsidR="00254279" w:rsidRPr="008D4ECD" w:rsidRDefault="00254279" w:rsidP="00254279">
      <w:pPr>
        <w:ind w:firstLine="709"/>
        <w:rPr>
          <w:szCs w:val="24"/>
        </w:rPr>
      </w:pPr>
      <w:bookmarkStart w:id="0" w:name="_Hlk509317871"/>
      <w:r w:rsidRPr="008D4ECD">
        <w:rPr>
          <w:szCs w:val="24"/>
        </w:rPr>
        <w:t xml:space="preserve">Tieslietu ministrija ir izskatījusi Vides aizsardzības un reģionālās attīstības ministrijas izstrādāto </w:t>
      </w:r>
      <w:r w:rsidRPr="008D4ECD">
        <w:rPr>
          <w:bCs/>
          <w:szCs w:val="24"/>
        </w:rPr>
        <w:t>Ministru kabineta noteikumu projektu "</w:t>
      </w:r>
      <w:r w:rsidR="007841F6" w:rsidRPr="007841F6">
        <w:rPr>
          <w:iCs/>
          <w:szCs w:val="24"/>
        </w:rPr>
        <w:t>Dabas parka "Piejūra" individuālie aizsardzības un izmantošanas noteikumi</w:t>
      </w:r>
      <w:r w:rsidRPr="008D4ECD">
        <w:rPr>
          <w:rFonts w:eastAsia="Times New Roman"/>
          <w:bCs/>
          <w:szCs w:val="24"/>
        </w:rPr>
        <w:t>"</w:t>
      </w:r>
      <w:r w:rsidRPr="008D4ECD">
        <w:rPr>
          <w:szCs w:val="24"/>
        </w:rPr>
        <w:t xml:space="preserve"> (turpmāk</w:t>
      </w:r>
      <w:r>
        <w:rPr>
          <w:szCs w:val="24"/>
        </w:rPr>
        <w:t> </w:t>
      </w:r>
      <w:r w:rsidRPr="008D4ECD">
        <w:rPr>
          <w:szCs w:val="24"/>
        </w:rPr>
        <w:t>– noteikumu projekts), tā sākotnējās ietekmes novērtējuma ziņojumu (turpmāk</w:t>
      </w:r>
      <w:r>
        <w:rPr>
          <w:szCs w:val="24"/>
        </w:rPr>
        <w:t> </w:t>
      </w:r>
      <w:r w:rsidRPr="008D4ECD">
        <w:rPr>
          <w:szCs w:val="24"/>
        </w:rPr>
        <w:t xml:space="preserve">– anotācija) un </w:t>
      </w:r>
      <w:r w:rsidRPr="008D4ECD">
        <w:rPr>
          <w:b/>
          <w:szCs w:val="24"/>
        </w:rPr>
        <w:t>atbalsta</w:t>
      </w:r>
      <w:r w:rsidRPr="008D4ECD">
        <w:rPr>
          <w:szCs w:val="24"/>
        </w:rPr>
        <w:t xml:space="preserve"> noteikumu projekta tālāku virzību, izsakot šādu</w:t>
      </w:r>
      <w:r w:rsidR="00712710">
        <w:rPr>
          <w:szCs w:val="24"/>
        </w:rPr>
        <w:t>s</w:t>
      </w:r>
      <w:r w:rsidRPr="008D4ECD">
        <w:rPr>
          <w:szCs w:val="24"/>
        </w:rPr>
        <w:t xml:space="preserve"> iebildumu</w:t>
      </w:r>
      <w:r w:rsidR="00712710">
        <w:rPr>
          <w:szCs w:val="24"/>
        </w:rPr>
        <w:t>s</w:t>
      </w:r>
      <w:r w:rsidRPr="008D4ECD">
        <w:rPr>
          <w:szCs w:val="24"/>
        </w:rPr>
        <w:t>:</w:t>
      </w:r>
    </w:p>
    <w:p w14:paraId="538E8B91" w14:textId="6843BD3B" w:rsidR="00C37873" w:rsidRDefault="00C37873" w:rsidP="00C37873">
      <w:pPr>
        <w:pStyle w:val="ListParagraph"/>
        <w:numPr>
          <w:ilvl w:val="0"/>
          <w:numId w:val="13"/>
        </w:numPr>
        <w:tabs>
          <w:tab w:val="left" w:pos="1134"/>
        </w:tabs>
        <w:suppressAutoHyphens/>
        <w:ind w:left="0" w:right="12" w:firstLine="709"/>
        <w:rPr>
          <w:rFonts w:eastAsia="Times New Roman"/>
          <w:bCs/>
          <w:szCs w:val="24"/>
          <w:lang w:eastAsia="lv-LV"/>
        </w:rPr>
      </w:pPr>
      <w:r>
        <w:rPr>
          <w:rFonts w:eastAsia="Times New Roman"/>
          <w:szCs w:val="24"/>
          <w:lang w:eastAsia="lv-LV"/>
        </w:rPr>
        <w:t xml:space="preserve">Lūdzam precizēt anotācijas I sadaļas 2. punktu atbilstoši </w:t>
      </w:r>
      <w:r w:rsidRPr="008D4ECD">
        <w:rPr>
          <w:rFonts w:eastAsia="Times New Roman"/>
          <w:szCs w:val="24"/>
          <w:lang w:eastAsia="zh-CN"/>
        </w:rPr>
        <w:t xml:space="preserve">Ministru kabineta 2009. gada 15. decembra instrukcijas Nr. 19 </w:t>
      </w:r>
      <w:r w:rsidRPr="008D4ECD">
        <w:rPr>
          <w:rFonts w:eastAsia="Times New Roman"/>
          <w:bCs/>
          <w:szCs w:val="24"/>
          <w:lang w:eastAsia="zh-CN"/>
        </w:rPr>
        <w:t>"Tiesību akta projekta sākotnējās ietekmes izvērtēšanas kārtība" (turpmāk</w:t>
      </w:r>
      <w:r>
        <w:rPr>
          <w:rFonts w:eastAsia="Times New Roman"/>
          <w:bCs/>
          <w:szCs w:val="24"/>
          <w:lang w:eastAsia="zh-CN"/>
        </w:rPr>
        <w:t> </w:t>
      </w:r>
      <w:r w:rsidRPr="008D4ECD">
        <w:rPr>
          <w:rFonts w:eastAsia="Times New Roman"/>
          <w:bCs/>
          <w:szCs w:val="24"/>
          <w:lang w:eastAsia="zh-CN"/>
        </w:rPr>
        <w:t>– Instrukcija Nr. 19) 14. punktam.</w:t>
      </w:r>
      <w:r>
        <w:rPr>
          <w:rFonts w:eastAsia="Times New Roman"/>
          <w:bCs/>
          <w:szCs w:val="24"/>
          <w:lang w:eastAsia="zh-CN"/>
        </w:rPr>
        <w:t xml:space="preserve"> Vēršam uzmanību, ka anotācijā nav sniegts skaidrojums, kāpēc noteikumu projekta 4. punktā </w:t>
      </w:r>
      <w:r w:rsidRPr="00EC40FD">
        <w:rPr>
          <w:rFonts w:eastAsia="Times New Roman"/>
          <w:bCs/>
          <w:szCs w:val="24"/>
          <w:u w:val="single"/>
          <w:lang w:eastAsia="zh-CN"/>
        </w:rPr>
        <w:t xml:space="preserve">dabas parka platība ir </w:t>
      </w:r>
      <w:r w:rsidR="00A74AD3" w:rsidRPr="00EC40FD">
        <w:rPr>
          <w:rFonts w:eastAsia="Times New Roman"/>
          <w:bCs/>
          <w:szCs w:val="24"/>
          <w:u w:val="single"/>
          <w:lang w:eastAsia="zh-CN"/>
        </w:rPr>
        <w:t xml:space="preserve">noteikta </w:t>
      </w:r>
      <w:r w:rsidRPr="00EC40FD">
        <w:rPr>
          <w:rFonts w:eastAsia="Times New Roman"/>
          <w:bCs/>
          <w:szCs w:val="24"/>
          <w:u w:val="single"/>
          <w:lang w:eastAsia="zh-CN"/>
        </w:rPr>
        <w:t>mazāka</w:t>
      </w:r>
      <w:r>
        <w:rPr>
          <w:rFonts w:eastAsia="Times New Roman"/>
          <w:bCs/>
          <w:szCs w:val="24"/>
          <w:lang w:eastAsia="zh-CN"/>
        </w:rPr>
        <w:t xml:space="preserve">, nekā tā šobrīd ir </w:t>
      </w:r>
      <w:r w:rsidRPr="00C37873">
        <w:rPr>
          <w:rFonts w:eastAsia="Times New Roman"/>
          <w:bCs/>
          <w:szCs w:val="24"/>
          <w:lang w:eastAsia="lv-LV"/>
        </w:rPr>
        <w:t>Ministru kabineta 2006. gada 14. marta noteikumu Nr. 204</w:t>
      </w:r>
      <w:r>
        <w:rPr>
          <w:rFonts w:eastAsia="Times New Roman"/>
          <w:bCs/>
          <w:szCs w:val="24"/>
          <w:lang w:eastAsia="lv-LV"/>
        </w:rPr>
        <w:t xml:space="preserve"> </w:t>
      </w:r>
      <w:r w:rsidRPr="00C37873">
        <w:rPr>
          <w:rFonts w:eastAsia="Times New Roman"/>
          <w:bCs/>
          <w:szCs w:val="24"/>
          <w:lang w:eastAsia="lv-LV"/>
        </w:rPr>
        <w:t xml:space="preserve">"Dabas parka "Piejūra" individuālie aizsardzības un izmantošanas noteikumi" </w:t>
      </w:r>
      <w:r w:rsidR="000D77EC">
        <w:rPr>
          <w:rFonts w:eastAsia="Times New Roman"/>
          <w:bCs/>
          <w:szCs w:val="24"/>
          <w:lang w:eastAsia="lv-LV"/>
        </w:rPr>
        <w:t xml:space="preserve">(turpmāk – MK noteikumi Nr. 204) </w:t>
      </w:r>
      <w:r w:rsidRPr="00C37873">
        <w:rPr>
          <w:rFonts w:eastAsia="Times New Roman"/>
          <w:bCs/>
          <w:szCs w:val="24"/>
          <w:lang w:eastAsia="lv-LV"/>
        </w:rPr>
        <w:t>3. punktā.</w:t>
      </w:r>
    </w:p>
    <w:p w14:paraId="2CB7A05B" w14:textId="335F766B" w:rsidR="00CD6F67" w:rsidRDefault="00CD6F67" w:rsidP="006205D1">
      <w:pPr>
        <w:pStyle w:val="ListParagraph"/>
        <w:tabs>
          <w:tab w:val="left" w:pos="1134"/>
        </w:tabs>
        <w:suppressAutoHyphens/>
        <w:ind w:left="0" w:right="12" w:firstLine="709"/>
        <w:rPr>
          <w:szCs w:val="24"/>
        </w:rPr>
      </w:pPr>
      <w:r>
        <w:rPr>
          <w:rFonts w:eastAsia="Times New Roman"/>
          <w:bCs/>
          <w:szCs w:val="24"/>
          <w:lang w:eastAsia="lv-LV"/>
        </w:rPr>
        <w:t xml:space="preserve">Tāpat </w:t>
      </w:r>
      <w:r w:rsidRPr="00B64D0D">
        <w:rPr>
          <w:szCs w:val="24"/>
        </w:rPr>
        <w:t xml:space="preserve">dabas parka </w:t>
      </w:r>
      <w:r w:rsidR="00B64D0D" w:rsidRPr="00B64D0D">
        <w:rPr>
          <w:szCs w:val="24"/>
        </w:rPr>
        <w:t>"</w:t>
      </w:r>
      <w:r w:rsidRPr="00B64D0D">
        <w:rPr>
          <w:szCs w:val="24"/>
        </w:rPr>
        <w:t>Piejūra</w:t>
      </w:r>
      <w:r w:rsidR="00B64D0D" w:rsidRPr="00B64D0D">
        <w:rPr>
          <w:szCs w:val="24"/>
        </w:rPr>
        <w:t>" dabas aizsardzības plāna 11. lappus</w:t>
      </w:r>
      <w:r w:rsidR="00B64D0D">
        <w:rPr>
          <w:szCs w:val="24"/>
        </w:rPr>
        <w:t xml:space="preserve">ē ir minēts, ka viens no plānotajiem pasākumiem ir </w:t>
      </w:r>
      <w:r w:rsidRPr="00AA6979">
        <w:rPr>
          <w:szCs w:val="24"/>
        </w:rPr>
        <w:t xml:space="preserve">dabas parka </w:t>
      </w:r>
      <w:r>
        <w:rPr>
          <w:szCs w:val="24"/>
        </w:rPr>
        <w:t xml:space="preserve">robežu precizēšana un </w:t>
      </w:r>
      <w:r w:rsidRPr="00EC40FD">
        <w:rPr>
          <w:szCs w:val="24"/>
          <w:u w:val="single"/>
        </w:rPr>
        <w:t>dabas parka paplašināšana</w:t>
      </w:r>
      <w:r>
        <w:rPr>
          <w:szCs w:val="24"/>
        </w:rPr>
        <w:t>, iekļaujot tajā Gaujas grīvas kreisā krasta pļavas</w:t>
      </w:r>
      <w:r w:rsidR="00B64D0D">
        <w:rPr>
          <w:szCs w:val="24"/>
        </w:rPr>
        <w:t xml:space="preserve">. Minētais ir </w:t>
      </w:r>
      <w:r w:rsidR="006205D1">
        <w:rPr>
          <w:szCs w:val="24"/>
        </w:rPr>
        <w:t xml:space="preserve">aprakstīts arī plāna VI nodaļā, proti, ka būs nepieciešami grozījumi normatīvajos aktos. </w:t>
      </w:r>
      <w:r w:rsidRPr="00CD6F67">
        <w:rPr>
          <w:rFonts w:eastAsiaTheme="minorHAnsi"/>
          <w:szCs w:val="24"/>
        </w:rPr>
        <w:t xml:space="preserve">Ievērojot minēto, lūdzam papildināt anotāciju ar skaidrojumu, </w:t>
      </w:r>
      <w:r w:rsidR="006205D1">
        <w:rPr>
          <w:rFonts w:eastAsiaTheme="minorHAnsi"/>
          <w:szCs w:val="24"/>
        </w:rPr>
        <w:t>kad tiks izpildīts plānā paredzētais par</w:t>
      </w:r>
      <w:r w:rsidRPr="00CD6F67">
        <w:rPr>
          <w:rFonts w:eastAsiaTheme="minorHAnsi"/>
          <w:szCs w:val="24"/>
        </w:rPr>
        <w:t xml:space="preserve"> </w:t>
      </w:r>
      <w:r w:rsidR="006205D1" w:rsidRPr="00AA6979">
        <w:rPr>
          <w:szCs w:val="24"/>
        </w:rPr>
        <w:t xml:space="preserve">dabas parka </w:t>
      </w:r>
      <w:r w:rsidR="006205D1">
        <w:rPr>
          <w:szCs w:val="24"/>
        </w:rPr>
        <w:t>robežu precizēšanu un dabas parka paplašināšanu</w:t>
      </w:r>
      <w:r w:rsidR="006205D1">
        <w:rPr>
          <w:rFonts w:eastAsiaTheme="minorHAnsi"/>
          <w:szCs w:val="24"/>
        </w:rPr>
        <w:t xml:space="preserve">, attiecīgi arī aizpildot </w:t>
      </w:r>
      <w:r w:rsidR="006205D1" w:rsidRPr="00CD6F67">
        <w:rPr>
          <w:szCs w:val="24"/>
        </w:rPr>
        <w:t>anotācijas IV sadaļu</w:t>
      </w:r>
      <w:r w:rsidR="006205D1">
        <w:rPr>
          <w:szCs w:val="24"/>
        </w:rPr>
        <w:t>, sniedzot informāciju, kādi grozījumi ir nepieciešami normatīvajos aktos.</w:t>
      </w:r>
    </w:p>
    <w:p w14:paraId="5BF2D98D" w14:textId="54AA1050" w:rsidR="00CB5338" w:rsidRPr="00874E5F" w:rsidRDefault="00CB5338" w:rsidP="00CB5338">
      <w:pPr>
        <w:pStyle w:val="ListParagraph"/>
        <w:numPr>
          <w:ilvl w:val="0"/>
          <w:numId w:val="13"/>
        </w:numPr>
        <w:tabs>
          <w:tab w:val="left" w:pos="1134"/>
        </w:tabs>
        <w:suppressAutoHyphens/>
        <w:ind w:left="0" w:right="12" w:firstLine="709"/>
        <w:rPr>
          <w:szCs w:val="24"/>
          <w:shd w:val="clear" w:color="auto" w:fill="FFFFFF"/>
        </w:rPr>
      </w:pPr>
      <w:r w:rsidRPr="00B16324">
        <w:rPr>
          <w:rFonts w:eastAsiaTheme="minorHAnsi"/>
          <w:szCs w:val="24"/>
        </w:rPr>
        <w:t xml:space="preserve">Anotācijā norādīts, ka </w:t>
      </w:r>
      <w:r>
        <w:rPr>
          <w:rFonts w:eastAsiaTheme="minorHAnsi"/>
          <w:szCs w:val="24"/>
        </w:rPr>
        <w:t xml:space="preserve">noteikumu </w:t>
      </w:r>
      <w:r w:rsidRPr="00B16324">
        <w:rPr>
          <w:rFonts w:eastAsiaTheme="minorHAnsi"/>
          <w:szCs w:val="24"/>
        </w:rPr>
        <w:t xml:space="preserve">projekts ir balstīts uz </w:t>
      </w:r>
      <w:r w:rsidR="00307614" w:rsidRPr="00B64D0D">
        <w:rPr>
          <w:szCs w:val="24"/>
        </w:rPr>
        <w:t xml:space="preserve">dabas parka "Piejūra" dabas aizsardzības plāna </w:t>
      </w:r>
      <w:r w:rsidRPr="00B16324">
        <w:rPr>
          <w:rFonts w:eastAsiaTheme="minorHAnsi"/>
          <w:szCs w:val="24"/>
        </w:rPr>
        <w:t>iekļautajiem priekšlikumiem</w:t>
      </w:r>
      <w:r w:rsidR="00F8122F">
        <w:rPr>
          <w:rFonts w:eastAsiaTheme="minorHAnsi"/>
          <w:szCs w:val="24"/>
        </w:rPr>
        <w:t>,</w:t>
      </w:r>
      <w:r w:rsidRPr="00B16324">
        <w:rPr>
          <w:rFonts w:eastAsiaTheme="minorHAnsi"/>
          <w:szCs w:val="24"/>
        </w:rPr>
        <w:t xml:space="preserve"> </w:t>
      </w:r>
      <w:r w:rsidR="00F8122F">
        <w:rPr>
          <w:rFonts w:eastAsiaTheme="minorHAnsi"/>
          <w:szCs w:val="24"/>
        </w:rPr>
        <w:t>t</w:t>
      </w:r>
      <w:r w:rsidRPr="00B16324">
        <w:rPr>
          <w:rFonts w:eastAsiaTheme="minorHAnsi"/>
          <w:szCs w:val="24"/>
        </w:rPr>
        <w:t xml:space="preserve">omēr </w:t>
      </w:r>
      <w:r>
        <w:rPr>
          <w:rFonts w:eastAsiaTheme="minorHAnsi"/>
          <w:szCs w:val="24"/>
        </w:rPr>
        <w:t xml:space="preserve">noteikumu </w:t>
      </w:r>
      <w:r w:rsidRPr="00B16324">
        <w:rPr>
          <w:rFonts w:eastAsiaTheme="minorHAnsi"/>
          <w:szCs w:val="24"/>
        </w:rPr>
        <w:t xml:space="preserve">projektā ir vērojamas atkāpes no plānā ieteiktā. Piemēram, </w:t>
      </w:r>
      <w:r w:rsidR="00307614" w:rsidRPr="00B64D0D">
        <w:rPr>
          <w:szCs w:val="24"/>
        </w:rPr>
        <w:t xml:space="preserve">dabas parka "Piejūra" dabas aizsardzības plāna </w:t>
      </w:r>
      <w:r>
        <w:rPr>
          <w:rFonts w:eastAsiaTheme="minorHAnsi"/>
          <w:szCs w:val="24"/>
        </w:rPr>
        <w:t>320</w:t>
      </w:r>
      <w:r w:rsidRPr="00B16324">
        <w:rPr>
          <w:rFonts w:eastAsiaTheme="minorHAnsi"/>
          <w:szCs w:val="24"/>
        </w:rPr>
        <w:t>. lap</w:t>
      </w:r>
      <w:r>
        <w:rPr>
          <w:rFonts w:eastAsiaTheme="minorHAnsi"/>
          <w:szCs w:val="24"/>
        </w:rPr>
        <w:t>pusē</w:t>
      </w:r>
      <w:r w:rsidRPr="00B16324">
        <w:rPr>
          <w:rFonts w:eastAsiaTheme="minorHAnsi"/>
          <w:szCs w:val="24"/>
        </w:rPr>
        <w:t xml:space="preserve"> ieteikts visā </w:t>
      </w:r>
      <w:r>
        <w:rPr>
          <w:rFonts w:eastAsiaTheme="minorHAnsi"/>
          <w:szCs w:val="24"/>
        </w:rPr>
        <w:t>dabas parka</w:t>
      </w:r>
      <w:r w:rsidRPr="00B16324">
        <w:rPr>
          <w:rFonts w:eastAsiaTheme="minorHAnsi"/>
          <w:szCs w:val="24"/>
        </w:rPr>
        <w:t xml:space="preserve"> teritorijā aizliegt </w:t>
      </w:r>
      <w:r w:rsidRPr="00B16324">
        <w:rPr>
          <w:szCs w:val="24"/>
          <w:lang w:eastAsia="lv-LV"/>
        </w:rPr>
        <w:t xml:space="preserve">medībās lietot šāviņus, kas satur svinu, kā arī atrasties teritorijā ar svinu saturošu munīciju (izņemot </w:t>
      </w:r>
      <w:r w:rsidRPr="009A5D6D">
        <w:rPr>
          <w:szCs w:val="24"/>
          <w:lang w:eastAsia="lv-LV"/>
        </w:rPr>
        <w:t xml:space="preserve">gadījumu, ja tiek veikti valsts aizsardzības uzdevumi). Savukārt noteikumu projekta 11.7. apakšpunkts paredz, ka dabas parka teritorijā aizliegts lietot ūdensputnu medībās šāviņus, kas satur svinu. </w:t>
      </w:r>
      <w:r>
        <w:rPr>
          <w:szCs w:val="24"/>
          <w:lang w:eastAsia="lv-LV"/>
        </w:rPr>
        <w:t xml:space="preserve">Tāpat noteikumu projekta 11.12. apakšpunkts paredz aizliegt </w:t>
      </w:r>
      <w:r w:rsidRPr="00CB5338">
        <w:rPr>
          <w:szCs w:val="24"/>
          <w:lang w:eastAsia="lv-LV"/>
        </w:rPr>
        <w:t xml:space="preserve">pieļaut suņu atrašanos brīvā dabā bez pavadas, izņemot medības regulējošajos normatīvajos aktos noteiktos gadījumus un kārtību, bet </w:t>
      </w:r>
      <w:r w:rsidRPr="00CB5338">
        <w:rPr>
          <w:rFonts w:eastAsiaTheme="minorHAnsi"/>
          <w:szCs w:val="24"/>
        </w:rPr>
        <w:t xml:space="preserve">dabas aizsardzības plāna 320. lappusē ieteikts aizliegt </w:t>
      </w:r>
      <w:r w:rsidRPr="00CB5338">
        <w:rPr>
          <w:szCs w:val="24"/>
          <w:lang w:eastAsia="lv-LV"/>
        </w:rPr>
        <w:t xml:space="preserve">pieļaut suņu atrašanos brīvā dabā bez pavadas, </w:t>
      </w:r>
      <w:r w:rsidRPr="00CB5338">
        <w:rPr>
          <w:szCs w:val="24"/>
          <w:u w:val="single"/>
          <w:lang w:eastAsia="lv-LV"/>
        </w:rPr>
        <w:t>izņemot neitrālo zonu</w:t>
      </w:r>
      <w:r w:rsidRPr="00CB5338">
        <w:rPr>
          <w:szCs w:val="24"/>
          <w:lang w:eastAsia="lv-LV"/>
        </w:rPr>
        <w:t xml:space="preserve"> un medības regulējošajos normatīvajos aktos noteikt</w:t>
      </w:r>
      <w:r w:rsidR="00C702AF">
        <w:rPr>
          <w:szCs w:val="24"/>
          <w:lang w:eastAsia="lv-LV"/>
        </w:rPr>
        <w:t>ajos</w:t>
      </w:r>
      <w:r w:rsidRPr="00CB5338">
        <w:rPr>
          <w:szCs w:val="24"/>
          <w:lang w:eastAsia="lv-LV"/>
        </w:rPr>
        <w:t xml:space="preserve"> gadījum</w:t>
      </w:r>
      <w:r w:rsidR="00C702AF">
        <w:rPr>
          <w:szCs w:val="24"/>
          <w:lang w:eastAsia="lv-LV"/>
        </w:rPr>
        <w:t xml:space="preserve">os </w:t>
      </w:r>
      <w:r w:rsidRPr="00CB5338">
        <w:rPr>
          <w:szCs w:val="24"/>
          <w:lang w:eastAsia="lv-LV"/>
        </w:rPr>
        <w:t>un kārtīb</w:t>
      </w:r>
      <w:r w:rsidR="00C702AF">
        <w:rPr>
          <w:szCs w:val="24"/>
          <w:lang w:eastAsia="lv-LV"/>
        </w:rPr>
        <w:t>ā</w:t>
      </w:r>
      <w:r w:rsidRPr="00CB5338">
        <w:rPr>
          <w:szCs w:val="24"/>
          <w:lang w:eastAsia="lv-LV"/>
        </w:rPr>
        <w:t>.</w:t>
      </w:r>
      <w:r w:rsidR="00874E5F">
        <w:rPr>
          <w:szCs w:val="24"/>
          <w:lang w:eastAsia="lv-LV"/>
        </w:rPr>
        <w:t xml:space="preserve"> </w:t>
      </w:r>
    </w:p>
    <w:p w14:paraId="20185BE5" w14:textId="06E3FE4F" w:rsidR="006831BE" w:rsidRDefault="00874E5F" w:rsidP="00307614">
      <w:pPr>
        <w:tabs>
          <w:tab w:val="left" w:pos="709"/>
        </w:tabs>
        <w:suppressAutoHyphens/>
        <w:ind w:right="12"/>
        <w:rPr>
          <w:szCs w:val="24"/>
          <w:lang w:eastAsia="lv-LV"/>
        </w:rPr>
      </w:pPr>
      <w:r w:rsidRPr="00F8122F">
        <w:rPr>
          <w:szCs w:val="24"/>
          <w:shd w:val="clear" w:color="auto" w:fill="FFFFFF"/>
        </w:rPr>
        <w:lastRenderedPageBreak/>
        <w:tab/>
      </w:r>
      <w:r w:rsidR="00307614">
        <w:rPr>
          <w:szCs w:val="24"/>
          <w:shd w:val="clear" w:color="auto" w:fill="FFFFFF"/>
        </w:rPr>
        <w:t>A</w:t>
      </w:r>
      <w:r w:rsidRPr="00F8122F">
        <w:rPr>
          <w:szCs w:val="24"/>
          <w:shd w:val="clear" w:color="auto" w:fill="FFFFFF"/>
        </w:rPr>
        <w:t>tkāpes ir novērojamas arī noteikumu projekta 11.14.</w:t>
      </w:r>
      <w:r w:rsidR="00545849" w:rsidRPr="00F8122F">
        <w:rPr>
          <w:szCs w:val="24"/>
          <w:shd w:val="clear" w:color="auto" w:fill="FFFFFF"/>
        </w:rPr>
        <w:t xml:space="preserve">, </w:t>
      </w:r>
      <w:r w:rsidRPr="00F8122F">
        <w:rPr>
          <w:szCs w:val="24"/>
          <w:shd w:val="clear" w:color="auto" w:fill="FFFFFF"/>
        </w:rPr>
        <w:t>11.24.</w:t>
      </w:r>
      <w:r w:rsidR="00545849" w:rsidRPr="00F8122F">
        <w:rPr>
          <w:szCs w:val="24"/>
          <w:shd w:val="clear" w:color="auto" w:fill="FFFFFF"/>
        </w:rPr>
        <w:t xml:space="preserve">, </w:t>
      </w:r>
      <w:r w:rsidR="006831BE" w:rsidRPr="00F8122F">
        <w:rPr>
          <w:szCs w:val="24"/>
          <w:shd w:val="clear" w:color="auto" w:fill="FFFFFF"/>
        </w:rPr>
        <w:t xml:space="preserve">19.9., </w:t>
      </w:r>
      <w:r w:rsidR="00F8122F" w:rsidRPr="00F8122F">
        <w:rPr>
          <w:rFonts w:eastAsia="Times New Roman"/>
          <w:szCs w:val="24"/>
          <w:lang w:eastAsia="lv-LV"/>
        </w:rPr>
        <w:t>21.13.3</w:t>
      </w:r>
      <w:r w:rsidR="00F8122F">
        <w:rPr>
          <w:rFonts w:eastAsia="Times New Roman"/>
          <w:szCs w:val="24"/>
          <w:lang w:eastAsia="lv-LV"/>
        </w:rPr>
        <w:t xml:space="preserve">., </w:t>
      </w:r>
      <w:r w:rsidR="00545849" w:rsidRPr="00F8122F">
        <w:rPr>
          <w:szCs w:val="24"/>
          <w:lang w:eastAsia="lv-LV"/>
        </w:rPr>
        <w:t>27.2.2</w:t>
      </w:r>
      <w:r w:rsidR="00545849" w:rsidRPr="00F8122F">
        <w:rPr>
          <w:rFonts w:eastAsia="Times New Roman"/>
          <w:szCs w:val="24"/>
          <w:lang w:eastAsia="lv-LV"/>
        </w:rPr>
        <w:t>.</w:t>
      </w:r>
      <w:r w:rsidR="00F8122F" w:rsidRPr="00F8122F">
        <w:rPr>
          <w:rFonts w:eastAsia="Times New Roman"/>
          <w:szCs w:val="24"/>
          <w:lang w:eastAsia="lv-LV"/>
        </w:rPr>
        <w:t xml:space="preserve"> apakšpunktā un 25. punktā. Tāpat noteikumu projekta </w:t>
      </w:r>
      <w:r w:rsidR="006831BE" w:rsidRPr="00F8122F">
        <w:rPr>
          <w:szCs w:val="24"/>
          <w:shd w:val="clear" w:color="auto" w:fill="FFFFFF"/>
        </w:rPr>
        <w:t xml:space="preserve">19.11. apakšpunktā nav ietverta </w:t>
      </w:r>
      <w:r w:rsidR="006831BE" w:rsidRPr="00F8122F">
        <w:rPr>
          <w:szCs w:val="24"/>
          <w:lang w:eastAsia="lv-LV"/>
        </w:rPr>
        <w:t>invazīvo augu sugu ierobežošanas pasākumu veikšan</w:t>
      </w:r>
      <w:r w:rsidR="00F8122F" w:rsidRPr="00F8122F">
        <w:rPr>
          <w:szCs w:val="24"/>
          <w:lang w:eastAsia="lv-LV"/>
        </w:rPr>
        <w:t>a.</w:t>
      </w:r>
    </w:p>
    <w:p w14:paraId="283E6877" w14:textId="77777777" w:rsidR="00F8122F" w:rsidRPr="00B16324" w:rsidRDefault="00F8122F" w:rsidP="00F8122F">
      <w:pPr>
        <w:pStyle w:val="ListParagraph"/>
        <w:tabs>
          <w:tab w:val="left" w:pos="1134"/>
        </w:tabs>
        <w:suppressAutoHyphens/>
        <w:ind w:left="0" w:right="12" w:firstLine="709"/>
        <w:rPr>
          <w:szCs w:val="24"/>
          <w:shd w:val="clear" w:color="auto" w:fill="FFFFFF"/>
        </w:rPr>
      </w:pPr>
      <w:r w:rsidRPr="00B16324">
        <w:rPr>
          <w:rFonts w:eastAsiaTheme="minorHAnsi"/>
          <w:szCs w:val="24"/>
        </w:rPr>
        <w:t>Ievērojot minēto, kā arī to, ka atbilstoši likuma "Par īpaši aizsargājamā dabas teritorijām" 18. panta pirmajai daļai dabas aizsardzības plānā ietvertie priekšlikumi tiek balstīti uz zinātnisko informāciju par aizsargājamo teritoriju, anotācijā būtu nepieciešams pamatot atkāpes no dabas aizsardzības plānā paredzētajiem ieteikumiem šai īpaši aizsargājamai dabas teritorijai.</w:t>
      </w:r>
    </w:p>
    <w:p w14:paraId="3BDF9966" w14:textId="77777777" w:rsidR="00C702AF" w:rsidRPr="00746CDF" w:rsidRDefault="00C702AF" w:rsidP="00C702AF">
      <w:pPr>
        <w:pStyle w:val="ListParagraph"/>
        <w:numPr>
          <w:ilvl w:val="0"/>
          <w:numId w:val="13"/>
        </w:numPr>
        <w:tabs>
          <w:tab w:val="left" w:pos="1134"/>
        </w:tabs>
        <w:suppressAutoHyphens/>
        <w:ind w:left="0" w:right="12" w:firstLine="709"/>
        <w:rPr>
          <w:rFonts w:eastAsiaTheme="minorHAnsi"/>
          <w:szCs w:val="24"/>
        </w:rPr>
      </w:pPr>
      <w:r w:rsidRPr="00746CDF">
        <w:rPr>
          <w:rFonts w:eastAsiaTheme="minorHAnsi"/>
          <w:szCs w:val="24"/>
        </w:rPr>
        <w:t xml:space="preserve">Noteikumu projekta 11.18. apakšpunkts paredz, ka </w:t>
      </w:r>
      <w:r w:rsidRPr="00746CDF">
        <w:rPr>
          <w:szCs w:val="24"/>
          <w:lang w:eastAsia="lv-LV"/>
        </w:rPr>
        <w:t>dabas parka teritorijā aizliegts kurināt ugunskurus zemes vienībā ar kadastra apzīmējumu 01001090112 atbilstoši pašvaldības saistošajiem noteikumiem par sabiedrisko kārtību Rīgā.</w:t>
      </w:r>
    </w:p>
    <w:p w14:paraId="0C0CBB6C" w14:textId="314B778A" w:rsidR="00C702AF" w:rsidRDefault="00C702AF" w:rsidP="00C702AF">
      <w:pPr>
        <w:pStyle w:val="ListParagraph"/>
        <w:tabs>
          <w:tab w:val="left" w:pos="1134"/>
        </w:tabs>
        <w:suppressAutoHyphens/>
        <w:ind w:left="0" w:right="12" w:firstLine="709"/>
        <w:rPr>
          <w:szCs w:val="24"/>
          <w:shd w:val="clear" w:color="auto" w:fill="FFFFFF"/>
        </w:rPr>
      </w:pPr>
      <w:r w:rsidRPr="00746CDF">
        <w:rPr>
          <w:rFonts w:eastAsiaTheme="minorHAnsi"/>
          <w:szCs w:val="24"/>
        </w:rPr>
        <w:t xml:space="preserve">Vēršam uzmanību, ka anotācijā nav sniegts skaidrojums, kāpēc noteikumu projektā ir jāatsaucas uz konkrētu kadastra apzīmējumu. Papildus vēršam uzmanību, ka šāda atsauce uz kadastra apzīmējumu ir lieka, jo </w:t>
      </w:r>
      <w:r w:rsidRPr="00746CDF">
        <w:rPr>
          <w:rFonts w:eastAsia="Times New Roman"/>
          <w:szCs w:val="24"/>
          <w:lang w:eastAsia="lv-LV"/>
        </w:rPr>
        <w:t xml:space="preserve">Rīgas domes 2007. gada 19. jūnija saistošo noteikumu Nr. 80 "Sabiedriskās kārtības noteikumi Rīgā" </w:t>
      </w:r>
      <w:r w:rsidRPr="00746CDF">
        <w:rPr>
          <w:szCs w:val="24"/>
          <w:shd w:val="clear" w:color="auto" w:fill="FFFFFF"/>
        </w:rPr>
        <w:t>6.19. un 6.</w:t>
      </w:r>
      <w:r w:rsidRPr="00746CDF">
        <w:rPr>
          <w:szCs w:val="24"/>
          <w:shd w:val="clear" w:color="auto" w:fill="FFFFFF"/>
          <w:vertAlign w:val="superscript"/>
        </w:rPr>
        <w:t>1</w:t>
      </w:r>
      <w:r w:rsidRPr="00746CDF">
        <w:rPr>
          <w:szCs w:val="24"/>
          <w:shd w:val="clear" w:color="auto" w:fill="FFFFFF"/>
        </w:rPr>
        <w:t>3. apakšpunktā ir paredzēts aizliegums</w:t>
      </w:r>
      <w:r w:rsidR="00307614">
        <w:rPr>
          <w:szCs w:val="24"/>
          <w:shd w:val="clear" w:color="auto" w:fill="FFFFFF"/>
        </w:rPr>
        <w:t xml:space="preserve"> un izņēmumi</w:t>
      </w:r>
      <w:r w:rsidRPr="00746CDF">
        <w:rPr>
          <w:szCs w:val="24"/>
          <w:shd w:val="clear" w:color="auto" w:fill="FFFFFF"/>
        </w:rPr>
        <w:t xml:space="preserve"> attiecībā uz ugunskuru kurināšanu, neatsaucoties uz konkrētiem kadastra apzīmējumiem.</w:t>
      </w:r>
    </w:p>
    <w:p w14:paraId="3735A573" w14:textId="4C68F1D4" w:rsidR="00DC55B1" w:rsidRDefault="00DC55B1" w:rsidP="00C702AF">
      <w:pPr>
        <w:pStyle w:val="ListParagraph"/>
        <w:tabs>
          <w:tab w:val="left" w:pos="1134"/>
        </w:tabs>
        <w:suppressAutoHyphens/>
        <w:ind w:left="0" w:right="12" w:firstLine="709"/>
        <w:rPr>
          <w:szCs w:val="24"/>
          <w:shd w:val="clear" w:color="auto" w:fill="FFFFFF"/>
        </w:rPr>
      </w:pPr>
      <w:r>
        <w:rPr>
          <w:szCs w:val="24"/>
          <w:shd w:val="clear" w:color="auto" w:fill="FFFFFF"/>
        </w:rPr>
        <w:t>Lūdzam precizēt noteikumu projektu vai sniegt skaidrojumu anotācijā.</w:t>
      </w:r>
    </w:p>
    <w:p w14:paraId="574FFB74" w14:textId="6098B8AC" w:rsidR="00C702AF" w:rsidRDefault="00EC40FD" w:rsidP="00EC40FD">
      <w:pPr>
        <w:pStyle w:val="ListParagraph"/>
        <w:numPr>
          <w:ilvl w:val="0"/>
          <w:numId w:val="13"/>
        </w:numPr>
        <w:tabs>
          <w:tab w:val="left" w:pos="1134"/>
        </w:tabs>
        <w:suppressAutoHyphens/>
        <w:ind w:left="0" w:right="12" w:firstLine="709"/>
        <w:rPr>
          <w:rFonts w:eastAsia="Times New Roman"/>
          <w:bCs/>
          <w:szCs w:val="24"/>
          <w:lang w:eastAsia="lv-LV"/>
        </w:rPr>
      </w:pPr>
      <w:r>
        <w:rPr>
          <w:szCs w:val="24"/>
          <w:shd w:val="clear" w:color="auto" w:fill="FFFFFF"/>
        </w:rPr>
        <w:t>L</w:t>
      </w:r>
      <w:r w:rsidR="00C702AF">
        <w:rPr>
          <w:szCs w:val="24"/>
          <w:shd w:val="clear" w:color="auto" w:fill="FFFFFF"/>
        </w:rPr>
        <w:t>ūdzam papildināt anotācijas I sadaļas 2. punktu atbilstoši Instrukcijas Nr. 19 14. punktam</w:t>
      </w:r>
      <w:r w:rsidR="00C702AF">
        <w:rPr>
          <w:rFonts w:eastAsia="Times New Roman"/>
          <w:bCs/>
          <w:szCs w:val="24"/>
          <w:lang w:eastAsia="lv-LV"/>
        </w:rPr>
        <w:t xml:space="preserve">, </w:t>
      </w:r>
      <w:r>
        <w:rPr>
          <w:rFonts w:eastAsia="Times New Roman"/>
          <w:bCs/>
          <w:szCs w:val="24"/>
          <w:lang w:eastAsia="lv-LV"/>
        </w:rPr>
        <w:t xml:space="preserve">sniedzot skaidrojumu noteikumu </w:t>
      </w:r>
      <w:r>
        <w:rPr>
          <w:szCs w:val="24"/>
          <w:shd w:val="clear" w:color="auto" w:fill="FFFFFF"/>
        </w:rPr>
        <w:t>projekta 19.2. apakšpunktam,</w:t>
      </w:r>
      <w:r>
        <w:rPr>
          <w:rFonts w:eastAsia="Times New Roman"/>
          <w:bCs/>
          <w:szCs w:val="24"/>
          <w:lang w:eastAsia="lv-LV"/>
        </w:rPr>
        <w:t xml:space="preserve"> </w:t>
      </w:r>
      <w:r w:rsidR="00C702AF">
        <w:rPr>
          <w:rFonts w:eastAsia="Times New Roman"/>
          <w:bCs/>
          <w:szCs w:val="24"/>
          <w:lang w:eastAsia="lv-LV"/>
        </w:rPr>
        <w:t>ņemot vērā, ka šobrīd MK noteikumos Nr. 204 šāds regulējums nav paredzēts.</w:t>
      </w:r>
    </w:p>
    <w:p w14:paraId="0152723A" w14:textId="6D84648A" w:rsidR="006831BE" w:rsidRDefault="00F8122F" w:rsidP="007F3655">
      <w:pPr>
        <w:pStyle w:val="ListParagraph"/>
        <w:numPr>
          <w:ilvl w:val="0"/>
          <w:numId w:val="13"/>
        </w:numPr>
        <w:tabs>
          <w:tab w:val="left" w:pos="567"/>
          <w:tab w:val="left" w:pos="1134"/>
        </w:tabs>
        <w:suppressAutoHyphens/>
        <w:ind w:left="0" w:right="12" w:firstLine="709"/>
        <w:rPr>
          <w:rFonts w:eastAsia="Times New Roman"/>
          <w:bCs/>
          <w:szCs w:val="24"/>
          <w:lang w:eastAsia="lv-LV"/>
        </w:rPr>
      </w:pPr>
      <w:r w:rsidRPr="00F8122F">
        <w:rPr>
          <w:szCs w:val="24"/>
          <w:lang w:eastAsia="lv-LV"/>
        </w:rPr>
        <w:t>N</w:t>
      </w:r>
      <w:r w:rsidR="006831BE" w:rsidRPr="00F8122F">
        <w:rPr>
          <w:szCs w:val="24"/>
          <w:lang w:eastAsia="lv-LV"/>
        </w:rPr>
        <w:t xml:space="preserve">oteikumu projekta 21.6. apakšpunktā noteikts, ka dabas lieguma zonā aizliegts veikt mežsaimniecisko darbību no 15. marta līdz 30. septembrim. Lūdzam papildināt anotāciju atbilstoši </w:t>
      </w:r>
      <w:r w:rsidR="006831BE" w:rsidRPr="00F8122F">
        <w:rPr>
          <w:rFonts w:eastAsia="Times New Roman"/>
          <w:bCs/>
          <w:szCs w:val="24"/>
          <w:lang w:eastAsia="zh-CN"/>
        </w:rPr>
        <w:t xml:space="preserve">Instrukcijas Nr. 19 14. punktam, sniedzot skaidrojumu datuma izmaiņām, salīdzinot ar </w:t>
      </w:r>
      <w:r w:rsidR="006831BE" w:rsidRPr="00F8122F">
        <w:rPr>
          <w:rFonts w:eastAsia="Times New Roman"/>
          <w:bCs/>
          <w:szCs w:val="24"/>
          <w:lang w:eastAsia="lv-LV"/>
        </w:rPr>
        <w:t xml:space="preserve">MK noteikumu Nr. 204 12.5. apakšpunktā </w:t>
      </w:r>
      <w:r w:rsidRPr="00F8122F">
        <w:rPr>
          <w:rFonts w:eastAsia="Times New Roman"/>
          <w:bCs/>
          <w:szCs w:val="24"/>
          <w:lang w:eastAsia="lv-LV"/>
        </w:rPr>
        <w:t>paredzēto</w:t>
      </w:r>
      <w:r w:rsidR="006831BE" w:rsidRPr="00F8122F">
        <w:rPr>
          <w:rFonts w:eastAsia="Times New Roman"/>
          <w:bCs/>
          <w:szCs w:val="24"/>
          <w:lang w:eastAsia="lv-LV"/>
        </w:rPr>
        <w:t>.</w:t>
      </w:r>
    </w:p>
    <w:p w14:paraId="0B11EDCF" w14:textId="1B46110A" w:rsidR="00C702AF" w:rsidRPr="00C702AF" w:rsidRDefault="00C702AF" w:rsidP="007F3655">
      <w:pPr>
        <w:pStyle w:val="ListParagraph"/>
        <w:numPr>
          <w:ilvl w:val="0"/>
          <w:numId w:val="13"/>
        </w:numPr>
        <w:tabs>
          <w:tab w:val="left" w:pos="567"/>
          <w:tab w:val="left" w:pos="1134"/>
        </w:tabs>
        <w:suppressAutoHyphens/>
        <w:ind w:left="0" w:right="12" w:firstLine="709"/>
        <w:rPr>
          <w:rFonts w:eastAsia="Times New Roman"/>
          <w:szCs w:val="24"/>
          <w:lang w:eastAsia="lv-LV"/>
        </w:rPr>
      </w:pPr>
      <w:r w:rsidRPr="00C702AF">
        <w:rPr>
          <w:rFonts w:eastAsia="Times New Roman"/>
          <w:bCs/>
          <w:szCs w:val="24"/>
          <w:lang w:eastAsia="lv-LV"/>
        </w:rPr>
        <w:t xml:space="preserve">MK noteikumu Nr. 204 2. pielikums paredz </w:t>
      </w:r>
      <w:r w:rsidRPr="00C702AF">
        <w:rPr>
          <w:szCs w:val="24"/>
          <w:shd w:val="clear" w:color="auto" w:fill="FFFFFF"/>
        </w:rPr>
        <w:t>dabas parka "Piejūra" funkcionālo zonu robežas</w:t>
      </w:r>
      <w:r>
        <w:rPr>
          <w:szCs w:val="24"/>
          <w:shd w:val="clear" w:color="auto" w:fill="FFFFFF"/>
        </w:rPr>
        <w:t xml:space="preserve">, bet noteikumu projekts šādu robežu aprakstu neparedz. Līdz ar to lūdzam papildināt anotāciju atbilstoši Instrukcijas Nr. 19 14. punktam, skaidrojot šādas izmaiņas un paredzēto </w:t>
      </w:r>
      <w:r w:rsidR="00DC55B1">
        <w:rPr>
          <w:szCs w:val="24"/>
          <w:shd w:val="clear" w:color="auto" w:fill="FFFFFF"/>
        </w:rPr>
        <w:t xml:space="preserve">regulējumu </w:t>
      </w:r>
      <w:r>
        <w:rPr>
          <w:szCs w:val="24"/>
          <w:shd w:val="clear" w:color="auto" w:fill="FFFFFF"/>
        </w:rPr>
        <w:t>noteikumu projekta 1. pielikumā.</w:t>
      </w:r>
    </w:p>
    <w:p w14:paraId="6BB057E2" w14:textId="63B755F7" w:rsidR="00FA3067" w:rsidRPr="00FA3067" w:rsidRDefault="00FA3067" w:rsidP="00FA3067">
      <w:pPr>
        <w:pStyle w:val="ListParagraph"/>
        <w:numPr>
          <w:ilvl w:val="0"/>
          <w:numId w:val="13"/>
        </w:numPr>
        <w:tabs>
          <w:tab w:val="left" w:pos="567"/>
          <w:tab w:val="left" w:pos="1134"/>
        </w:tabs>
        <w:suppressAutoHyphens/>
        <w:ind w:left="0" w:right="12" w:firstLine="709"/>
        <w:rPr>
          <w:rFonts w:eastAsia="Times New Roman"/>
          <w:szCs w:val="24"/>
          <w:lang w:eastAsia="lv-LV"/>
        </w:rPr>
      </w:pPr>
      <w:r w:rsidRPr="00FA3067">
        <w:rPr>
          <w:rFonts w:eastAsia="Times New Roman" w:cstheme="minorBidi"/>
          <w:szCs w:val="24"/>
        </w:rPr>
        <w:t>Vēršam uzmanību, ka anotācijas I sadaļas 2.</w:t>
      </w:r>
      <w:r w:rsidR="00DC55B1">
        <w:rPr>
          <w:rFonts w:eastAsia="Times New Roman" w:cstheme="minorBidi"/>
          <w:szCs w:val="24"/>
        </w:rPr>
        <w:t> </w:t>
      </w:r>
      <w:r w:rsidRPr="00FA3067">
        <w:rPr>
          <w:rFonts w:eastAsia="Times New Roman" w:cstheme="minorBidi"/>
          <w:szCs w:val="24"/>
        </w:rPr>
        <w:t xml:space="preserve">punktā </w:t>
      </w:r>
      <w:r w:rsidRPr="00FA3067">
        <w:rPr>
          <w:rFonts w:eastAsiaTheme="minorHAnsi" w:cstheme="minorBidi"/>
          <w:szCs w:val="24"/>
        </w:rPr>
        <w:t xml:space="preserve">nav sniegts skaidrojums par visām noteikumu projektā paredzētajām izmaiņām un to nepieciešamību, salīdzinot ar tiesisko regulējumu </w:t>
      </w:r>
      <w:r>
        <w:rPr>
          <w:rFonts w:eastAsiaTheme="minorHAnsi" w:cstheme="minorBidi"/>
          <w:szCs w:val="24"/>
        </w:rPr>
        <w:t>MK noteikumos Nr. 204</w:t>
      </w:r>
      <w:r w:rsidR="00DC55B1">
        <w:rPr>
          <w:rFonts w:eastAsiaTheme="minorHAnsi" w:cstheme="minorBidi"/>
          <w:szCs w:val="24"/>
        </w:rPr>
        <w:t xml:space="preserve"> (piemēram, kāpēc virkne </w:t>
      </w:r>
      <w:r w:rsidR="00DC55B1" w:rsidRPr="00FA3067">
        <w:rPr>
          <w:rFonts w:eastAsiaTheme="minorHAnsi" w:cstheme="minorBidi"/>
          <w:szCs w:val="24"/>
        </w:rPr>
        <w:t xml:space="preserve">regulējuma tiek </w:t>
      </w:r>
      <w:r w:rsidR="00DC55B1" w:rsidRPr="00FA3067">
        <w:rPr>
          <w:szCs w:val="24"/>
          <w:lang w:eastAsia="lv-LV"/>
        </w:rPr>
        <w:t>pārcelta no dabas lieguma un dabas parka zon</w:t>
      </w:r>
      <w:r w:rsidR="00DC55B1">
        <w:rPr>
          <w:szCs w:val="24"/>
          <w:lang w:eastAsia="lv-LV"/>
        </w:rPr>
        <w:t>as</w:t>
      </w:r>
      <w:r w:rsidR="00DC55B1" w:rsidRPr="00FA3067">
        <w:rPr>
          <w:szCs w:val="24"/>
          <w:lang w:eastAsia="lv-LV"/>
        </w:rPr>
        <w:t xml:space="preserve"> aizlieg</w:t>
      </w:r>
      <w:r w:rsidR="00DC55B1">
        <w:rPr>
          <w:szCs w:val="24"/>
          <w:lang w:eastAsia="lv-LV"/>
        </w:rPr>
        <w:t>umiem uz dabas parka teritorijas aizliegumiem</w:t>
      </w:r>
      <w:r w:rsidR="00DC55B1" w:rsidRPr="00FA3067">
        <w:rPr>
          <w:szCs w:val="24"/>
          <w:lang w:eastAsia="lv-LV"/>
        </w:rPr>
        <w:t xml:space="preserve"> utt.</w:t>
      </w:r>
      <w:r w:rsidR="00DC55B1">
        <w:rPr>
          <w:i/>
          <w:szCs w:val="24"/>
          <w:lang w:eastAsia="lv-LV"/>
        </w:rPr>
        <w:t>)</w:t>
      </w:r>
      <w:r>
        <w:rPr>
          <w:rFonts w:eastAsiaTheme="minorHAnsi" w:cstheme="minorBidi"/>
          <w:szCs w:val="24"/>
        </w:rPr>
        <w:t xml:space="preserve">. </w:t>
      </w:r>
      <w:r w:rsidRPr="00FA3067">
        <w:rPr>
          <w:rFonts w:eastAsia="Times New Roman" w:cstheme="minorBidi"/>
          <w:bCs/>
          <w:iCs/>
          <w:szCs w:val="24"/>
          <w:lang w:eastAsia="zh-CN"/>
        </w:rPr>
        <w:t xml:space="preserve">Papildus anotācijā </w:t>
      </w:r>
      <w:r w:rsidRPr="00FA3067">
        <w:rPr>
          <w:rFonts w:eastAsia="Times New Roman" w:cstheme="minorBidi"/>
          <w:szCs w:val="24"/>
        </w:rPr>
        <w:t>ir iekļauta tikai aprakstoša informācija par noteikumu projektā paredzēto regulējumu, bet nav sniegts skaidrojums šāda regulējuma nepieciešamībai (mērķis un būtība).</w:t>
      </w:r>
    </w:p>
    <w:p w14:paraId="672871CF" w14:textId="0C4F2F6A" w:rsidR="00FA3067" w:rsidRPr="00EA4F1D" w:rsidRDefault="00FA3067" w:rsidP="00FA3067">
      <w:pPr>
        <w:widowControl/>
        <w:tabs>
          <w:tab w:val="left" w:pos="0"/>
          <w:tab w:val="left" w:pos="1134"/>
        </w:tabs>
        <w:suppressAutoHyphens/>
        <w:ind w:firstLine="709"/>
        <w:contextualSpacing/>
        <w:outlineLvl w:val="3"/>
        <w:rPr>
          <w:rFonts w:eastAsiaTheme="minorHAnsi"/>
          <w:szCs w:val="24"/>
        </w:rPr>
      </w:pPr>
      <w:r w:rsidRPr="00FA3067">
        <w:rPr>
          <w:rFonts w:eastAsia="Times New Roman" w:cstheme="minorBidi"/>
          <w:szCs w:val="24"/>
        </w:rPr>
        <w:t xml:space="preserve">Līdz ar to lūdzam precizēt noteikumu projekta anotāciju atbilstoši </w:t>
      </w:r>
      <w:r w:rsidRPr="00FA3067">
        <w:rPr>
          <w:rFonts w:eastAsiaTheme="minorHAnsi" w:cstheme="minorBidi"/>
          <w:szCs w:val="24"/>
        </w:rPr>
        <w:t>Instrukcija</w:t>
      </w:r>
      <w:r w:rsidRPr="00EA4F1D">
        <w:rPr>
          <w:rFonts w:eastAsiaTheme="minorHAnsi" w:cstheme="minorBidi"/>
          <w:szCs w:val="24"/>
        </w:rPr>
        <w:t>s</w:t>
      </w:r>
      <w:r w:rsidRPr="00FA3067">
        <w:rPr>
          <w:rFonts w:eastAsiaTheme="minorHAnsi" w:cstheme="minorBidi"/>
          <w:szCs w:val="24"/>
        </w:rPr>
        <w:t xml:space="preserve"> Nr.</w:t>
      </w:r>
      <w:r w:rsidR="00E851F8" w:rsidRPr="00EA4F1D">
        <w:rPr>
          <w:rFonts w:eastAsiaTheme="minorHAnsi" w:cstheme="minorBidi"/>
          <w:szCs w:val="24"/>
        </w:rPr>
        <w:t> </w:t>
      </w:r>
      <w:r w:rsidRPr="00FA3067">
        <w:rPr>
          <w:rFonts w:eastAsiaTheme="minorHAnsi" w:cstheme="minorBidi"/>
          <w:szCs w:val="24"/>
        </w:rPr>
        <w:t>19</w:t>
      </w:r>
      <w:r w:rsidRPr="00EA4F1D">
        <w:rPr>
          <w:rFonts w:eastAsiaTheme="minorHAnsi" w:cstheme="minorBidi"/>
          <w:szCs w:val="24"/>
        </w:rPr>
        <w:t xml:space="preserve"> </w:t>
      </w:r>
      <w:r w:rsidRPr="00FA3067">
        <w:rPr>
          <w:rFonts w:eastAsiaTheme="minorHAnsi" w:cstheme="minorBidi"/>
          <w:szCs w:val="24"/>
        </w:rPr>
        <w:t>14.</w:t>
      </w:r>
      <w:r w:rsidR="00E851F8" w:rsidRPr="00EA4F1D">
        <w:rPr>
          <w:rFonts w:eastAsiaTheme="minorHAnsi" w:cstheme="minorBidi"/>
          <w:szCs w:val="24"/>
        </w:rPr>
        <w:t> </w:t>
      </w:r>
      <w:r w:rsidRPr="00FA3067">
        <w:rPr>
          <w:rFonts w:eastAsiaTheme="minorHAnsi"/>
          <w:szCs w:val="24"/>
        </w:rPr>
        <w:t>punktam.</w:t>
      </w:r>
    </w:p>
    <w:p w14:paraId="54DAB160" w14:textId="17CB2DEA" w:rsidR="00E851F8" w:rsidRPr="00EA4F1D" w:rsidRDefault="00E851F8" w:rsidP="00E851F8">
      <w:pPr>
        <w:pStyle w:val="ListParagraph"/>
        <w:widowControl/>
        <w:numPr>
          <w:ilvl w:val="0"/>
          <w:numId w:val="13"/>
        </w:numPr>
        <w:tabs>
          <w:tab w:val="left" w:pos="0"/>
          <w:tab w:val="left" w:pos="1134"/>
        </w:tabs>
        <w:suppressAutoHyphens/>
        <w:ind w:left="0" w:firstLine="709"/>
        <w:outlineLvl w:val="3"/>
        <w:rPr>
          <w:rFonts w:eastAsia="Times New Roman"/>
          <w:szCs w:val="24"/>
        </w:rPr>
      </w:pPr>
      <w:r w:rsidRPr="00EA4F1D">
        <w:rPr>
          <w:rFonts w:eastAsia="Times New Roman"/>
          <w:szCs w:val="24"/>
        </w:rPr>
        <w:t xml:space="preserve">Lūdzam precizēt anotācijas II sadaļas 2. un 3. punktu atbilstoši Instrukcijas Nr. 19 22., 24., 25. un </w:t>
      </w:r>
      <w:r w:rsidRPr="00EA4F1D">
        <w:rPr>
          <w:szCs w:val="24"/>
          <w:shd w:val="clear" w:color="auto" w:fill="FFFFFF"/>
        </w:rPr>
        <w:t>25.</w:t>
      </w:r>
      <w:r w:rsidRPr="00EA4F1D">
        <w:rPr>
          <w:szCs w:val="24"/>
          <w:shd w:val="clear" w:color="auto" w:fill="FFFFFF"/>
          <w:vertAlign w:val="superscript"/>
        </w:rPr>
        <w:t xml:space="preserve">1 </w:t>
      </w:r>
      <w:r w:rsidRPr="00EA4F1D">
        <w:rPr>
          <w:szCs w:val="24"/>
          <w:shd w:val="clear" w:color="auto" w:fill="FFFFFF"/>
        </w:rPr>
        <w:t xml:space="preserve">punktam, jo nav sniegta informācija, </w:t>
      </w:r>
      <w:r w:rsidR="00EA4F1D" w:rsidRPr="00EA4F1D">
        <w:rPr>
          <w:szCs w:val="24"/>
          <w:shd w:val="clear" w:color="auto" w:fill="FFFFFF"/>
        </w:rPr>
        <w:t xml:space="preserve">kāda būs tiesiskā regulējuma ietekme uz anotācijas II sadaļas 1. punktā minēto sabiedrības mērķgrupu </w:t>
      </w:r>
      <w:r w:rsidR="00EA4F1D" w:rsidRPr="00EA4F1D">
        <w:rPr>
          <w:rFonts w:eastAsia="Times New Roman"/>
          <w:bCs/>
          <w:szCs w:val="24"/>
          <w:lang w:eastAsia="lv-LV"/>
        </w:rPr>
        <w:t>–</w:t>
      </w:r>
      <w:r w:rsidR="00EA4F1D" w:rsidRPr="00EA4F1D">
        <w:t xml:space="preserve"> </w:t>
      </w:r>
      <w:r w:rsidR="00EA4F1D" w:rsidRPr="00EA4F1D">
        <w:rPr>
          <w:bCs/>
        </w:rPr>
        <w:t>Dabas aizsardzības pārvaldi</w:t>
      </w:r>
      <w:r w:rsidR="00EA4F1D" w:rsidRPr="00EA4F1D">
        <w:t>,</w:t>
      </w:r>
      <w:r w:rsidR="00EA4F1D" w:rsidRPr="00EA4F1D">
        <w:rPr>
          <w:color w:val="FF0000"/>
        </w:rPr>
        <w:t xml:space="preserve"> </w:t>
      </w:r>
      <w:r w:rsidR="00EA4F1D" w:rsidRPr="00EA4F1D">
        <w:t>Rīgas, Carnikavas un Saulkrastu novada pašvaldīb</w:t>
      </w:r>
      <w:r w:rsidR="00EA4F1D">
        <w:t>u</w:t>
      </w:r>
      <w:r w:rsidR="00EA4F1D" w:rsidRPr="00EA4F1D">
        <w:t>, akciju sabiedrību "Latvijas valsts meži".</w:t>
      </w:r>
    </w:p>
    <w:p w14:paraId="03570EE3" w14:textId="0983489D" w:rsidR="00EA4F1D" w:rsidRPr="00F35666" w:rsidRDefault="00EA4F1D" w:rsidP="00EA4F1D">
      <w:pPr>
        <w:pStyle w:val="ListParagraph"/>
        <w:widowControl/>
        <w:numPr>
          <w:ilvl w:val="0"/>
          <w:numId w:val="13"/>
        </w:numPr>
        <w:tabs>
          <w:tab w:val="left" w:pos="0"/>
          <w:tab w:val="left" w:pos="1134"/>
        </w:tabs>
        <w:suppressAutoHyphens/>
        <w:ind w:left="0" w:firstLine="709"/>
        <w:outlineLvl w:val="3"/>
        <w:rPr>
          <w:rFonts w:eastAsia="Times New Roman"/>
          <w:szCs w:val="24"/>
        </w:rPr>
      </w:pPr>
      <w:r w:rsidRPr="00EA4F1D">
        <w:t xml:space="preserve">Anotācijas VI sadaļas 1. punktā ir sniegta informācija, ka sabiedrības pārstāvji </w:t>
      </w:r>
      <w:r w:rsidRPr="00EA4F1D">
        <w:rPr>
          <w:u w:val="single"/>
        </w:rPr>
        <w:t xml:space="preserve">tiks </w:t>
      </w:r>
      <w:r w:rsidRPr="00EA4F1D">
        <w:t xml:space="preserve">informēti par iespēju līdzdarboties, publicējot paziņojumu par līdzdalības procesu </w:t>
      </w:r>
      <w:r w:rsidRPr="00EA4F1D">
        <w:rPr>
          <w:szCs w:val="24"/>
        </w:rPr>
        <w:t xml:space="preserve">Vides aizsardzības un reģionālās attīstības ministrijas </w:t>
      </w:r>
      <w:r w:rsidRPr="00EA4F1D">
        <w:t xml:space="preserve">tīmekļvietnē </w:t>
      </w:r>
      <w:hyperlink r:id="rId7" w:history="1">
        <w:r w:rsidRPr="00EA4F1D">
          <w:rPr>
            <w:rStyle w:val="Hyperlink"/>
            <w:color w:val="auto"/>
            <w:u w:val="none"/>
          </w:rPr>
          <w:t>www.varam.gov.lv</w:t>
        </w:r>
      </w:hyperlink>
      <w:r w:rsidRPr="00EA4F1D">
        <w:t xml:space="preserve"> un Valsts kancelejas tīmekļvietnē </w:t>
      </w:r>
      <w:hyperlink r:id="rId8" w:history="1">
        <w:r w:rsidRPr="00EA4F1D">
          <w:rPr>
            <w:rStyle w:val="Hyperlink"/>
            <w:color w:val="auto"/>
            <w:u w:val="none"/>
          </w:rPr>
          <w:t>www.mk.gov.lv</w:t>
        </w:r>
      </w:hyperlink>
      <w:r w:rsidRPr="00EA4F1D">
        <w:t xml:space="preserve">. </w:t>
      </w:r>
      <w:r>
        <w:t xml:space="preserve">Lūdzam precizēt minēto informāciju, jo no VI sadaļas 2. punkta </w:t>
      </w:r>
      <w:r w:rsidRPr="00F35666">
        <w:t>izriet, ka informēšana jau ir notikusi.</w:t>
      </w:r>
    </w:p>
    <w:p w14:paraId="7D865F93" w14:textId="143A8A79" w:rsidR="00F35666" w:rsidRPr="00B32843" w:rsidRDefault="00EA4F1D" w:rsidP="00F35666">
      <w:pPr>
        <w:widowControl/>
        <w:ind w:firstLine="709"/>
        <w:rPr>
          <w:szCs w:val="24"/>
        </w:rPr>
      </w:pPr>
      <w:r w:rsidRPr="00F35666">
        <w:rPr>
          <w:szCs w:val="24"/>
        </w:rPr>
        <w:t xml:space="preserve">Tāpat </w:t>
      </w:r>
      <w:r w:rsidR="00F35666" w:rsidRPr="00F35666">
        <w:rPr>
          <w:szCs w:val="24"/>
        </w:rPr>
        <w:t>lūdzam anotācijas VI sadaļas 3. punktu aizpildīt atbilstoši Instrukcijas Nr. 19 62. punktam, jo no minētās informācijas nav saprotams, kādi Rīgas domes Pilsētas attīstības departamenta</w:t>
      </w:r>
      <w:r w:rsidR="00F35666" w:rsidRPr="00F35666">
        <w:rPr>
          <w:szCs w:val="24"/>
          <w:shd w:val="clear" w:color="auto" w:fill="FFFFFF"/>
        </w:rPr>
        <w:t xml:space="preserve"> priekšlikumi ir ņemti vērā un kādi nav ņemti vērā, un, ja nav ņemti vērā</w:t>
      </w:r>
      <w:r w:rsidR="00F35666">
        <w:rPr>
          <w:szCs w:val="24"/>
          <w:shd w:val="clear" w:color="auto" w:fill="FFFFFF"/>
        </w:rPr>
        <w:t>, kāpēc.</w:t>
      </w:r>
      <w:r w:rsidR="00F35666" w:rsidRPr="00F35666">
        <w:rPr>
          <w:szCs w:val="24"/>
          <w:shd w:val="clear" w:color="auto" w:fill="FFFFFF"/>
        </w:rPr>
        <w:t xml:space="preserve"> Piemēram, </w:t>
      </w:r>
      <w:r w:rsidR="00F35666">
        <w:rPr>
          <w:szCs w:val="24"/>
          <w:shd w:val="clear" w:color="auto" w:fill="FFFFFF"/>
        </w:rPr>
        <w:t xml:space="preserve">anotācijas VI sadaļas 3. punktā ir minēts, ka </w:t>
      </w:r>
      <w:r w:rsidR="00F35666" w:rsidRPr="00F35666">
        <w:rPr>
          <w:szCs w:val="24"/>
          <w:shd w:val="clear" w:color="auto" w:fill="FFFFFF"/>
        </w:rPr>
        <w:t xml:space="preserve">ir </w:t>
      </w:r>
      <w:r w:rsidR="00F35666" w:rsidRPr="00F35666">
        <w:rPr>
          <w:szCs w:val="24"/>
        </w:rPr>
        <w:t>sniegts skaidrojums anotācijās I</w:t>
      </w:r>
      <w:r w:rsidR="00DC55B1">
        <w:rPr>
          <w:szCs w:val="24"/>
        </w:rPr>
        <w:t xml:space="preserve"> </w:t>
      </w:r>
      <w:r w:rsidR="00F35666" w:rsidRPr="00F35666">
        <w:rPr>
          <w:szCs w:val="24"/>
        </w:rPr>
        <w:t>sadaļas 2. punktā</w:t>
      </w:r>
      <w:r w:rsidR="00F35666">
        <w:rPr>
          <w:szCs w:val="24"/>
        </w:rPr>
        <w:t>.</w:t>
      </w:r>
      <w:r w:rsidR="00F35666" w:rsidRPr="00F35666">
        <w:rPr>
          <w:szCs w:val="24"/>
        </w:rPr>
        <w:t xml:space="preserve"> </w:t>
      </w:r>
      <w:r w:rsidR="00F35666">
        <w:rPr>
          <w:szCs w:val="24"/>
        </w:rPr>
        <w:t>B</w:t>
      </w:r>
      <w:r w:rsidR="00F35666" w:rsidRPr="00F35666">
        <w:rPr>
          <w:szCs w:val="24"/>
        </w:rPr>
        <w:t xml:space="preserve">et </w:t>
      </w:r>
      <w:r w:rsidR="00DC55B1">
        <w:rPr>
          <w:szCs w:val="24"/>
        </w:rPr>
        <w:t>attiecīgajā anotācijas punktā</w:t>
      </w:r>
      <w:r w:rsidR="00386261">
        <w:rPr>
          <w:szCs w:val="24"/>
        </w:rPr>
        <w:t xml:space="preserve">, piemēram, </w:t>
      </w:r>
      <w:r w:rsidR="00B32843">
        <w:rPr>
          <w:szCs w:val="24"/>
        </w:rPr>
        <w:t xml:space="preserve">nav minēts par </w:t>
      </w:r>
      <w:r w:rsidR="00B32843" w:rsidRPr="00F35666">
        <w:rPr>
          <w:szCs w:val="24"/>
        </w:rPr>
        <w:t xml:space="preserve">Rīgas domes </w:t>
      </w:r>
      <w:r w:rsidR="00B32843" w:rsidRPr="00B32843">
        <w:rPr>
          <w:szCs w:val="24"/>
        </w:rPr>
        <w:t>Pilsētas attīstības departamenta</w:t>
      </w:r>
      <w:r w:rsidR="00B32843" w:rsidRPr="00B32843">
        <w:rPr>
          <w:szCs w:val="24"/>
          <w:shd w:val="clear" w:color="auto" w:fill="FFFFFF"/>
        </w:rPr>
        <w:t xml:space="preserve"> priekšlikumu </w:t>
      </w:r>
      <w:r w:rsidR="00F35666" w:rsidRPr="00B32843">
        <w:rPr>
          <w:szCs w:val="24"/>
        </w:rPr>
        <w:t xml:space="preserve">noteikumu projekta 1. pielikumā norādīt ceļus, pa kuriem ar mehāniskajiem transporta līdzekļiem drīkst pārvietoties dabas parka apmeklētāji un iedzīvotāji. </w:t>
      </w:r>
    </w:p>
    <w:p w14:paraId="23411737" w14:textId="41667F9D" w:rsidR="00B32843" w:rsidRPr="00B32843" w:rsidRDefault="00B32843" w:rsidP="00307614">
      <w:pPr>
        <w:ind w:firstLine="709"/>
        <w:rPr>
          <w:szCs w:val="24"/>
        </w:rPr>
      </w:pPr>
      <w:r w:rsidRPr="00B32843">
        <w:rPr>
          <w:szCs w:val="24"/>
          <w:shd w:val="clear" w:color="auto" w:fill="FFFFFF"/>
        </w:rPr>
        <w:lastRenderedPageBreak/>
        <w:t xml:space="preserve">Papildus anotācijas VI sadaļas 3. punktā ir sniegta informācija, ka </w:t>
      </w:r>
      <w:r w:rsidRPr="00B32843">
        <w:rPr>
          <w:szCs w:val="24"/>
        </w:rPr>
        <w:t>nav saņemti iebildumi un priekšlikumi no zemes īpašniekiem un iedzīvotājiem. Ierosinām precizēt minēto informāciju, atsaucoties</w:t>
      </w:r>
      <w:r w:rsidR="00DC55B1">
        <w:rPr>
          <w:szCs w:val="24"/>
        </w:rPr>
        <w:t xml:space="preserve">, piemēram, </w:t>
      </w:r>
      <w:r w:rsidRPr="00B32843">
        <w:rPr>
          <w:szCs w:val="24"/>
        </w:rPr>
        <w:t>uz dabas parka "Piejūra" dabas aizsardzības plāna 335. lappusē minēto par tikšanos ar zemes īpašniekiem.</w:t>
      </w:r>
    </w:p>
    <w:p w14:paraId="0B1B5011" w14:textId="31DB4131" w:rsidR="00B32843" w:rsidRDefault="00B32843" w:rsidP="00307614">
      <w:pPr>
        <w:tabs>
          <w:tab w:val="left" w:pos="993"/>
          <w:tab w:val="center" w:pos="4677"/>
        </w:tabs>
        <w:suppressAutoHyphens/>
        <w:contextualSpacing/>
        <w:rPr>
          <w:rFonts w:eastAsia="Times New Roman"/>
          <w:szCs w:val="24"/>
          <w:lang w:eastAsia="zh-CN"/>
        </w:rPr>
      </w:pPr>
    </w:p>
    <w:p w14:paraId="4360C44D" w14:textId="3DC66EE9" w:rsidR="00B32843" w:rsidRDefault="00B32843" w:rsidP="00307614">
      <w:pPr>
        <w:tabs>
          <w:tab w:val="left" w:pos="993"/>
          <w:tab w:val="center" w:pos="4677"/>
        </w:tabs>
        <w:suppressAutoHyphens/>
        <w:ind w:firstLine="709"/>
        <w:contextualSpacing/>
        <w:rPr>
          <w:rFonts w:eastAsia="Times New Roman"/>
          <w:szCs w:val="24"/>
          <w:lang w:eastAsia="zh-CN"/>
        </w:rPr>
      </w:pPr>
      <w:r>
        <w:rPr>
          <w:rFonts w:eastAsia="Times New Roman"/>
          <w:szCs w:val="24"/>
          <w:lang w:eastAsia="zh-CN"/>
        </w:rPr>
        <w:t>Vienlaikus izsakām šādu</w:t>
      </w:r>
      <w:r w:rsidR="00A74AD3">
        <w:rPr>
          <w:rFonts w:eastAsia="Times New Roman"/>
          <w:szCs w:val="24"/>
          <w:lang w:eastAsia="zh-CN"/>
        </w:rPr>
        <w:t>s</w:t>
      </w:r>
      <w:r>
        <w:rPr>
          <w:rFonts w:eastAsia="Times New Roman"/>
          <w:szCs w:val="24"/>
          <w:lang w:eastAsia="zh-CN"/>
        </w:rPr>
        <w:t xml:space="preserve"> priekšlikumu</w:t>
      </w:r>
      <w:r w:rsidR="00A74AD3">
        <w:rPr>
          <w:rFonts w:eastAsia="Times New Roman"/>
          <w:szCs w:val="24"/>
          <w:lang w:eastAsia="zh-CN"/>
        </w:rPr>
        <w:t>s</w:t>
      </w:r>
      <w:r>
        <w:rPr>
          <w:rFonts w:eastAsia="Times New Roman"/>
          <w:szCs w:val="24"/>
          <w:lang w:eastAsia="zh-CN"/>
        </w:rPr>
        <w:t>:</w:t>
      </w:r>
    </w:p>
    <w:p w14:paraId="5063A40E" w14:textId="1D55B751" w:rsidR="00B32843" w:rsidRPr="00A74AD3" w:rsidRDefault="00B32843" w:rsidP="00A74AD3">
      <w:pPr>
        <w:pStyle w:val="ListParagraph"/>
        <w:widowControl/>
        <w:numPr>
          <w:ilvl w:val="0"/>
          <w:numId w:val="19"/>
        </w:numPr>
        <w:tabs>
          <w:tab w:val="left" w:pos="993"/>
        </w:tabs>
        <w:ind w:left="0" w:firstLine="709"/>
        <w:jc w:val="left"/>
        <w:rPr>
          <w:rFonts w:eastAsiaTheme="minorHAnsi"/>
          <w:szCs w:val="24"/>
        </w:rPr>
      </w:pPr>
      <w:r w:rsidRPr="00A74AD3">
        <w:rPr>
          <w:rFonts w:eastAsia="Times New Roman"/>
          <w:szCs w:val="24"/>
          <w:lang w:eastAsia="zh-CN"/>
        </w:rPr>
        <w:t>Vēršam uzmanību, ka noteikumu projekta anotācijā nav sniegts skaidrojums lietotaj</w:t>
      </w:r>
      <w:r w:rsidR="00307614" w:rsidRPr="00A74AD3">
        <w:rPr>
          <w:rFonts w:eastAsia="Times New Roman"/>
          <w:szCs w:val="24"/>
          <w:lang w:eastAsia="zh-CN"/>
        </w:rPr>
        <w:t>am</w:t>
      </w:r>
      <w:r w:rsidRPr="00A74AD3">
        <w:rPr>
          <w:rFonts w:eastAsia="Times New Roman"/>
          <w:szCs w:val="24"/>
          <w:lang w:eastAsia="zh-CN"/>
        </w:rPr>
        <w:t xml:space="preserve"> saīsinājum</w:t>
      </w:r>
      <w:r w:rsidR="00307614" w:rsidRPr="00A74AD3">
        <w:rPr>
          <w:rFonts w:eastAsia="Times New Roman"/>
          <w:szCs w:val="24"/>
          <w:lang w:eastAsia="zh-CN"/>
        </w:rPr>
        <w:t>am "VARAM".</w:t>
      </w:r>
      <w:r w:rsidRPr="00A74AD3">
        <w:rPr>
          <w:rFonts w:eastAsia="Times New Roman"/>
          <w:szCs w:val="24"/>
          <w:lang w:eastAsia="zh-CN"/>
        </w:rPr>
        <w:t xml:space="preserve"> Ievērojot minēto, ierosinām precizēt noteikumu projekta anotāciju.</w:t>
      </w:r>
    </w:p>
    <w:p w14:paraId="7C666B4D" w14:textId="25CA0CD0" w:rsidR="00A74AD3" w:rsidRPr="00A74AD3" w:rsidRDefault="00A74AD3" w:rsidP="00A74AD3">
      <w:pPr>
        <w:pStyle w:val="ListParagraph"/>
        <w:widowControl/>
        <w:numPr>
          <w:ilvl w:val="0"/>
          <w:numId w:val="19"/>
        </w:numPr>
        <w:tabs>
          <w:tab w:val="left" w:pos="993"/>
        </w:tabs>
        <w:ind w:left="0" w:firstLine="709"/>
        <w:rPr>
          <w:rFonts w:eastAsiaTheme="minorHAnsi"/>
          <w:szCs w:val="24"/>
        </w:rPr>
      </w:pPr>
      <w:r>
        <w:rPr>
          <w:rFonts w:eastAsia="Times New Roman"/>
          <w:szCs w:val="24"/>
          <w:lang w:eastAsia="zh-CN"/>
        </w:rPr>
        <w:t xml:space="preserve">Ierosinām atbilstoši Instrukcijas Nr. 19 10. punktam ietvert atsauci, kur ir pieejams </w:t>
      </w:r>
      <w:r w:rsidRPr="00B64D0D">
        <w:rPr>
          <w:szCs w:val="24"/>
        </w:rPr>
        <w:t>dabas parka "Piejūra" dabas aizsardzības plān</w:t>
      </w:r>
      <w:r>
        <w:rPr>
          <w:szCs w:val="24"/>
        </w:rPr>
        <w:t>s.</w:t>
      </w:r>
    </w:p>
    <w:p w14:paraId="3C150E4C" w14:textId="77777777" w:rsidR="00B32843" w:rsidRDefault="00B32843" w:rsidP="00307614">
      <w:pPr>
        <w:tabs>
          <w:tab w:val="left" w:pos="993"/>
          <w:tab w:val="center" w:pos="4677"/>
        </w:tabs>
        <w:suppressAutoHyphens/>
        <w:contextualSpacing/>
        <w:rPr>
          <w:rFonts w:eastAsia="Times New Roman"/>
          <w:szCs w:val="24"/>
          <w:lang w:eastAsia="zh-CN"/>
        </w:rPr>
      </w:pPr>
    </w:p>
    <w:p w14:paraId="50DC34B9" w14:textId="133C4B24" w:rsidR="00B32843" w:rsidRPr="00D96A5F" w:rsidRDefault="00B32843" w:rsidP="00307614">
      <w:pPr>
        <w:tabs>
          <w:tab w:val="left" w:pos="993"/>
          <w:tab w:val="center" w:pos="4677"/>
        </w:tabs>
        <w:suppressAutoHyphens/>
        <w:contextualSpacing/>
        <w:rPr>
          <w:rFonts w:eastAsia="Times New Roman"/>
          <w:szCs w:val="24"/>
          <w:lang w:eastAsia="zh-CN"/>
        </w:rPr>
      </w:pPr>
      <w:r w:rsidRPr="00D96A5F">
        <w:rPr>
          <w:rFonts w:eastAsia="Times New Roman"/>
          <w:szCs w:val="24"/>
          <w:lang w:eastAsia="zh-CN"/>
        </w:rPr>
        <w:t>Valsts sekretāra vietniece</w:t>
      </w:r>
    </w:p>
    <w:p w14:paraId="2ADF8416" w14:textId="77777777" w:rsidR="00B32843" w:rsidRPr="00D96A5F" w:rsidRDefault="00B32843" w:rsidP="00307614">
      <w:pPr>
        <w:tabs>
          <w:tab w:val="left" w:pos="993"/>
          <w:tab w:val="left" w:pos="7938"/>
        </w:tabs>
        <w:suppressAutoHyphens/>
        <w:contextualSpacing/>
        <w:rPr>
          <w:rFonts w:eastAsia="Times New Roman"/>
          <w:szCs w:val="24"/>
          <w:lang w:eastAsia="zh-CN"/>
        </w:rPr>
      </w:pPr>
      <w:r w:rsidRPr="00D96A5F">
        <w:rPr>
          <w:rFonts w:eastAsia="Times New Roman"/>
          <w:szCs w:val="24"/>
          <w:lang w:eastAsia="zh-CN"/>
        </w:rPr>
        <w:t xml:space="preserve">tiesību politikas jautājumos </w:t>
      </w:r>
      <w:r w:rsidRPr="00D96A5F">
        <w:rPr>
          <w:rFonts w:eastAsia="Times New Roman"/>
          <w:szCs w:val="24"/>
          <w:lang w:eastAsia="zh-CN"/>
        </w:rPr>
        <w:tab/>
        <w:t>L. Medina</w:t>
      </w:r>
    </w:p>
    <w:p w14:paraId="5BDB0287" w14:textId="77777777" w:rsidR="00B32843" w:rsidRPr="00D96A5F" w:rsidRDefault="00B32843" w:rsidP="00307614">
      <w:pPr>
        <w:rPr>
          <w:sz w:val="22"/>
        </w:rPr>
      </w:pPr>
    </w:p>
    <w:p w14:paraId="7BFCDA45" w14:textId="77777777" w:rsidR="00B32843" w:rsidRPr="00D96A5F" w:rsidRDefault="00B32843" w:rsidP="00B32843">
      <w:pPr>
        <w:rPr>
          <w:sz w:val="22"/>
        </w:rPr>
      </w:pPr>
    </w:p>
    <w:p w14:paraId="2E4E721E" w14:textId="77777777" w:rsidR="00B32843" w:rsidRPr="00D96A5F" w:rsidRDefault="00B32843" w:rsidP="00B32843">
      <w:pPr>
        <w:suppressAutoHyphens/>
        <w:rPr>
          <w:rFonts w:eastAsia="Times New Roman"/>
          <w:sz w:val="22"/>
          <w:lang w:eastAsia="zh-CN"/>
        </w:rPr>
      </w:pPr>
      <w:r w:rsidRPr="00D96A5F">
        <w:rPr>
          <w:rFonts w:eastAsia="Times New Roman"/>
          <w:sz w:val="22"/>
          <w:lang w:eastAsia="zh-CN"/>
        </w:rPr>
        <w:t>Ē.Inkina</w:t>
      </w:r>
    </w:p>
    <w:p w14:paraId="127CB5DA" w14:textId="77777777" w:rsidR="00B32843" w:rsidRPr="00D96A5F" w:rsidRDefault="00B32843" w:rsidP="00B32843">
      <w:pPr>
        <w:suppressAutoHyphens/>
        <w:rPr>
          <w:rFonts w:eastAsia="Times New Roman"/>
          <w:sz w:val="22"/>
          <w:lang w:eastAsia="zh-CN"/>
        </w:rPr>
      </w:pPr>
      <w:r w:rsidRPr="00D96A5F">
        <w:rPr>
          <w:rFonts w:eastAsia="Times New Roman"/>
          <w:sz w:val="22"/>
          <w:lang w:eastAsia="zh-CN"/>
        </w:rPr>
        <w:t>Tieslietu ministrijas</w:t>
      </w:r>
    </w:p>
    <w:p w14:paraId="55593493" w14:textId="77777777" w:rsidR="00B32843" w:rsidRPr="00D96A5F" w:rsidRDefault="00B32843" w:rsidP="00B32843">
      <w:pPr>
        <w:suppressAutoHyphens/>
        <w:rPr>
          <w:rFonts w:eastAsia="Times New Roman"/>
          <w:sz w:val="22"/>
          <w:lang w:eastAsia="zh-CN"/>
        </w:rPr>
      </w:pPr>
      <w:r w:rsidRPr="00D96A5F">
        <w:rPr>
          <w:rFonts w:eastAsia="Times New Roman"/>
          <w:sz w:val="22"/>
          <w:lang w:eastAsia="zh-CN"/>
        </w:rPr>
        <w:t>Normatīvo aktu kvalitātes nodrošināšanas</w:t>
      </w:r>
    </w:p>
    <w:p w14:paraId="5A42D713" w14:textId="77777777" w:rsidR="00B32843" w:rsidRPr="00D96A5F" w:rsidRDefault="00B32843" w:rsidP="00B32843">
      <w:pPr>
        <w:suppressAutoHyphens/>
        <w:rPr>
          <w:rFonts w:eastAsia="Times New Roman"/>
          <w:sz w:val="22"/>
          <w:lang w:eastAsia="zh-CN"/>
        </w:rPr>
      </w:pPr>
      <w:r w:rsidRPr="00D96A5F">
        <w:rPr>
          <w:rFonts w:eastAsia="Times New Roman"/>
          <w:sz w:val="22"/>
          <w:lang w:eastAsia="zh-CN"/>
        </w:rPr>
        <w:t>departamenta juriste</w:t>
      </w:r>
    </w:p>
    <w:p w14:paraId="5141CE6A" w14:textId="77777777" w:rsidR="00B32843" w:rsidRPr="00D96A5F" w:rsidRDefault="00B32843" w:rsidP="00B32843">
      <w:pPr>
        <w:suppressAutoHyphens/>
        <w:rPr>
          <w:rFonts w:eastAsia="Times New Roman"/>
          <w:sz w:val="22"/>
          <w:lang w:eastAsia="zh-CN"/>
        </w:rPr>
      </w:pPr>
      <w:r w:rsidRPr="00D96A5F">
        <w:rPr>
          <w:rFonts w:eastAsia="Times New Roman"/>
          <w:sz w:val="22"/>
          <w:lang w:eastAsia="zh-CN"/>
        </w:rPr>
        <w:t xml:space="preserve">67036969, </w:t>
      </w:r>
      <w:hyperlink r:id="rId9" w:history="1">
        <w:r w:rsidRPr="00D96A5F">
          <w:rPr>
            <w:rFonts w:eastAsia="Times New Roman"/>
            <w:sz w:val="22"/>
            <w:lang w:eastAsia="zh-CN"/>
          </w:rPr>
          <w:t>erika.inkina@tm.gov.lv</w:t>
        </w:r>
      </w:hyperlink>
    </w:p>
    <w:p w14:paraId="6498A288" w14:textId="77777777" w:rsidR="00B32843" w:rsidRPr="00D96A5F" w:rsidRDefault="00B32843" w:rsidP="00B32843">
      <w:pPr>
        <w:rPr>
          <w:iCs/>
          <w:sz w:val="22"/>
          <w:lang w:eastAsia="lv-LV"/>
        </w:rPr>
      </w:pPr>
    </w:p>
    <w:bookmarkEnd w:id="0"/>
    <w:p w14:paraId="1E408361" w14:textId="13244F88" w:rsidR="00F35666" w:rsidRDefault="00F35666" w:rsidP="00F35666">
      <w:pPr>
        <w:pStyle w:val="ListParagraph"/>
        <w:widowControl/>
        <w:tabs>
          <w:tab w:val="left" w:pos="0"/>
          <w:tab w:val="left" w:pos="1134"/>
        </w:tabs>
        <w:suppressAutoHyphens/>
        <w:ind w:left="0" w:firstLine="709"/>
        <w:outlineLvl w:val="3"/>
        <w:rPr>
          <w:rFonts w:ascii="Arial" w:hAnsi="Arial" w:cs="Arial"/>
          <w:color w:val="414142"/>
          <w:sz w:val="20"/>
          <w:szCs w:val="20"/>
          <w:shd w:val="clear" w:color="auto" w:fill="FFFFFF"/>
        </w:rPr>
      </w:pPr>
    </w:p>
    <w:sectPr w:rsidR="00F35666" w:rsidSect="00A34ACB">
      <w:headerReference w:type="default" r:id="rId10"/>
      <w:footerReference w:type="default" r:id="rId11"/>
      <w:headerReference w:type="first" r:id="rId12"/>
      <w:footerReference w:type="first" r:id="rId13"/>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444F2" w14:textId="77777777" w:rsidR="00EE7221" w:rsidRDefault="00EE7221">
      <w:r>
        <w:separator/>
      </w:r>
    </w:p>
  </w:endnote>
  <w:endnote w:type="continuationSeparator" w:id="0">
    <w:p w14:paraId="5CBDD534" w14:textId="77777777" w:rsidR="00EE7221" w:rsidRDefault="00EE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6502B" w14:textId="77777777" w:rsidR="00254279" w:rsidRPr="000575BF" w:rsidRDefault="00254279" w:rsidP="00254279">
    <w:pPr>
      <w:ind w:right="12"/>
    </w:pPr>
    <w:r w:rsidRPr="000575BF">
      <w:rPr>
        <w:sz w:val="20"/>
        <w:szCs w:val="20"/>
      </w:rPr>
      <w:t>TMAtz_</w:t>
    </w:r>
    <w:r>
      <w:rPr>
        <w:sz w:val="20"/>
        <w:szCs w:val="20"/>
      </w:rPr>
      <w:t>280520</w:t>
    </w:r>
    <w:r w:rsidRPr="000575BF">
      <w:rPr>
        <w:sz w:val="20"/>
        <w:szCs w:val="20"/>
      </w:rPr>
      <w:t>_</w:t>
    </w:r>
    <w:r>
      <w:rPr>
        <w:sz w:val="20"/>
        <w:szCs w:val="20"/>
      </w:rPr>
      <w:t>VARAM</w:t>
    </w:r>
    <w:r w:rsidRPr="000575BF">
      <w:rPr>
        <w:sz w:val="20"/>
        <w:szCs w:val="20"/>
      </w:rPr>
      <w:t>_</w:t>
    </w:r>
    <w:r>
      <w:rPr>
        <w:sz w:val="20"/>
        <w:szCs w:val="20"/>
      </w:rPr>
      <w:t>VSS-462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4AE6A" w14:textId="70A05A94" w:rsidR="00254279" w:rsidRPr="000575BF" w:rsidRDefault="00254279" w:rsidP="00254279">
    <w:pPr>
      <w:ind w:right="12"/>
    </w:pPr>
    <w:bookmarkStart w:id="1" w:name="_Hlk73086204"/>
    <w:r w:rsidRPr="000575BF">
      <w:rPr>
        <w:sz w:val="20"/>
        <w:szCs w:val="20"/>
      </w:rPr>
      <w:t>TMAtz_</w:t>
    </w:r>
    <w:r>
      <w:rPr>
        <w:sz w:val="20"/>
        <w:szCs w:val="20"/>
      </w:rPr>
      <w:t>280520</w:t>
    </w:r>
    <w:r w:rsidRPr="000575BF">
      <w:rPr>
        <w:sz w:val="20"/>
        <w:szCs w:val="20"/>
      </w:rPr>
      <w:t>_</w:t>
    </w:r>
    <w:r>
      <w:rPr>
        <w:sz w:val="20"/>
        <w:szCs w:val="20"/>
      </w:rPr>
      <w:t>VARAM</w:t>
    </w:r>
    <w:r w:rsidRPr="000575BF">
      <w:rPr>
        <w:sz w:val="20"/>
        <w:szCs w:val="20"/>
      </w:rPr>
      <w:t>_</w:t>
    </w:r>
    <w:r>
      <w:rPr>
        <w:sz w:val="20"/>
        <w:szCs w:val="20"/>
      </w:rPr>
      <w:t>VSS-462</w:t>
    </w:r>
  </w:p>
  <w:bookmarkEnd w:i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CA3E2" w14:textId="77777777" w:rsidR="00EE7221" w:rsidRDefault="00EE7221">
      <w:r>
        <w:separator/>
      </w:r>
    </w:p>
  </w:footnote>
  <w:footnote w:type="continuationSeparator" w:id="0">
    <w:p w14:paraId="425BFF9B" w14:textId="77777777" w:rsidR="00EE7221" w:rsidRDefault="00EE7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847357"/>
      <w:docPartObj>
        <w:docPartGallery w:val="Page Numbers (Top of Page)"/>
        <w:docPartUnique/>
      </w:docPartObj>
    </w:sdtPr>
    <w:sdtEndPr/>
    <w:sdtContent>
      <w:p w14:paraId="5E7C1C2E" w14:textId="77777777" w:rsidR="007B3740" w:rsidRDefault="007B3740">
        <w:pPr>
          <w:pStyle w:val="Header"/>
          <w:jc w:val="center"/>
        </w:pPr>
        <w:r>
          <w:fldChar w:fldCharType="begin"/>
        </w:r>
        <w:r>
          <w:instrText>PAGE   \* MERGEFORMAT</w:instrText>
        </w:r>
        <w:r>
          <w:fldChar w:fldCharType="separate"/>
        </w:r>
        <w:r w:rsidR="00441F52">
          <w:rPr>
            <w:noProof/>
          </w:rPr>
          <w:t>2</w:t>
        </w:r>
        <w:r>
          <w:fldChar w:fldCharType="end"/>
        </w:r>
      </w:p>
    </w:sdtContent>
  </w:sdt>
  <w:p w14:paraId="5E7C1C2F" w14:textId="77777777" w:rsidR="006C6018" w:rsidRDefault="006C6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1C30" w14:textId="77777777" w:rsidR="00A34ACB" w:rsidRDefault="00A34ACB" w:rsidP="00A34ACB">
    <w:pPr>
      <w:pStyle w:val="Header"/>
    </w:pPr>
  </w:p>
  <w:p w14:paraId="5E7C1C31" w14:textId="77777777" w:rsidR="00A34ACB" w:rsidRDefault="00E40434" w:rsidP="00A34ACB">
    <w:pPr>
      <w:pStyle w:val="Header"/>
    </w:pPr>
    <w:r>
      <w:rPr>
        <w:noProof/>
        <w:lang w:eastAsia="lv-LV"/>
      </w:rPr>
      <w:drawing>
        <wp:anchor distT="0" distB="0" distL="114300" distR="114300" simplePos="0" relativeHeight="251660800" behindDoc="1" locked="0" layoutInCell="1" allowOverlap="1" wp14:anchorId="5E7C1C42" wp14:editId="5E7C1C43">
          <wp:simplePos x="0" y="0"/>
          <wp:positionH relativeFrom="margin">
            <wp:align>center</wp:align>
          </wp:positionH>
          <wp:positionV relativeFrom="paragraph">
            <wp:posOffset>84455</wp:posOffset>
          </wp:positionV>
          <wp:extent cx="5915025" cy="1066800"/>
          <wp:effectExtent l="0" t="0" r="0" b="0"/>
          <wp:wrapNone/>
          <wp:docPr id="7" name="Attēls 10" descr="\\ts.gov.lv\tmdfs\BB\lk1201\My Documents\DOKUMENTI\RIIKOJUMI\VEIDLAPAS_2015\vienkrasu_header_veidlapa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ts.gov.lv\tmdfs\BB\lk1201\My Documents\DOKUMENTI\RIIKOJUMI\VEIDLAPAS_2015\vienkrasu_header_veidlapa_67.pn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C1C32" w14:textId="77777777" w:rsidR="00A34ACB" w:rsidRDefault="00A34ACB" w:rsidP="00A34ACB">
    <w:pPr>
      <w:pStyle w:val="Header"/>
    </w:pPr>
  </w:p>
  <w:p w14:paraId="5E7C1C33" w14:textId="77777777" w:rsidR="00A34ACB" w:rsidRDefault="00A34ACB" w:rsidP="00A34ACB">
    <w:pPr>
      <w:pStyle w:val="Header"/>
    </w:pPr>
  </w:p>
  <w:p w14:paraId="5E7C1C34" w14:textId="77777777" w:rsidR="00A34ACB" w:rsidRDefault="00A34ACB" w:rsidP="00A34ACB">
    <w:pPr>
      <w:pStyle w:val="Header"/>
    </w:pPr>
  </w:p>
  <w:p w14:paraId="5E7C1C35" w14:textId="77777777" w:rsidR="00A34ACB" w:rsidRDefault="00A34ACB" w:rsidP="00A34ACB">
    <w:pPr>
      <w:pStyle w:val="Header"/>
    </w:pPr>
  </w:p>
  <w:p w14:paraId="5E7C1C36" w14:textId="77777777" w:rsidR="00A34ACB" w:rsidRDefault="00A34ACB" w:rsidP="00A34ACB">
    <w:pPr>
      <w:pStyle w:val="Header"/>
    </w:pPr>
  </w:p>
  <w:p w14:paraId="5E7C1C37" w14:textId="77777777" w:rsidR="00A34ACB" w:rsidRDefault="00A34ACB" w:rsidP="00A34ACB">
    <w:pPr>
      <w:pStyle w:val="Header"/>
    </w:pPr>
  </w:p>
  <w:p w14:paraId="5E7C1C38" w14:textId="77777777" w:rsidR="00A34ACB" w:rsidRDefault="00A34ACB" w:rsidP="00A34ACB">
    <w:pPr>
      <w:pStyle w:val="Header"/>
    </w:pPr>
  </w:p>
  <w:p w14:paraId="5E7C1C39" w14:textId="77777777" w:rsidR="00A34ACB" w:rsidRDefault="00A34ACB" w:rsidP="00A34ACB">
    <w:pPr>
      <w:pStyle w:val="Header"/>
    </w:pPr>
  </w:p>
  <w:p w14:paraId="5E7C1C3A" w14:textId="77777777" w:rsidR="00A34ACB" w:rsidRPr="00815277" w:rsidRDefault="00E40434" w:rsidP="00A34ACB">
    <w:pPr>
      <w:pStyle w:val="Header"/>
    </w:pPr>
    <w:r>
      <w:rPr>
        <w:noProof/>
        <w:lang w:eastAsia="lv-LV"/>
      </w:rPr>
      <mc:AlternateContent>
        <mc:Choice Requires="wps">
          <w:drawing>
            <wp:anchor distT="0" distB="0" distL="114300" distR="114300" simplePos="0" relativeHeight="251658752" behindDoc="1" locked="0" layoutInCell="1" allowOverlap="1" wp14:anchorId="5E7C1C44" wp14:editId="5E7C1C45">
              <wp:simplePos x="0" y="0"/>
              <wp:positionH relativeFrom="page">
                <wp:posOffset>1171575</wp:posOffset>
              </wp:positionH>
              <wp:positionV relativeFrom="page">
                <wp:posOffset>2030730</wp:posOffset>
              </wp:positionV>
              <wp:extent cx="5838825" cy="314325"/>
              <wp:effectExtent l="0" t="0" r="9525" b="9525"/>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C1C48" w14:textId="77777777" w:rsidR="00A34ACB" w:rsidRPr="006C6018" w:rsidRDefault="00AC270F" w:rsidP="00A34ACB">
                          <w:pPr>
                            <w:spacing w:line="194" w:lineRule="exact"/>
                            <w:ind w:left="20" w:right="-45"/>
                            <w:jc w:val="center"/>
                            <w:rPr>
                              <w:rFonts w:eastAsia="Times New Roman"/>
                              <w:sz w:val="17"/>
                              <w:szCs w:val="17"/>
                            </w:rPr>
                          </w:pPr>
                          <w:r w:rsidRPr="006C6018">
                            <w:rPr>
                              <w:rFonts w:eastAsia="Times New Roman"/>
                              <w:sz w:val="17"/>
                              <w:szCs w:val="17"/>
                            </w:rPr>
                            <w:t>Brīvības bulvāris</w:t>
                          </w:r>
                          <w:r w:rsidR="00A34ACB" w:rsidRPr="006C6018">
                            <w:rPr>
                              <w:rFonts w:eastAsia="Times New Roman"/>
                              <w:sz w:val="17"/>
                              <w:szCs w:val="17"/>
                            </w:rPr>
                            <w:t xml:space="preserve"> 36, Rīga, LV-1536</w:t>
                          </w:r>
                          <w:r w:rsidR="00AB4E8A" w:rsidRPr="006C6018">
                            <w:rPr>
                              <w:rFonts w:eastAsia="Times New Roman"/>
                              <w:sz w:val="17"/>
                              <w:szCs w:val="17"/>
                            </w:rPr>
                            <w:t>;</w:t>
                          </w:r>
                          <w:r w:rsidR="00A34ACB" w:rsidRPr="006C6018">
                            <w:rPr>
                              <w:rFonts w:eastAsia="Times New Roman"/>
                              <w:sz w:val="17"/>
                              <w:szCs w:val="17"/>
                            </w:rPr>
                            <w:t xml:space="preserve"> tālr.</w:t>
                          </w:r>
                          <w:r w:rsidRPr="006C6018">
                            <w:rPr>
                              <w:rFonts w:eastAsia="Times New Roman"/>
                              <w:sz w:val="17"/>
                              <w:szCs w:val="17"/>
                            </w:rPr>
                            <w:t>:</w:t>
                          </w:r>
                          <w:r w:rsidR="00A34ACB" w:rsidRPr="006C6018">
                            <w:rPr>
                              <w:rFonts w:eastAsia="Times New Roman"/>
                              <w:sz w:val="17"/>
                              <w:szCs w:val="17"/>
                            </w:rPr>
                            <w:t xml:space="preserve"> 67036801, 67036716, 67036721</w:t>
                          </w:r>
                          <w:r w:rsidR="00AB4E8A" w:rsidRPr="006C6018">
                            <w:rPr>
                              <w:rFonts w:eastAsia="Times New Roman"/>
                              <w:sz w:val="17"/>
                              <w:szCs w:val="17"/>
                            </w:rPr>
                            <w:t>;</w:t>
                          </w:r>
                          <w:r w:rsidR="00A34ACB" w:rsidRPr="006C6018">
                            <w:rPr>
                              <w:rFonts w:eastAsia="Times New Roman"/>
                              <w:sz w:val="17"/>
                              <w:szCs w:val="17"/>
                            </w:rPr>
                            <w:t xml:space="preserve"> fakss</w:t>
                          </w:r>
                          <w:r w:rsidRPr="006C6018">
                            <w:rPr>
                              <w:rFonts w:eastAsia="Times New Roman"/>
                              <w:sz w:val="17"/>
                              <w:szCs w:val="17"/>
                            </w:rPr>
                            <w:t>:</w:t>
                          </w:r>
                          <w:r w:rsidR="00A34ACB" w:rsidRPr="006C6018">
                            <w:rPr>
                              <w:rFonts w:eastAsia="Times New Roman"/>
                              <w:sz w:val="17"/>
                              <w:szCs w:val="17"/>
                            </w:rPr>
                            <w:t xml:space="preserve"> 67210823, 67285575</w:t>
                          </w:r>
                          <w:r w:rsidR="00AB4E8A" w:rsidRPr="006C6018">
                            <w:rPr>
                              <w:rFonts w:eastAsia="Times New Roman"/>
                              <w:sz w:val="17"/>
                              <w:szCs w:val="17"/>
                            </w:rPr>
                            <w:t>;</w:t>
                          </w:r>
                          <w:r w:rsidR="00A34ACB" w:rsidRPr="006C6018">
                            <w:rPr>
                              <w:rFonts w:eastAsia="Times New Roman"/>
                              <w:sz w:val="17"/>
                              <w:szCs w:val="17"/>
                            </w:rPr>
                            <w:t xml:space="preserve"> </w:t>
                          </w:r>
                        </w:p>
                        <w:p w14:paraId="5E7C1C49" w14:textId="2E3D2505" w:rsidR="00A34ACB" w:rsidRPr="006C6018" w:rsidRDefault="00A34ACB" w:rsidP="00A34ACB">
                          <w:pPr>
                            <w:spacing w:line="194" w:lineRule="exact"/>
                            <w:ind w:left="20" w:right="-45"/>
                            <w:jc w:val="center"/>
                            <w:rPr>
                              <w:rFonts w:eastAsia="Times New Roman"/>
                              <w:sz w:val="17"/>
                              <w:szCs w:val="17"/>
                            </w:rPr>
                          </w:pPr>
                          <w:r w:rsidRPr="006C6018">
                            <w:rPr>
                              <w:rFonts w:eastAsia="Times New Roman"/>
                              <w:sz w:val="17"/>
                              <w:szCs w:val="17"/>
                            </w:rPr>
                            <w:t>e-pasts</w:t>
                          </w:r>
                          <w:r w:rsidR="00AC270F" w:rsidRPr="006C6018">
                            <w:rPr>
                              <w:rFonts w:eastAsia="Times New Roman"/>
                              <w:sz w:val="17"/>
                              <w:szCs w:val="17"/>
                            </w:rPr>
                            <w:t>:</w:t>
                          </w:r>
                          <w:r w:rsidRPr="006C6018">
                            <w:rPr>
                              <w:rFonts w:eastAsia="Times New Roman"/>
                              <w:sz w:val="17"/>
                              <w:szCs w:val="17"/>
                            </w:rPr>
                            <w:t xml:space="preserve"> </w:t>
                          </w:r>
                          <w:r w:rsidR="00F134BD">
                            <w:rPr>
                              <w:rFonts w:eastAsia="Times New Roman"/>
                              <w:sz w:val="17"/>
                              <w:szCs w:val="17"/>
                            </w:rPr>
                            <w:t>pasts</w:t>
                          </w:r>
                          <w:r w:rsidRPr="006C6018">
                            <w:rPr>
                              <w:rFonts w:eastAsia="Times New Roman"/>
                              <w:sz w:val="17"/>
                              <w:szCs w:val="17"/>
                            </w:rPr>
                            <w:t>@tm.gov.lv</w:t>
                          </w:r>
                          <w:r w:rsidR="00AB4E8A" w:rsidRPr="006C6018">
                            <w:rPr>
                              <w:rFonts w:eastAsia="Times New Roman"/>
                              <w:sz w:val="17"/>
                              <w:szCs w:val="17"/>
                            </w:rPr>
                            <w:t>;</w:t>
                          </w:r>
                          <w:r w:rsidRPr="006C6018">
                            <w:rPr>
                              <w:rFonts w:eastAsia="Times New Roman"/>
                              <w:sz w:val="17"/>
                              <w:szCs w:val="17"/>
                            </w:rPr>
                            <w:t xml:space="preserve"> www.tm.gov.lv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C1C44" id="_x0000_t202" coordsize="21600,21600" o:spt="202" path="m,l,21600r21600,l21600,xe">
              <v:stroke joinstyle="miter"/>
              <v:path gradientshapeok="t" o:connecttype="rect"/>
            </v:shapetype>
            <v:shape id="Text Box 43" o:spid="_x0000_s1026" type="#_x0000_t202" style="position:absolute;left:0;text-align:left;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" filled="f" stroked="f">
              <v:textbox inset="0,0,0,0">
                <w:txbxContent>
                  <w:p w14:paraId="5E7C1C48" w14:textId="77777777" w:rsidR="00A34ACB" w:rsidRPr="006C6018" w:rsidRDefault="00AC270F" w:rsidP="00A34ACB">
                    <w:pPr>
                      <w:spacing w:line="194" w:lineRule="exact"/>
                      <w:ind w:left="20" w:right="-45"/>
                      <w:jc w:val="center"/>
                      <w:rPr>
                        <w:rFonts w:eastAsia="Times New Roman"/>
                        <w:sz w:val="17"/>
                        <w:szCs w:val="17"/>
                      </w:rPr>
                    </w:pPr>
                    <w:r w:rsidRPr="006C6018">
                      <w:rPr>
                        <w:rFonts w:eastAsia="Times New Roman"/>
                        <w:sz w:val="17"/>
                        <w:szCs w:val="17"/>
                      </w:rPr>
                      <w:t>Brīvības bulvāris</w:t>
                    </w:r>
                    <w:r w:rsidR="00A34ACB" w:rsidRPr="006C6018">
                      <w:rPr>
                        <w:rFonts w:eastAsia="Times New Roman"/>
                        <w:sz w:val="17"/>
                        <w:szCs w:val="17"/>
                      </w:rPr>
                      <w:t xml:space="preserve"> 36, Rīga, LV-1536</w:t>
                    </w:r>
                    <w:r w:rsidR="00AB4E8A" w:rsidRPr="006C6018">
                      <w:rPr>
                        <w:rFonts w:eastAsia="Times New Roman"/>
                        <w:sz w:val="17"/>
                        <w:szCs w:val="17"/>
                      </w:rPr>
                      <w:t>;</w:t>
                    </w:r>
                    <w:r w:rsidR="00A34ACB" w:rsidRPr="006C6018">
                      <w:rPr>
                        <w:rFonts w:eastAsia="Times New Roman"/>
                        <w:sz w:val="17"/>
                        <w:szCs w:val="17"/>
                      </w:rPr>
                      <w:t xml:space="preserve"> tālr.</w:t>
                    </w:r>
                    <w:r w:rsidRPr="006C6018">
                      <w:rPr>
                        <w:rFonts w:eastAsia="Times New Roman"/>
                        <w:sz w:val="17"/>
                        <w:szCs w:val="17"/>
                      </w:rPr>
                      <w:t>:</w:t>
                    </w:r>
                    <w:r w:rsidR="00A34ACB" w:rsidRPr="006C6018">
                      <w:rPr>
                        <w:rFonts w:eastAsia="Times New Roman"/>
                        <w:sz w:val="17"/>
                        <w:szCs w:val="17"/>
                      </w:rPr>
                      <w:t xml:space="preserve"> 67036801, 67036716, 67036721</w:t>
                    </w:r>
                    <w:r w:rsidR="00AB4E8A" w:rsidRPr="006C6018">
                      <w:rPr>
                        <w:rFonts w:eastAsia="Times New Roman"/>
                        <w:sz w:val="17"/>
                        <w:szCs w:val="17"/>
                      </w:rPr>
                      <w:t>;</w:t>
                    </w:r>
                    <w:r w:rsidR="00A34ACB" w:rsidRPr="006C6018">
                      <w:rPr>
                        <w:rFonts w:eastAsia="Times New Roman"/>
                        <w:sz w:val="17"/>
                        <w:szCs w:val="17"/>
                      </w:rPr>
                      <w:t xml:space="preserve"> fakss</w:t>
                    </w:r>
                    <w:r w:rsidRPr="006C6018">
                      <w:rPr>
                        <w:rFonts w:eastAsia="Times New Roman"/>
                        <w:sz w:val="17"/>
                        <w:szCs w:val="17"/>
                      </w:rPr>
                      <w:t>:</w:t>
                    </w:r>
                    <w:r w:rsidR="00A34ACB" w:rsidRPr="006C6018">
                      <w:rPr>
                        <w:rFonts w:eastAsia="Times New Roman"/>
                        <w:sz w:val="17"/>
                        <w:szCs w:val="17"/>
                      </w:rPr>
                      <w:t xml:space="preserve"> 67210823, 67285575</w:t>
                    </w:r>
                    <w:r w:rsidR="00AB4E8A" w:rsidRPr="006C6018">
                      <w:rPr>
                        <w:rFonts w:eastAsia="Times New Roman"/>
                        <w:sz w:val="17"/>
                        <w:szCs w:val="17"/>
                      </w:rPr>
                      <w:t>;</w:t>
                    </w:r>
                    <w:r w:rsidR="00A34ACB" w:rsidRPr="006C6018">
                      <w:rPr>
                        <w:rFonts w:eastAsia="Times New Roman"/>
                        <w:sz w:val="17"/>
                        <w:szCs w:val="17"/>
                      </w:rPr>
                      <w:t xml:space="preserve"> </w:t>
                    </w:r>
                  </w:p>
                  <w:p w14:paraId="5E7C1C49" w14:textId="2E3D2505" w:rsidR="00A34ACB" w:rsidRPr="006C6018" w:rsidRDefault="00A34ACB" w:rsidP="00A34ACB">
                    <w:pPr>
                      <w:spacing w:line="194" w:lineRule="exact"/>
                      <w:ind w:left="20" w:right="-45"/>
                      <w:jc w:val="center"/>
                      <w:rPr>
                        <w:rFonts w:eastAsia="Times New Roman"/>
                        <w:sz w:val="17"/>
                        <w:szCs w:val="17"/>
                      </w:rPr>
                    </w:pPr>
                    <w:r w:rsidRPr="006C6018">
                      <w:rPr>
                        <w:rFonts w:eastAsia="Times New Roman"/>
                        <w:sz w:val="17"/>
                        <w:szCs w:val="17"/>
                      </w:rPr>
                      <w:t>e-pasts</w:t>
                    </w:r>
                    <w:r w:rsidR="00AC270F" w:rsidRPr="006C6018">
                      <w:rPr>
                        <w:rFonts w:eastAsia="Times New Roman"/>
                        <w:sz w:val="17"/>
                        <w:szCs w:val="17"/>
                      </w:rPr>
                      <w:t>:</w:t>
                    </w:r>
                    <w:r w:rsidRPr="006C6018">
                      <w:rPr>
                        <w:rFonts w:eastAsia="Times New Roman"/>
                        <w:sz w:val="17"/>
                        <w:szCs w:val="17"/>
                      </w:rPr>
                      <w:t xml:space="preserve"> </w:t>
                    </w:r>
                    <w:r w:rsidR="00F134BD">
                      <w:rPr>
                        <w:rFonts w:eastAsia="Times New Roman"/>
                        <w:sz w:val="17"/>
                        <w:szCs w:val="17"/>
                      </w:rPr>
                      <w:t>pasts</w:t>
                    </w:r>
                    <w:r w:rsidRPr="006C6018">
                      <w:rPr>
                        <w:rFonts w:eastAsia="Times New Roman"/>
                        <w:sz w:val="17"/>
                        <w:szCs w:val="17"/>
                      </w:rPr>
                      <w:t>@tm.gov.lv</w:t>
                    </w:r>
                    <w:r w:rsidR="00AB4E8A" w:rsidRPr="006C6018">
                      <w:rPr>
                        <w:rFonts w:eastAsia="Times New Roman"/>
                        <w:sz w:val="17"/>
                        <w:szCs w:val="17"/>
                      </w:rPr>
                      <w:t>;</w:t>
                    </w:r>
                    <w:r w:rsidRPr="006C6018">
                      <w:rPr>
                        <w:rFonts w:eastAsia="Times New Roman"/>
                        <w:sz w:val="17"/>
                        <w:szCs w:val="17"/>
                      </w:rPr>
                      <w:t xml:space="preserve"> www.tm.gov.lv</w:t>
                    </w:r>
                  </w:p>
                </w:txbxContent>
              </v:textbox>
              <w10:wrap anchorx="page" anchory="page"/>
            </v:shape>
          </w:pict>
        </mc:Fallback>
      </mc:AlternateContent>
    </w:r>
    <w:r>
      <w:rPr>
        <w:noProof/>
        <w:lang w:eastAsia="lv-LV"/>
      </w:rPr>
      <mc:AlternateContent>
        <mc:Choice Requires="wpg">
          <w:drawing>
            <wp:anchor distT="0" distB="0" distL="114300" distR="114300" simplePos="0" relativeHeight="251657728" behindDoc="1" locked="0" layoutInCell="1" allowOverlap="1" wp14:anchorId="5E7C1C46" wp14:editId="5E7C1C47">
              <wp:simplePos x="0" y="0"/>
              <wp:positionH relativeFrom="page">
                <wp:posOffset>1850390</wp:posOffset>
              </wp:positionH>
              <wp:positionV relativeFrom="page">
                <wp:posOffset>1903095</wp:posOffset>
              </wp:positionV>
              <wp:extent cx="4397375" cy="1270"/>
              <wp:effectExtent l="0" t="0" r="22225" b="17780"/>
              <wp:wrapNone/>
              <wp:docPr id="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5"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group id="Group 41" style="position:absolute;margin-left:145.7pt;margin-top:149.85pt;width:346.25pt;height:.1pt;z-index:-251658752;mso-position-horizontal-relative:page;mso-position-vertical-relative:page" coordsize="6926,2" coordorigin="2915,299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" w14:anchorId="29C7D1B5">
              <v:shape id="Freeform 42" style="position:absolute;left:2915;top:2998;width:6926;height:2;visibility:visible;mso-wrap-style:square;v-text-anchor:top" coordsize="6926,2" o:spid="_x0000_s1027" filled="f" strokecolor="#231f20" strokeweight=".25pt" path="m,l69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">
                <v:path arrowok="t" o:connecttype="custom" o:connectlocs="0,0;6926,0" o:connectangles="0,0"/>
              </v:shape>
              <w10:wrap anchorx="page" anchory="page"/>
            </v:group>
          </w:pict>
        </mc:Fallback>
      </mc:AlternateContent>
    </w:r>
  </w:p>
  <w:p w14:paraId="5E7C1C3B" w14:textId="77777777" w:rsidR="00AB4E8A" w:rsidRPr="00C836FF" w:rsidRDefault="00AB4E8A" w:rsidP="00AB4E8A">
    <w:pPr>
      <w:jc w:val="center"/>
      <w:rPr>
        <w:szCs w:val="24"/>
      </w:rPr>
    </w:pPr>
    <w:r w:rsidRPr="00C836FF">
      <w:rPr>
        <w:szCs w:val="24"/>
      </w:rPr>
      <w:t>Rīgā</w:t>
    </w:r>
  </w:p>
  <w:p w14:paraId="5E7C1C3C" w14:textId="77777777" w:rsidR="00AB4E8A" w:rsidRPr="00C836FF" w:rsidRDefault="00AB4E8A" w:rsidP="00AB4E8A">
    <w:pPr>
      <w:jc w:val="center"/>
      <w:rPr>
        <w:szCs w:val="24"/>
      </w:rPr>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10"/>
      <w:gridCol w:w="420"/>
      <w:gridCol w:w="1890"/>
    </w:tblGrid>
    <w:tr w:rsidR="00E11DA3" w14:paraId="5E7C1C40" w14:textId="77777777" w:rsidTr="00A6153E">
      <w:tc>
        <w:tcPr>
          <w:tcW w:w="1810" w:type="dxa"/>
        </w:tcPr>
        <w:p w14:paraId="5E7C1C3D" w14:textId="41B37D0D" w:rsidR="00E11DA3" w:rsidRDefault="00887350" w:rsidP="00E11DA3">
          <w:pPr>
            <w:pStyle w:val="Header"/>
            <w:jc w:val="center"/>
            <w:rPr>
              <w:szCs w:val="24"/>
            </w:rPr>
          </w:pPr>
          <w:r>
            <w:t>04.06.2021</w:t>
          </w:r>
          <w:r>
            <w:rPr>
              <w:szCs w:val="24"/>
            </w:rPr>
            <w:t>.</w:t>
          </w:r>
        </w:p>
      </w:tc>
      <w:tc>
        <w:tcPr>
          <w:tcW w:w="420" w:type="dxa"/>
          <w:tcBorders>
            <w:bottom w:val="nil"/>
          </w:tcBorders>
        </w:tcPr>
        <w:p w14:paraId="5E7C1C3E" w14:textId="77777777" w:rsidR="00E11DA3" w:rsidRDefault="00E11DA3" w:rsidP="00E11DA3">
          <w:pPr>
            <w:pStyle w:val="Header"/>
            <w:rPr>
              <w:szCs w:val="24"/>
            </w:rPr>
          </w:pPr>
          <w:r>
            <w:rPr>
              <w:szCs w:val="24"/>
            </w:rPr>
            <w:t xml:space="preserve"> Nr.</w:t>
          </w:r>
        </w:p>
      </w:tc>
      <w:tc>
        <w:tcPr>
          <w:tcW w:w="1890" w:type="dxa"/>
        </w:tcPr>
        <w:p w14:paraId="5E7C1C3F" w14:textId="77777777" w:rsidR="00E11DA3" w:rsidRDefault="00E11DA3" w:rsidP="00E11DA3">
          <w:pPr>
            <w:pStyle w:val="Header"/>
            <w:jc w:val="center"/>
            <w:rPr>
              <w:szCs w:val="24"/>
            </w:rPr>
          </w:pPr>
          <w:r>
            <w:t>1-9.1/626</w:t>
          </w:r>
        </w:p>
      </w:tc>
    </w:tr>
  </w:tbl>
  <w:p w14:paraId="5E7C1C41" w14:textId="77777777" w:rsidR="00AB4E8A" w:rsidRPr="00887350" w:rsidRDefault="00AB4E8A" w:rsidP="00E11DA3">
    <w:pPr>
      <w:tabs>
        <w:tab w:val="center" w:pos="4320"/>
        <w:tab w:val="right" w:pos="864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D82C6C"/>
    <w:multiLevelType w:val="hybridMultilevel"/>
    <w:tmpl w:val="EE387D7E"/>
    <w:lvl w:ilvl="0" w:tplc="D002651E">
      <w:start w:val="1"/>
      <w:numFmt w:val="decimal"/>
      <w:lvlText w:val="%1."/>
      <w:lvlJc w:val="left"/>
      <w:pPr>
        <w:ind w:left="928"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18E77936"/>
    <w:multiLevelType w:val="hybridMultilevel"/>
    <w:tmpl w:val="F0D6E2E8"/>
    <w:lvl w:ilvl="0" w:tplc="9D0A1CFA">
      <w:start w:val="1"/>
      <w:numFmt w:val="decimal"/>
      <w:suff w:val="space"/>
      <w:lvlText w:val="%1."/>
      <w:lvlJc w:val="left"/>
      <w:pPr>
        <w:ind w:left="3828" w:firstLine="0"/>
      </w:pPr>
      <w:rPr>
        <w:rFonts w:ascii="Times New Roman" w:hAnsi="Times New Roman" w:cs="Times New Roman" w:hint="default"/>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52F415B5"/>
    <w:multiLevelType w:val="hybridMultilevel"/>
    <w:tmpl w:val="D5386C8A"/>
    <w:lvl w:ilvl="0" w:tplc="D002651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6DEA088D"/>
    <w:multiLevelType w:val="hybridMultilevel"/>
    <w:tmpl w:val="B2C852EC"/>
    <w:lvl w:ilvl="0" w:tplc="D002651E">
      <w:start w:val="1"/>
      <w:numFmt w:val="decimal"/>
      <w:lvlText w:val="%1."/>
      <w:lvlJc w:val="left"/>
      <w:pPr>
        <w:ind w:left="1069" w:hanging="360"/>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75120C0A"/>
    <w:multiLevelType w:val="multilevel"/>
    <w:tmpl w:val="7C96F07A"/>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i w:val="0"/>
      </w:rPr>
    </w:lvl>
    <w:lvl w:ilvl="2">
      <w:start w:val="1"/>
      <w:numFmt w:val="decimal"/>
      <w:lvlText w:val="%1.%2.%3."/>
      <w:lvlJc w:val="left"/>
      <w:pPr>
        <w:ind w:left="2160" w:hanging="720"/>
      </w:pPr>
      <w:rPr>
        <w:rFonts w:ascii="Times New Roman" w:hAnsi="Times New Roman" w:cs="Times New Roman"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6061904"/>
    <w:multiLevelType w:val="hybridMultilevel"/>
    <w:tmpl w:val="4FC6D364"/>
    <w:lvl w:ilvl="0" w:tplc="49DCE7E0">
      <w:start w:val="1"/>
      <w:numFmt w:val="decimal"/>
      <w:lvlText w:val="%1."/>
      <w:lvlJc w:val="left"/>
      <w:pPr>
        <w:ind w:left="720" w:hanging="360"/>
      </w:pPr>
      <w:rPr>
        <w:rFonts w:hint="default"/>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8D7226F"/>
    <w:multiLevelType w:val="hybridMultilevel"/>
    <w:tmpl w:val="F98036E2"/>
    <w:lvl w:ilvl="0" w:tplc="8D8E1C7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D3825E6"/>
    <w:multiLevelType w:val="hybridMultilevel"/>
    <w:tmpl w:val="12C2E13E"/>
    <w:lvl w:ilvl="0" w:tplc="E490EECE">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2"/>
  </w:num>
  <w:num w:numId="15">
    <w:abstractNumId w:val="13"/>
  </w:num>
  <w:num w:numId="16">
    <w:abstractNumId w:val="17"/>
  </w:num>
  <w:num w:numId="17">
    <w:abstractNumId w:val="18"/>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6384"/>
    <w:rsid w:val="00030349"/>
    <w:rsid w:val="00052E14"/>
    <w:rsid w:val="00091ABD"/>
    <w:rsid w:val="000D6929"/>
    <w:rsid w:val="000D77EC"/>
    <w:rsid w:val="000E7F03"/>
    <w:rsid w:val="00124173"/>
    <w:rsid w:val="0013008F"/>
    <w:rsid w:val="00254279"/>
    <w:rsid w:val="00275B9E"/>
    <w:rsid w:val="002B3077"/>
    <w:rsid w:val="002E1474"/>
    <w:rsid w:val="002E2BCE"/>
    <w:rsid w:val="00307614"/>
    <w:rsid w:val="00307DDF"/>
    <w:rsid w:val="00335032"/>
    <w:rsid w:val="00346386"/>
    <w:rsid w:val="00386261"/>
    <w:rsid w:val="00441F52"/>
    <w:rsid w:val="00493308"/>
    <w:rsid w:val="00535564"/>
    <w:rsid w:val="00545849"/>
    <w:rsid w:val="005977AA"/>
    <w:rsid w:val="005E672B"/>
    <w:rsid w:val="006205D1"/>
    <w:rsid w:val="00663C3A"/>
    <w:rsid w:val="006831BE"/>
    <w:rsid w:val="006C1639"/>
    <w:rsid w:val="006C6018"/>
    <w:rsid w:val="00712710"/>
    <w:rsid w:val="00724680"/>
    <w:rsid w:val="00726E06"/>
    <w:rsid w:val="00746CDF"/>
    <w:rsid w:val="00747CCB"/>
    <w:rsid w:val="007704BD"/>
    <w:rsid w:val="00781F52"/>
    <w:rsid w:val="007841F6"/>
    <w:rsid w:val="007B3740"/>
    <w:rsid w:val="007B3BA5"/>
    <w:rsid w:val="007B48EC"/>
    <w:rsid w:val="007E0D0E"/>
    <w:rsid w:val="007E4D1F"/>
    <w:rsid w:val="00815277"/>
    <w:rsid w:val="00816499"/>
    <w:rsid w:val="00830970"/>
    <w:rsid w:val="0087450D"/>
    <w:rsid w:val="00874E5F"/>
    <w:rsid w:val="00876C21"/>
    <w:rsid w:val="00883533"/>
    <w:rsid w:val="00887350"/>
    <w:rsid w:val="0089635B"/>
    <w:rsid w:val="008A679D"/>
    <w:rsid w:val="008E3CED"/>
    <w:rsid w:val="00934D39"/>
    <w:rsid w:val="00954D5A"/>
    <w:rsid w:val="0096342D"/>
    <w:rsid w:val="009A5D6D"/>
    <w:rsid w:val="009D6B6A"/>
    <w:rsid w:val="00A34ACB"/>
    <w:rsid w:val="00A74AD3"/>
    <w:rsid w:val="00A84FC7"/>
    <w:rsid w:val="00AB4E8A"/>
    <w:rsid w:val="00AC270F"/>
    <w:rsid w:val="00AE4192"/>
    <w:rsid w:val="00AF10A5"/>
    <w:rsid w:val="00B00C69"/>
    <w:rsid w:val="00B16324"/>
    <w:rsid w:val="00B32843"/>
    <w:rsid w:val="00B64D0D"/>
    <w:rsid w:val="00BB087F"/>
    <w:rsid w:val="00BF7B60"/>
    <w:rsid w:val="00C04896"/>
    <w:rsid w:val="00C255D9"/>
    <w:rsid w:val="00C37873"/>
    <w:rsid w:val="00C47F57"/>
    <w:rsid w:val="00C702AF"/>
    <w:rsid w:val="00C836FF"/>
    <w:rsid w:val="00CB5338"/>
    <w:rsid w:val="00CB7F74"/>
    <w:rsid w:val="00CD6F67"/>
    <w:rsid w:val="00CF0967"/>
    <w:rsid w:val="00D21FA6"/>
    <w:rsid w:val="00D55B4B"/>
    <w:rsid w:val="00DC55B1"/>
    <w:rsid w:val="00E11DA3"/>
    <w:rsid w:val="00E3165F"/>
    <w:rsid w:val="00E365CE"/>
    <w:rsid w:val="00E40434"/>
    <w:rsid w:val="00E44743"/>
    <w:rsid w:val="00E851F8"/>
    <w:rsid w:val="00EA4F1D"/>
    <w:rsid w:val="00EC3533"/>
    <w:rsid w:val="00EC40FD"/>
    <w:rsid w:val="00EE7221"/>
    <w:rsid w:val="00F134BD"/>
    <w:rsid w:val="00F35666"/>
    <w:rsid w:val="00F50539"/>
    <w:rsid w:val="00F60586"/>
    <w:rsid w:val="00F8122F"/>
    <w:rsid w:val="00FA3067"/>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C1C27"/>
  <w15:docId w15:val="{F0A60899-0F59-4FE3-B604-795CBD48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E06"/>
    <w:pPr>
      <w:widowControl w:val="0"/>
      <w:jc w:val="both"/>
    </w:pPr>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Spacing">
    <w:name w:val="No Spacing"/>
    <w:basedOn w:val="Normal"/>
    <w:next w:val="Normal"/>
    <w:uiPriority w:val="1"/>
    <w:qFormat/>
    <w:rsid w:val="007B3740"/>
  </w:style>
  <w:style w:type="table" w:styleId="TableGrid">
    <w:name w:val="Table Grid"/>
    <w:basedOn w:val="TableNormal"/>
    <w:uiPriority w:val="59"/>
    <w:rsid w:val="00E1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Akapit z listą BS,H&amp;P List Paragraph,Strip"/>
    <w:basedOn w:val="Normal"/>
    <w:link w:val="ListParagraphChar"/>
    <w:uiPriority w:val="34"/>
    <w:qFormat/>
    <w:rsid w:val="00254279"/>
    <w:pPr>
      <w:ind w:left="720"/>
      <w:contextualSpacing/>
    </w:pPr>
  </w:style>
  <w:style w:type="character" w:customStyle="1" w:styleId="ListParagraphChar">
    <w:name w:val="List Paragraph Char"/>
    <w:aliases w:val="2 Char,Akapit z listą BS Char,H&amp;P List Paragraph Char,Strip Char"/>
    <w:link w:val="ListParagraph"/>
    <w:uiPriority w:val="34"/>
    <w:rsid w:val="00254279"/>
    <w:rPr>
      <w:rFonts w:ascii="Times New Roman" w:hAnsi="Times New Roman"/>
      <w:sz w:val="24"/>
      <w:szCs w:val="22"/>
      <w:lang w:eastAsia="en-US"/>
    </w:rPr>
  </w:style>
  <w:style w:type="paragraph" w:styleId="FootnoteText">
    <w:name w:val="footnote text"/>
    <w:basedOn w:val="Normal"/>
    <w:link w:val="FootnoteTextChar"/>
    <w:uiPriority w:val="99"/>
    <w:semiHidden/>
    <w:unhideWhenUsed/>
    <w:rsid w:val="00254279"/>
    <w:rPr>
      <w:sz w:val="20"/>
      <w:szCs w:val="20"/>
    </w:rPr>
  </w:style>
  <w:style w:type="character" w:customStyle="1" w:styleId="FootnoteTextChar">
    <w:name w:val="Footnote Text Char"/>
    <w:basedOn w:val="DefaultParagraphFont"/>
    <w:link w:val="FootnoteText"/>
    <w:uiPriority w:val="99"/>
    <w:semiHidden/>
    <w:rsid w:val="00254279"/>
    <w:rPr>
      <w:rFonts w:ascii="Times New Roman" w:hAnsi="Times New Roman"/>
      <w:lang w:eastAsia="en-US"/>
    </w:rPr>
  </w:style>
  <w:style w:type="character" w:styleId="FootnoteReference">
    <w:name w:val="footnote reference"/>
    <w:basedOn w:val="DefaultParagraphFont"/>
    <w:uiPriority w:val="99"/>
    <w:semiHidden/>
    <w:unhideWhenUsed/>
    <w:rsid w:val="00254279"/>
    <w:rPr>
      <w:vertAlign w:val="superscript"/>
    </w:rPr>
  </w:style>
  <w:style w:type="character" w:styleId="CommentReference">
    <w:name w:val="annotation reference"/>
    <w:basedOn w:val="DefaultParagraphFont"/>
    <w:uiPriority w:val="99"/>
    <w:semiHidden/>
    <w:unhideWhenUsed/>
    <w:rsid w:val="00AE4192"/>
    <w:rPr>
      <w:sz w:val="16"/>
      <w:szCs w:val="16"/>
    </w:rPr>
  </w:style>
  <w:style w:type="paragraph" w:styleId="CommentText">
    <w:name w:val="annotation text"/>
    <w:basedOn w:val="Normal"/>
    <w:link w:val="CommentTextChar"/>
    <w:uiPriority w:val="99"/>
    <w:semiHidden/>
    <w:unhideWhenUsed/>
    <w:rsid w:val="00AE4192"/>
    <w:rPr>
      <w:sz w:val="20"/>
      <w:szCs w:val="20"/>
    </w:rPr>
  </w:style>
  <w:style w:type="character" w:customStyle="1" w:styleId="CommentTextChar">
    <w:name w:val="Comment Text Char"/>
    <w:basedOn w:val="DefaultParagraphFont"/>
    <w:link w:val="CommentText"/>
    <w:uiPriority w:val="99"/>
    <w:semiHidden/>
    <w:rsid w:val="00AE4192"/>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AE4192"/>
    <w:rPr>
      <w:b/>
      <w:bCs/>
    </w:rPr>
  </w:style>
  <w:style w:type="character" w:customStyle="1" w:styleId="CommentSubjectChar">
    <w:name w:val="Comment Subject Char"/>
    <w:basedOn w:val="CommentTextChar"/>
    <w:link w:val="CommentSubject"/>
    <w:uiPriority w:val="99"/>
    <w:semiHidden/>
    <w:rsid w:val="00AE4192"/>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08645">
      <w:bodyDiv w:val="1"/>
      <w:marLeft w:val="0"/>
      <w:marRight w:val="0"/>
      <w:marTop w:val="0"/>
      <w:marBottom w:val="0"/>
      <w:divBdr>
        <w:top w:val="none" w:sz="0" w:space="0" w:color="auto"/>
        <w:left w:val="none" w:sz="0" w:space="0" w:color="auto"/>
        <w:bottom w:val="none" w:sz="0" w:space="0" w:color="auto"/>
        <w:right w:val="none" w:sz="0" w:space="0" w:color="auto"/>
      </w:divBdr>
      <w:divsChild>
        <w:div w:id="587734958">
          <w:marLeft w:val="0"/>
          <w:marRight w:val="0"/>
          <w:marTop w:val="480"/>
          <w:marBottom w:val="240"/>
          <w:divBdr>
            <w:top w:val="none" w:sz="0" w:space="0" w:color="auto"/>
            <w:left w:val="none" w:sz="0" w:space="0" w:color="auto"/>
            <w:bottom w:val="none" w:sz="0" w:space="0" w:color="auto"/>
            <w:right w:val="none" w:sz="0" w:space="0" w:color="auto"/>
          </w:divBdr>
        </w:div>
        <w:div w:id="1748454309">
          <w:marLeft w:val="0"/>
          <w:marRight w:val="0"/>
          <w:marTop w:val="0"/>
          <w:marBottom w:val="567"/>
          <w:divBdr>
            <w:top w:val="none" w:sz="0" w:space="0" w:color="auto"/>
            <w:left w:val="none" w:sz="0" w:space="0" w:color="auto"/>
            <w:bottom w:val="none" w:sz="0" w:space="0" w:color="auto"/>
            <w:right w:val="none" w:sz="0" w:space="0" w:color="auto"/>
          </w:divBdr>
        </w:div>
      </w:divsChild>
    </w:div>
    <w:div w:id="686056725">
      <w:bodyDiv w:val="1"/>
      <w:marLeft w:val="0"/>
      <w:marRight w:val="0"/>
      <w:marTop w:val="0"/>
      <w:marBottom w:val="0"/>
      <w:divBdr>
        <w:top w:val="none" w:sz="0" w:space="0" w:color="auto"/>
        <w:left w:val="none" w:sz="0" w:space="0" w:color="auto"/>
        <w:bottom w:val="none" w:sz="0" w:space="0" w:color="auto"/>
        <w:right w:val="none" w:sz="0" w:space="0" w:color="auto"/>
      </w:divBdr>
      <w:divsChild>
        <w:div w:id="2077434919">
          <w:marLeft w:val="0"/>
          <w:marRight w:val="0"/>
          <w:marTop w:val="480"/>
          <w:marBottom w:val="240"/>
          <w:divBdr>
            <w:top w:val="none" w:sz="0" w:space="0" w:color="auto"/>
            <w:left w:val="none" w:sz="0" w:space="0" w:color="auto"/>
            <w:bottom w:val="none" w:sz="0" w:space="0" w:color="auto"/>
            <w:right w:val="none" w:sz="0" w:space="0" w:color="auto"/>
          </w:divBdr>
        </w:div>
        <w:div w:id="1968076649">
          <w:marLeft w:val="0"/>
          <w:marRight w:val="0"/>
          <w:marTop w:val="0"/>
          <w:marBottom w:val="567"/>
          <w:divBdr>
            <w:top w:val="none" w:sz="0" w:space="0" w:color="auto"/>
            <w:left w:val="none" w:sz="0" w:space="0" w:color="auto"/>
            <w:bottom w:val="none" w:sz="0" w:space="0" w:color="auto"/>
            <w:right w:val="none" w:sz="0" w:space="0" w:color="auto"/>
          </w:divBdr>
        </w:div>
      </w:divsChild>
    </w:div>
    <w:div w:id="1385448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varam.gov.l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rika.inkina@tm.gov.l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5125</Words>
  <Characters>2922</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Atzinums par Ministru kabineta noteikumu projektu "Dabas parka "Piejūra" individuālie aizsardzības un izmantošanas noteikumi"</vt:lpstr>
      <vt:lpstr/>
    </vt:vector>
  </TitlesOfParts>
  <Company>Tieslietu ministrija</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Atzinums par Ministru kabineta noteikumu projektu "Dabas parka "Piejūra" individuālie aizsardzības un izmantošanas noteikumi"</dc:title>
  <dc:creator>Erika.Inkina@TM.GOV.LV</dc:creator>
  <dc:description>Ē.Inkina
Tieslietu ministrijas
Normatīvo aktu kvalitātes nodrošināšanas
departamenta juriste
67036969, erika.inkina@tm.gov.lv</dc:description>
  <cp:lastModifiedBy>Ivita Ozoliņa</cp:lastModifiedBy>
  <cp:revision>3</cp:revision>
  <cp:lastPrinted>2015-01-09T08:13:00Z</cp:lastPrinted>
  <dcterms:created xsi:type="dcterms:W3CDTF">2021-06-06T16:37:00Z</dcterms:created>
  <dcterms:modified xsi:type="dcterms:W3CDTF">2021-08-03T15:40:00Z</dcterms:modified>
  <cp:contentStatus>Atzinums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