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82B1" w14:textId="0BA907A9" w:rsidR="00E43995" w:rsidRPr="002D457C" w:rsidRDefault="00E43995" w:rsidP="00466D83">
      <w:pPr>
        <w:spacing w:before="120" w:after="120" w:line="240" w:lineRule="auto"/>
        <w:ind w:firstLine="301"/>
        <w:jc w:val="center"/>
        <w:rPr>
          <w:rFonts w:ascii="Times New Roman" w:eastAsia="Times New Roman" w:hAnsi="Times New Roman" w:cs="Times New Roman"/>
          <w:b/>
          <w:bCs/>
          <w:sz w:val="26"/>
          <w:szCs w:val="26"/>
          <w:lang w:eastAsia="lv-LV"/>
        </w:rPr>
      </w:pPr>
      <w:r w:rsidRPr="002D457C">
        <w:rPr>
          <w:rFonts w:ascii="Times New Roman" w:eastAsia="Times New Roman" w:hAnsi="Times New Roman" w:cs="Times New Roman"/>
          <w:b/>
          <w:bCs/>
          <w:sz w:val="26"/>
          <w:szCs w:val="26"/>
          <w:lang w:eastAsia="lv-LV"/>
        </w:rPr>
        <w:t>Likumprojekta “Grozījum</w:t>
      </w:r>
      <w:r w:rsidR="007F09AC">
        <w:rPr>
          <w:rFonts w:ascii="Times New Roman" w:eastAsia="Times New Roman" w:hAnsi="Times New Roman" w:cs="Times New Roman"/>
          <w:b/>
          <w:bCs/>
          <w:sz w:val="26"/>
          <w:szCs w:val="26"/>
          <w:lang w:eastAsia="lv-LV"/>
        </w:rPr>
        <w:t>s</w:t>
      </w:r>
      <w:r w:rsidRPr="002D457C">
        <w:rPr>
          <w:rFonts w:ascii="Times New Roman" w:eastAsia="Times New Roman" w:hAnsi="Times New Roman" w:cs="Times New Roman"/>
          <w:b/>
          <w:bCs/>
          <w:sz w:val="26"/>
          <w:szCs w:val="26"/>
          <w:lang w:eastAsia="lv-LV"/>
        </w:rPr>
        <w:t xml:space="preserve"> likumā “Par akcīzes nodokli”</w:t>
      </w:r>
      <w:r w:rsidR="00202FFE" w:rsidRPr="002D457C">
        <w:rPr>
          <w:rFonts w:ascii="Times New Roman" w:eastAsia="Times New Roman" w:hAnsi="Times New Roman" w:cs="Times New Roman"/>
          <w:b/>
          <w:bCs/>
          <w:sz w:val="26"/>
          <w:szCs w:val="26"/>
          <w:lang w:eastAsia="lv-LV"/>
        </w:rPr>
        <w:t>”</w:t>
      </w:r>
      <w:r w:rsidRPr="002D457C">
        <w:rPr>
          <w:rFonts w:ascii="Times New Roman" w:eastAsia="Times New Roman" w:hAnsi="Times New Roman" w:cs="Times New Roman"/>
          <w:b/>
          <w:bCs/>
          <w:sz w:val="26"/>
          <w:szCs w:val="26"/>
          <w:lang w:eastAsia="lv-LV"/>
        </w:rPr>
        <w:t xml:space="preserve"> sākotnējās ietekmes novērtējuma ziņojums</w:t>
      </w:r>
      <w:r w:rsidRPr="002D457C">
        <w:rPr>
          <w:rFonts w:ascii="Times New Roman" w:eastAsia="Times New Roman" w:hAnsi="Times New Roman" w:cs="Times New Roman"/>
          <w:b/>
          <w:bCs/>
          <w:sz w:val="26"/>
          <w:szCs w:val="26"/>
          <w:lang w:eastAsia="lv-LV"/>
        </w:rPr>
        <w:br/>
        <w:t>(anotācija)</w:t>
      </w:r>
    </w:p>
    <w:p w14:paraId="1F0086A9" w14:textId="77777777" w:rsidR="00987784" w:rsidRPr="002D457C" w:rsidRDefault="00987784" w:rsidP="00466D83">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2D457C" w:rsidRPr="002D457C" w14:paraId="54729B91" w14:textId="77777777" w:rsidTr="00987784">
        <w:trPr>
          <w:cantSplit/>
        </w:trPr>
        <w:tc>
          <w:tcPr>
            <w:tcW w:w="9061" w:type="dxa"/>
            <w:gridSpan w:val="2"/>
            <w:shd w:val="clear" w:color="auto" w:fill="FFFFFF"/>
            <w:vAlign w:val="center"/>
            <w:hideMark/>
          </w:tcPr>
          <w:p w14:paraId="723ACA5F" w14:textId="77777777" w:rsidR="00987784" w:rsidRPr="002D457C" w:rsidRDefault="00987784" w:rsidP="00466D83">
            <w:pPr>
              <w:spacing w:before="120" w:after="120" w:line="240" w:lineRule="auto"/>
              <w:jc w:val="center"/>
              <w:rPr>
                <w:rFonts w:ascii="Times New Roman" w:hAnsi="Times New Roman" w:cs="Times New Roman"/>
                <w:b/>
                <w:iCs/>
                <w:sz w:val="24"/>
                <w:szCs w:val="24"/>
              </w:rPr>
            </w:pPr>
            <w:r w:rsidRPr="002D457C">
              <w:rPr>
                <w:rFonts w:ascii="Times New Roman" w:hAnsi="Times New Roman" w:cs="Times New Roman"/>
                <w:b/>
                <w:iCs/>
                <w:sz w:val="24"/>
                <w:szCs w:val="24"/>
              </w:rPr>
              <w:t>Tiesību akta projekta anotācijas kopsavilkums</w:t>
            </w:r>
          </w:p>
        </w:tc>
      </w:tr>
      <w:tr w:rsidR="002D457C" w:rsidRPr="002D457C" w14:paraId="770C7DCD" w14:textId="77777777" w:rsidTr="00987784">
        <w:trPr>
          <w:cantSplit/>
        </w:trPr>
        <w:tc>
          <w:tcPr>
            <w:tcW w:w="3261" w:type="dxa"/>
            <w:shd w:val="clear" w:color="auto" w:fill="FFFFFF"/>
            <w:hideMark/>
          </w:tcPr>
          <w:p w14:paraId="4BC6E9A9" w14:textId="77777777" w:rsidR="00987784" w:rsidRPr="002D457C" w:rsidRDefault="00987784" w:rsidP="00466D83">
            <w:pPr>
              <w:spacing w:before="120" w:after="120" w:line="240" w:lineRule="auto"/>
              <w:rPr>
                <w:rFonts w:ascii="Times New Roman" w:hAnsi="Times New Roman" w:cs="Times New Roman"/>
                <w:iCs/>
                <w:sz w:val="24"/>
                <w:szCs w:val="24"/>
              </w:rPr>
            </w:pPr>
            <w:r w:rsidRPr="002D457C">
              <w:rPr>
                <w:rFonts w:ascii="Times New Roman" w:hAnsi="Times New Roman" w:cs="Times New Roman"/>
                <w:iCs/>
                <w:sz w:val="24"/>
                <w:szCs w:val="24"/>
              </w:rPr>
              <w:t>Mērķis, risinājums un projekta spēkā stāšanās laiks (500 zīmes bez atstarpēm)</w:t>
            </w:r>
          </w:p>
        </w:tc>
        <w:tc>
          <w:tcPr>
            <w:tcW w:w="5800" w:type="dxa"/>
            <w:shd w:val="clear" w:color="auto" w:fill="FFFFFF"/>
            <w:hideMark/>
          </w:tcPr>
          <w:p w14:paraId="6DC422B0" w14:textId="460C1D78" w:rsidR="00F04C7F" w:rsidRPr="002D457C" w:rsidRDefault="00E43995" w:rsidP="00466D83">
            <w:pPr>
              <w:spacing w:before="120" w:after="120" w:line="240" w:lineRule="auto"/>
              <w:ind w:left="109" w:right="110"/>
              <w:jc w:val="both"/>
              <w:rPr>
                <w:rFonts w:ascii="Times New Roman" w:hAnsi="Times New Roman" w:cs="Times New Roman"/>
                <w:sz w:val="24"/>
                <w:szCs w:val="24"/>
              </w:rPr>
            </w:pPr>
            <w:r w:rsidRPr="002D457C">
              <w:rPr>
                <w:rFonts w:ascii="Times New Roman" w:hAnsi="Times New Roman" w:cs="Times New Roman"/>
                <w:sz w:val="24"/>
                <w:szCs w:val="24"/>
              </w:rPr>
              <w:t>Likumprojekta “Grozījum</w:t>
            </w:r>
            <w:r w:rsidR="007F09AC">
              <w:rPr>
                <w:rFonts w:ascii="Times New Roman" w:hAnsi="Times New Roman" w:cs="Times New Roman"/>
                <w:sz w:val="24"/>
                <w:szCs w:val="24"/>
              </w:rPr>
              <w:t>s</w:t>
            </w:r>
            <w:r w:rsidRPr="002D457C">
              <w:rPr>
                <w:rFonts w:ascii="Times New Roman" w:hAnsi="Times New Roman" w:cs="Times New Roman"/>
                <w:sz w:val="24"/>
                <w:szCs w:val="24"/>
              </w:rPr>
              <w:t xml:space="preserve"> likumā “Par akcīzes nodokli”” (turpmāk – </w:t>
            </w:r>
            <w:r w:rsidR="006E5015" w:rsidRPr="002D457C">
              <w:rPr>
                <w:rFonts w:ascii="Times New Roman" w:hAnsi="Times New Roman" w:cs="Times New Roman"/>
                <w:sz w:val="24"/>
                <w:szCs w:val="24"/>
              </w:rPr>
              <w:t>l</w:t>
            </w:r>
            <w:r w:rsidRPr="002D457C">
              <w:rPr>
                <w:rFonts w:ascii="Times New Roman" w:hAnsi="Times New Roman" w:cs="Times New Roman"/>
                <w:sz w:val="24"/>
                <w:szCs w:val="24"/>
              </w:rPr>
              <w:t xml:space="preserve">ikumprojekts) mērķis ir </w:t>
            </w:r>
            <w:r w:rsidR="00C768BD" w:rsidRPr="002D457C">
              <w:rPr>
                <w:rFonts w:ascii="Times New Roman" w:hAnsi="Times New Roman" w:cs="Times New Roman"/>
                <w:sz w:val="24"/>
                <w:szCs w:val="24"/>
              </w:rPr>
              <w:t xml:space="preserve">aizstāt iepriekš noteikto valsts atbalsta sniegšanu saskaņā ar </w:t>
            </w:r>
            <w:r w:rsidR="00C768BD" w:rsidRPr="002D457C">
              <w:rPr>
                <w:rFonts w:ascii="Times New Roman" w:hAnsi="Times New Roman" w:cs="Times New Roman"/>
                <w:i/>
                <w:iCs/>
                <w:sz w:val="24"/>
                <w:szCs w:val="24"/>
              </w:rPr>
              <w:t>de minimis</w:t>
            </w:r>
            <w:r w:rsidR="00C768BD" w:rsidRPr="002D457C">
              <w:rPr>
                <w:rFonts w:ascii="Times New Roman" w:hAnsi="Times New Roman" w:cs="Times New Roman"/>
                <w:sz w:val="24"/>
                <w:szCs w:val="24"/>
              </w:rPr>
              <w:t xml:space="preserve"> regulējumu ar vispārīgo samazināto nodokļu likmi un tādējādi turpināt </w:t>
            </w:r>
            <w:r w:rsidR="00CA66CD" w:rsidRPr="002D457C">
              <w:rPr>
                <w:rFonts w:ascii="Times New Roman" w:hAnsi="Times New Roman" w:cs="Times New Roman"/>
                <w:sz w:val="24"/>
                <w:szCs w:val="24"/>
              </w:rPr>
              <w:t>sekmēt</w:t>
            </w:r>
            <w:r w:rsidRPr="002D457C">
              <w:rPr>
                <w:rFonts w:ascii="Times New Roman" w:hAnsi="Times New Roman" w:cs="Times New Roman"/>
                <w:sz w:val="24"/>
                <w:szCs w:val="24"/>
              </w:rPr>
              <w:t xml:space="preserve"> </w:t>
            </w:r>
            <w:r w:rsidR="00CA66CD" w:rsidRPr="002D457C">
              <w:rPr>
                <w:rFonts w:ascii="Times New Roman" w:hAnsi="Times New Roman" w:cs="Times New Roman"/>
                <w:sz w:val="24"/>
                <w:szCs w:val="24"/>
              </w:rPr>
              <w:t>siltumnīcefekta gāzu emisiju samazināšanu transportā</w:t>
            </w:r>
            <w:r w:rsidR="00CA66CD" w:rsidRPr="002D457C" w:rsidDel="00731B54">
              <w:rPr>
                <w:rFonts w:ascii="Times New Roman" w:hAnsi="Times New Roman" w:cs="Times New Roman"/>
                <w:sz w:val="24"/>
                <w:szCs w:val="24"/>
              </w:rPr>
              <w:t xml:space="preserve"> </w:t>
            </w:r>
            <w:r w:rsidR="00CA66CD" w:rsidRPr="002D457C">
              <w:rPr>
                <w:rFonts w:ascii="Times New Roman" w:hAnsi="Times New Roman" w:cs="Times New Roman"/>
                <w:sz w:val="24"/>
                <w:szCs w:val="24"/>
              </w:rPr>
              <w:t xml:space="preserve"> </w:t>
            </w:r>
            <w:r w:rsidR="00FE0C31" w:rsidRPr="002D457C">
              <w:rPr>
                <w:rFonts w:ascii="Times New Roman" w:hAnsi="Times New Roman" w:cs="Times New Roman"/>
                <w:sz w:val="24"/>
                <w:szCs w:val="24"/>
              </w:rPr>
              <w:t>un pakāpenisku pāreju uz videi draudzīgākas un gaisa kvalitāti mazāk ietekmējošas degvielas izmantošanu</w:t>
            </w:r>
            <w:r w:rsidR="00CA66CD" w:rsidRPr="002D457C">
              <w:rPr>
                <w:rFonts w:ascii="Times New Roman" w:hAnsi="Times New Roman" w:cs="Times New Roman"/>
                <w:sz w:val="24"/>
                <w:szCs w:val="24"/>
              </w:rPr>
              <w:t>, veicinot dabasgāzes uzpildes punktu izveidi  transportlīdzekļiem, kuros kā degvielu izmanto dabasgāzi</w:t>
            </w:r>
            <w:r w:rsidR="00BF27D6" w:rsidRPr="002D457C">
              <w:rPr>
                <w:rFonts w:ascii="Times New Roman" w:hAnsi="Times New Roman" w:cs="Times New Roman"/>
                <w:sz w:val="24"/>
                <w:szCs w:val="24"/>
              </w:rPr>
              <w:t>,</w:t>
            </w:r>
            <w:r w:rsidR="00CA66CD" w:rsidRPr="002D457C">
              <w:rPr>
                <w:rFonts w:ascii="Times New Roman" w:hAnsi="Times New Roman" w:cs="Times New Roman"/>
                <w:sz w:val="24"/>
                <w:szCs w:val="24"/>
              </w:rPr>
              <w:t xml:space="preserve"> un infrastruktūras attīstību</w:t>
            </w:r>
            <w:r w:rsidR="00F04C7F" w:rsidRPr="002D457C">
              <w:rPr>
                <w:rFonts w:ascii="Times New Roman" w:hAnsi="Times New Roman" w:cs="Times New Roman"/>
                <w:sz w:val="24"/>
                <w:szCs w:val="24"/>
              </w:rPr>
              <w:t>.</w:t>
            </w:r>
          </w:p>
          <w:p w14:paraId="5A226C37" w14:textId="03A11E7F" w:rsidR="00BF27D6" w:rsidRPr="002D457C" w:rsidRDefault="00F04C7F" w:rsidP="00466D83">
            <w:pPr>
              <w:spacing w:before="120" w:after="120" w:line="240" w:lineRule="auto"/>
              <w:ind w:left="109" w:right="110"/>
              <w:jc w:val="both"/>
              <w:rPr>
                <w:rFonts w:ascii="Times New Roman" w:hAnsi="Times New Roman" w:cs="Times New Roman"/>
                <w:sz w:val="24"/>
                <w:szCs w:val="24"/>
              </w:rPr>
            </w:pPr>
            <w:r w:rsidRPr="002D457C">
              <w:rPr>
                <w:rFonts w:ascii="Times New Roman" w:hAnsi="Times New Roman" w:cs="Times New Roman"/>
                <w:sz w:val="24"/>
                <w:szCs w:val="24"/>
              </w:rPr>
              <w:t xml:space="preserve">Likumprojekts paredz </w:t>
            </w:r>
            <w:r w:rsidR="00742AA7" w:rsidRPr="002D457C">
              <w:rPr>
                <w:rFonts w:ascii="Times New Roman" w:hAnsi="Times New Roman" w:cs="Times New Roman"/>
                <w:sz w:val="24"/>
                <w:szCs w:val="24"/>
              </w:rPr>
              <w:t>turpin</w:t>
            </w:r>
            <w:r w:rsidRPr="002D457C">
              <w:rPr>
                <w:rFonts w:ascii="Times New Roman" w:hAnsi="Times New Roman" w:cs="Times New Roman"/>
                <w:sz w:val="24"/>
                <w:szCs w:val="24"/>
              </w:rPr>
              <w:t>ā</w:t>
            </w:r>
            <w:r w:rsidR="00742AA7" w:rsidRPr="002D457C">
              <w:rPr>
                <w:rFonts w:ascii="Times New Roman" w:hAnsi="Times New Roman" w:cs="Times New Roman"/>
                <w:sz w:val="24"/>
                <w:szCs w:val="24"/>
              </w:rPr>
              <w:t xml:space="preserve">t iepriekš </w:t>
            </w:r>
            <w:r w:rsidR="000D145E" w:rsidRPr="002D457C">
              <w:rPr>
                <w:rFonts w:ascii="Times New Roman" w:hAnsi="Times New Roman" w:cs="Times New Roman"/>
                <w:sz w:val="24"/>
                <w:szCs w:val="24"/>
              </w:rPr>
              <w:t>terminēti</w:t>
            </w:r>
            <w:r w:rsidR="00DF630A" w:rsidRPr="002D457C">
              <w:rPr>
                <w:rFonts w:ascii="Times New Roman" w:hAnsi="Times New Roman" w:cs="Times New Roman"/>
                <w:sz w:val="24"/>
                <w:szCs w:val="24"/>
              </w:rPr>
              <w:t xml:space="preserve"> līdz </w:t>
            </w:r>
            <w:r w:rsidR="00C768BD" w:rsidRPr="002D457C">
              <w:rPr>
                <w:rFonts w:ascii="Times New Roman" w:hAnsi="Times New Roman" w:cs="Times New Roman"/>
                <w:sz w:val="24"/>
                <w:szCs w:val="24"/>
              </w:rPr>
              <w:t>2025.gada 31.decembrim</w:t>
            </w:r>
            <w:r w:rsidR="00DF630A" w:rsidRPr="002D457C">
              <w:rPr>
                <w:rFonts w:ascii="Times New Roman" w:hAnsi="Times New Roman" w:cs="Times New Roman"/>
                <w:sz w:val="24"/>
                <w:szCs w:val="24"/>
              </w:rPr>
              <w:t xml:space="preserve"> </w:t>
            </w:r>
            <w:r w:rsidR="00742AA7" w:rsidRPr="002D457C">
              <w:rPr>
                <w:rFonts w:ascii="Times New Roman" w:hAnsi="Times New Roman" w:cs="Times New Roman"/>
                <w:sz w:val="24"/>
                <w:szCs w:val="24"/>
              </w:rPr>
              <w:t>noteikto</w:t>
            </w:r>
            <w:r w:rsidR="000D145E" w:rsidRPr="002D457C">
              <w:rPr>
                <w:rFonts w:ascii="Times New Roman" w:hAnsi="Times New Roman" w:cs="Times New Roman"/>
                <w:sz w:val="24"/>
                <w:szCs w:val="24"/>
              </w:rPr>
              <w:t xml:space="preserve"> </w:t>
            </w:r>
            <w:r w:rsidR="005E64E3" w:rsidRPr="002D457C">
              <w:rPr>
                <w:rFonts w:ascii="Times New Roman" w:hAnsi="Times New Roman" w:cs="Times New Roman"/>
                <w:sz w:val="24"/>
                <w:szCs w:val="24"/>
              </w:rPr>
              <w:t>akcīzes nodok</w:t>
            </w:r>
            <w:r w:rsidR="00742AA7" w:rsidRPr="002D457C">
              <w:rPr>
                <w:rFonts w:ascii="Times New Roman" w:hAnsi="Times New Roman" w:cs="Times New Roman"/>
                <w:sz w:val="24"/>
                <w:szCs w:val="24"/>
              </w:rPr>
              <w:t>ļa</w:t>
            </w:r>
            <w:r w:rsidR="005E64E3" w:rsidRPr="002D457C">
              <w:rPr>
                <w:rFonts w:ascii="Times New Roman" w:hAnsi="Times New Roman" w:cs="Times New Roman"/>
                <w:sz w:val="24"/>
                <w:szCs w:val="24"/>
              </w:rPr>
              <w:t xml:space="preserve"> dabasgāzei, kuru izmanto </w:t>
            </w:r>
            <w:r w:rsidR="000D145E" w:rsidRPr="002D457C">
              <w:rPr>
                <w:rFonts w:ascii="Times New Roman" w:hAnsi="Times New Roman" w:cs="Times New Roman"/>
                <w:sz w:val="24"/>
                <w:szCs w:val="24"/>
              </w:rPr>
              <w:t>transportā</w:t>
            </w:r>
            <w:r w:rsidR="009A7D5A" w:rsidRPr="002D457C">
              <w:rPr>
                <w:rFonts w:ascii="Times New Roman" w:hAnsi="Times New Roman" w:cs="Times New Roman"/>
                <w:sz w:val="24"/>
                <w:szCs w:val="24"/>
              </w:rPr>
              <w:t>,</w:t>
            </w:r>
            <w:r w:rsidR="00742AA7" w:rsidRPr="002D457C">
              <w:rPr>
                <w:rFonts w:ascii="Times New Roman" w:hAnsi="Times New Roman" w:cs="Times New Roman"/>
                <w:sz w:val="24"/>
                <w:szCs w:val="24"/>
              </w:rPr>
              <w:t xml:space="preserve"> samazināšanu</w:t>
            </w:r>
            <w:r w:rsidR="000D145E" w:rsidRPr="002D457C">
              <w:rPr>
                <w:rFonts w:ascii="Times New Roman" w:hAnsi="Times New Roman" w:cs="Times New Roman"/>
                <w:sz w:val="24"/>
                <w:szCs w:val="24"/>
              </w:rPr>
              <w:t xml:space="preserve">, </w:t>
            </w:r>
            <w:r w:rsidR="001C4455" w:rsidRPr="002D457C">
              <w:rPr>
                <w:rFonts w:ascii="Times New Roman" w:hAnsi="Times New Roman" w:cs="Times New Roman"/>
                <w:sz w:val="24"/>
                <w:szCs w:val="24"/>
              </w:rPr>
              <w:t>negrozot jau  tagad likumā noteikto</w:t>
            </w:r>
            <w:r w:rsidR="000D145E" w:rsidRPr="002D457C">
              <w:rPr>
                <w:rFonts w:ascii="Times New Roman" w:hAnsi="Times New Roman" w:cs="Times New Roman"/>
                <w:sz w:val="24"/>
                <w:szCs w:val="24"/>
              </w:rPr>
              <w:t xml:space="preserve">, ka no 2021.gada līdz 2025.gada </w:t>
            </w:r>
            <w:r w:rsidR="008D1BB6" w:rsidRPr="002D457C">
              <w:rPr>
                <w:rFonts w:ascii="Times New Roman" w:hAnsi="Times New Roman" w:cs="Times New Roman"/>
                <w:sz w:val="24"/>
                <w:szCs w:val="24"/>
              </w:rPr>
              <w:t xml:space="preserve">beigām </w:t>
            </w:r>
            <w:r w:rsidR="000D145E" w:rsidRPr="002D457C">
              <w:rPr>
                <w:rFonts w:ascii="Times New Roman" w:hAnsi="Times New Roman" w:cs="Times New Roman"/>
                <w:sz w:val="24"/>
                <w:szCs w:val="24"/>
              </w:rPr>
              <w:t>akcīzes nodokļa likme dabasgāzei kā transporta degvielai</w:t>
            </w:r>
            <w:r w:rsidR="005E64E3" w:rsidRPr="002D457C">
              <w:rPr>
                <w:rFonts w:ascii="Times New Roman" w:hAnsi="Times New Roman" w:cs="Times New Roman"/>
                <w:sz w:val="24"/>
                <w:szCs w:val="24"/>
              </w:rPr>
              <w:t xml:space="preserve"> </w:t>
            </w:r>
            <w:r w:rsidR="00F44322" w:rsidRPr="002D457C">
              <w:rPr>
                <w:rFonts w:ascii="Times New Roman" w:hAnsi="Times New Roman" w:cs="Times New Roman"/>
                <w:sz w:val="24"/>
                <w:szCs w:val="24"/>
              </w:rPr>
              <w:t>ir 1,91 euro par 1 MWh jeb 20 euro par 1000 m</w:t>
            </w:r>
            <w:r w:rsidR="006B2327" w:rsidRPr="002D457C">
              <w:rPr>
                <w:rFonts w:ascii="Times New Roman" w:hAnsi="Times New Roman"/>
                <w:sz w:val="28"/>
                <w:szCs w:val="28"/>
                <w:vertAlign w:val="superscript"/>
              </w:rPr>
              <w:t>3</w:t>
            </w:r>
            <w:r w:rsidR="00742AA7" w:rsidRPr="002D457C">
              <w:rPr>
                <w:rFonts w:ascii="Times New Roman" w:hAnsi="Times New Roman" w:cs="Times New Roman"/>
                <w:sz w:val="24"/>
                <w:szCs w:val="24"/>
              </w:rPr>
              <w:t>,</w:t>
            </w:r>
            <w:r w:rsidR="008255F8" w:rsidRPr="002D457C">
              <w:rPr>
                <w:rFonts w:ascii="Times New Roman" w:hAnsi="Times New Roman" w:cs="Times New Roman"/>
                <w:sz w:val="24"/>
                <w:szCs w:val="24"/>
              </w:rPr>
              <w:t xml:space="preserve"> bet </w:t>
            </w:r>
            <w:r w:rsidR="00742AA7" w:rsidRPr="002D457C">
              <w:rPr>
                <w:rFonts w:ascii="Times New Roman" w:hAnsi="Times New Roman" w:cs="Times New Roman"/>
                <w:sz w:val="24"/>
                <w:szCs w:val="24"/>
              </w:rPr>
              <w:t xml:space="preserve">paredzot iepriekš noteikto valsts atbalsta sniegšanu saskaņā ar </w:t>
            </w:r>
            <w:r w:rsidR="00742AA7" w:rsidRPr="002D457C">
              <w:rPr>
                <w:rFonts w:ascii="Times New Roman" w:hAnsi="Times New Roman" w:cs="Times New Roman"/>
                <w:i/>
                <w:iCs/>
                <w:sz w:val="24"/>
                <w:szCs w:val="24"/>
              </w:rPr>
              <w:t>de minimis</w:t>
            </w:r>
            <w:r w:rsidR="00742AA7" w:rsidRPr="002D457C">
              <w:rPr>
                <w:rFonts w:ascii="Times New Roman" w:hAnsi="Times New Roman" w:cs="Times New Roman"/>
                <w:sz w:val="24"/>
                <w:szCs w:val="24"/>
              </w:rPr>
              <w:t xml:space="preserve"> regulējumu </w:t>
            </w:r>
            <w:r w:rsidR="008255F8" w:rsidRPr="002D457C">
              <w:rPr>
                <w:rFonts w:ascii="Times New Roman" w:hAnsi="Times New Roman" w:cs="Times New Roman"/>
                <w:sz w:val="24"/>
                <w:szCs w:val="24"/>
              </w:rPr>
              <w:t xml:space="preserve">aizstāt </w:t>
            </w:r>
            <w:r w:rsidR="00742AA7" w:rsidRPr="002D457C">
              <w:rPr>
                <w:rFonts w:ascii="Times New Roman" w:hAnsi="Times New Roman" w:cs="Times New Roman"/>
                <w:sz w:val="24"/>
                <w:szCs w:val="24"/>
              </w:rPr>
              <w:t xml:space="preserve">ar </w:t>
            </w:r>
            <w:r w:rsidR="008255F8" w:rsidRPr="002D457C">
              <w:rPr>
                <w:rFonts w:ascii="Times New Roman" w:hAnsi="Times New Roman" w:cs="Times New Roman"/>
                <w:sz w:val="24"/>
                <w:szCs w:val="24"/>
              </w:rPr>
              <w:t>vispārīgo samazināto nodokļu likmi 1,91 euro par 1 MWh jeb 20 euro par 1000 m</w:t>
            </w:r>
            <w:r w:rsidR="008255F8" w:rsidRPr="002D457C">
              <w:rPr>
                <w:rFonts w:ascii="Times New Roman" w:hAnsi="Times New Roman"/>
                <w:sz w:val="28"/>
                <w:szCs w:val="28"/>
                <w:vertAlign w:val="superscript"/>
              </w:rPr>
              <w:t>3</w:t>
            </w:r>
            <w:r w:rsidR="00123EA5" w:rsidRPr="002D457C">
              <w:rPr>
                <w:rFonts w:ascii="Times New Roman" w:hAnsi="Times New Roman" w:cs="Times New Roman"/>
                <w:sz w:val="24"/>
                <w:szCs w:val="24"/>
              </w:rPr>
              <w:t>,</w:t>
            </w:r>
            <w:r w:rsidR="005E1BFF" w:rsidRPr="002D457C">
              <w:rPr>
                <w:rFonts w:ascii="Times New Roman" w:hAnsi="Times New Roman" w:cs="Times New Roman"/>
                <w:sz w:val="24"/>
                <w:szCs w:val="24"/>
              </w:rPr>
              <w:t xml:space="preserve"> </w:t>
            </w:r>
            <w:r w:rsidR="002D457C" w:rsidRPr="002D457C">
              <w:rPr>
                <w:rFonts w:ascii="Times New Roman" w:hAnsi="Times New Roman" w:cs="Times New Roman"/>
                <w:sz w:val="24"/>
                <w:szCs w:val="24"/>
              </w:rPr>
              <w:t>saskaņojot ar Eiropas Komisiju</w:t>
            </w:r>
            <w:r w:rsidR="008255F8" w:rsidRPr="002D457C">
              <w:rPr>
                <w:rFonts w:ascii="Times New Roman" w:hAnsi="Times New Roman" w:cs="Times New Roman"/>
                <w:sz w:val="24"/>
                <w:szCs w:val="24"/>
              </w:rPr>
              <w:t xml:space="preserve">, ka šāds nodokļa samazinājums </w:t>
            </w:r>
            <w:r w:rsidR="002D457C" w:rsidRPr="002D457C">
              <w:rPr>
                <w:rFonts w:ascii="Times New Roman" w:hAnsi="Times New Roman" w:cs="Times New Roman"/>
                <w:sz w:val="24"/>
                <w:szCs w:val="24"/>
              </w:rPr>
              <w:t>nav uzskatāms par</w:t>
            </w:r>
            <w:r w:rsidR="008255F8" w:rsidRPr="002D457C">
              <w:rPr>
                <w:rFonts w:ascii="Times New Roman" w:hAnsi="Times New Roman" w:cs="Times New Roman"/>
                <w:sz w:val="24"/>
                <w:szCs w:val="24"/>
              </w:rPr>
              <w:t xml:space="preserve"> </w:t>
            </w:r>
            <w:r w:rsidR="009E3719" w:rsidRPr="002D457C">
              <w:rPr>
                <w:rFonts w:ascii="Times New Roman" w:hAnsi="Times New Roman" w:cs="Times New Roman"/>
                <w:sz w:val="24"/>
                <w:szCs w:val="24"/>
              </w:rPr>
              <w:t>v</w:t>
            </w:r>
            <w:r w:rsidR="00742AA7" w:rsidRPr="002D457C">
              <w:rPr>
                <w:rFonts w:ascii="Times New Roman" w:hAnsi="Times New Roman" w:cs="Times New Roman"/>
                <w:sz w:val="24"/>
                <w:szCs w:val="24"/>
              </w:rPr>
              <w:t>alsts atbalst</w:t>
            </w:r>
            <w:r w:rsidR="002D457C" w:rsidRPr="002D457C">
              <w:rPr>
                <w:rFonts w:ascii="Times New Roman" w:hAnsi="Times New Roman" w:cs="Times New Roman"/>
                <w:sz w:val="24"/>
                <w:szCs w:val="24"/>
              </w:rPr>
              <w:t>u</w:t>
            </w:r>
            <w:r w:rsidR="00742AA7" w:rsidRPr="002D457C">
              <w:rPr>
                <w:rFonts w:ascii="Times New Roman" w:hAnsi="Times New Roman" w:cs="Times New Roman"/>
                <w:sz w:val="24"/>
                <w:szCs w:val="24"/>
              </w:rPr>
              <w:t xml:space="preserve"> </w:t>
            </w:r>
            <w:r w:rsidR="002D457C" w:rsidRPr="002D457C">
              <w:rPr>
                <w:rFonts w:ascii="Times New Roman" w:hAnsi="Times New Roman" w:cs="Times New Roman"/>
                <w:sz w:val="24"/>
                <w:szCs w:val="24"/>
              </w:rPr>
              <w:t>atbilstoši</w:t>
            </w:r>
            <w:r w:rsidR="00742AA7" w:rsidRPr="002D457C">
              <w:rPr>
                <w:rFonts w:ascii="Times New Roman" w:hAnsi="Times New Roman" w:cs="Times New Roman"/>
                <w:sz w:val="24"/>
                <w:szCs w:val="24"/>
              </w:rPr>
              <w:t xml:space="preserve"> </w:t>
            </w:r>
            <w:r w:rsidR="00DF630A" w:rsidRPr="002D457C">
              <w:rPr>
                <w:rFonts w:ascii="Times New Roman" w:hAnsi="Times New Roman" w:cs="Times New Roman"/>
                <w:sz w:val="24"/>
                <w:szCs w:val="24"/>
              </w:rPr>
              <w:t>Komisijas 2014. gada 28. jūnija paziņojumā Nr. 2014/C 200/01  “Pamatnostādnes par valsts atbalstu vides aizsardzībai un enerģētikai 2014.–2020. gadam” norādītiem nosacījumiem.</w:t>
            </w:r>
            <w:r w:rsidR="008255F8" w:rsidRPr="002D457C">
              <w:rPr>
                <w:rFonts w:ascii="Times New Roman" w:hAnsi="Times New Roman" w:cs="Times New Roman"/>
                <w:sz w:val="24"/>
                <w:szCs w:val="24"/>
              </w:rPr>
              <w:t xml:space="preserve"> </w:t>
            </w:r>
          </w:p>
          <w:p w14:paraId="50FF8E8C" w14:textId="6B6DC376" w:rsidR="00D02947" w:rsidRPr="00D02947" w:rsidRDefault="00C14386" w:rsidP="00466D83">
            <w:pPr>
              <w:spacing w:before="120" w:after="120" w:line="240" w:lineRule="auto"/>
              <w:ind w:left="109" w:right="110"/>
              <w:jc w:val="both"/>
              <w:rPr>
                <w:szCs w:val="28"/>
              </w:rPr>
            </w:pPr>
            <w:r w:rsidRPr="002D457C">
              <w:rPr>
                <w:rFonts w:ascii="Times New Roman" w:hAnsi="Times New Roman" w:cs="Times New Roman"/>
                <w:sz w:val="24"/>
                <w:szCs w:val="24"/>
              </w:rPr>
              <w:t>Likumprojekts</w:t>
            </w:r>
            <w:r w:rsidR="000D17E1" w:rsidRPr="002D457C">
              <w:rPr>
                <w:rFonts w:ascii="Times New Roman" w:hAnsi="Times New Roman" w:cs="Times New Roman"/>
                <w:sz w:val="24"/>
                <w:szCs w:val="24"/>
              </w:rPr>
              <w:t xml:space="preserve"> stāsies spēkā</w:t>
            </w:r>
            <w:r w:rsidR="009E3719" w:rsidRPr="002D457C">
              <w:rPr>
                <w:rFonts w:ascii="Times New Roman" w:hAnsi="Times New Roman" w:cs="Times New Roman"/>
                <w:sz w:val="24"/>
                <w:szCs w:val="24"/>
              </w:rPr>
              <w:t xml:space="preserve"> </w:t>
            </w:r>
            <w:r w:rsidR="008255F8" w:rsidRPr="002D457C">
              <w:rPr>
                <w:rFonts w:ascii="Times New Roman" w:hAnsi="Times New Roman" w:cs="Times New Roman"/>
                <w:sz w:val="24"/>
                <w:szCs w:val="24"/>
              </w:rPr>
              <w:t>pēc Eiropas Kom</w:t>
            </w:r>
            <w:r w:rsidR="00BC5734" w:rsidRPr="002D457C">
              <w:rPr>
                <w:rFonts w:ascii="Times New Roman" w:hAnsi="Times New Roman" w:cs="Times New Roman"/>
                <w:sz w:val="24"/>
                <w:szCs w:val="24"/>
              </w:rPr>
              <w:t>i</w:t>
            </w:r>
            <w:r w:rsidR="008255F8" w:rsidRPr="002D457C">
              <w:rPr>
                <w:rFonts w:ascii="Times New Roman" w:hAnsi="Times New Roman" w:cs="Times New Roman"/>
                <w:sz w:val="24"/>
                <w:szCs w:val="24"/>
              </w:rPr>
              <w:t xml:space="preserve">sijas </w:t>
            </w:r>
            <w:r w:rsidR="0055528B" w:rsidRPr="002D457C">
              <w:rPr>
                <w:rFonts w:ascii="Times New Roman" w:hAnsi="Times New Roman" w:cs="Times New Roman"/>
                <w:sz w:val="24"/>
                <w:szCs w:val="24"/>
              </w:rPr>
              <w:t xml:space="preserve">(turpmāk – Komisija) </w:t>
            </w:r>
            <w:r w:rsidR="00D02947" w:rsidRPr="00D02947">
              <w:rPr>
                <w:rFonts w:ascii="Times New Roman" w:hAnsi="Times New Roman" w:cs="Times New Roman"/>
                <w:sz w:val="24"/>
                <w:szCs w:val="24"/>
              </w:rPr>
              <w:t>lēmuma saņemšanas par atbalsta pasākuma atbilstību Eiropas Savienības iekšējam tirgum</w:t>
            </w:r>
          </w:p>
        </w:tc>
      </w:tr>
    </w:tbl>
    <w:p w14:paraId="354325B9" w14:textId="750799E3" w:rsidR="00071810" w:rsidRPr="002D457C" w:rsidRDefault="00071810" w:rsidP="00466D83">
      <w:pPr>
        <w:pStyle w:val="Title"/>
        <w:spacing w:before="120" w:after="120"/>
        <w:ind w:firstLine="539"/>
        <w:jc w:val="both"/>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D457C" w:rsidRPr="002D457C" w14:paraId="7B56ECAB" w14:textId="77777777" w:rsidTr="00071810">
        <w:tc>
          <w:tcPr>
            <w:tcW w:w="5000" w:type="pct"/>
            <w:gridSpan w:val="3"/>
            <w:vAlign w:val="center"/>
            <w:hideMark/>
          </w:tcPr>
          <w:p w14:paraId="6C0AF49C"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t>I. Tiesību akta projekta izstrādes nepieciešamība</w:t>
            </w:r>
          </w:p>
        </w:tc>
      </w:tr>
      <w:tr w:rsidR="002D457C" w:rsidRPr="002D457C" w14:paraId="5CDD656A" w14:textId="77777777" w:rsidTr="00071810">
        <w:tc>
          <w:tcPr>
            <w:tcW w:w="311" w:type="pct"/>
            <w:hideMark/>
          </w:tcPr>
          <w:p w14:paraId="50C260D2"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1.</w:t>
            </w:r>
          </w:p>
        </w:tc>
        <w:tc>
          <w:tcPr>
            <w:tcW w:w="1479" w:type="pct"/>
            <w:hideMark/>
          </w:tcPr>
          <w:p w14:paraId="4C092624"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Pamatojums</w:t>
            </w:r>
          </w:p>
        </w:tc>
        <w:tc>
          <w:tcPr>
            <w:tcW w:w="3210" w:type="pct"/>
            <w:hideMark/>
          </w:tcPr>
          <w:p w14:paraId="7BA0A4C0" w14:textId="532733D1" w:rsidR="00C51CC4" w:rsidRPr="002D457C" w:rsidRDefault="003353B7" w:rsidP="00466D83">
            <w:pPr>
              <w:spacing w:before="120" w:after="120" w:line="240" w:lineRule="auto"/>
              <w:ind w:right="252"/>
              <w:jc w:val="both"/>
              <w:rPr>
                <w:rFonts w:ascii="Times New Roman" w:hAnsi="Times New Roman" w:cs="Times New Roman"/>
                <w:sz w:val="24"/>
                <w:szCs w:val="24"/>
              </w:rPr>
            </w:pPr>
            <w:r w:rsidRPr="002D457C">
              <w:rPr>
                <w:rFonts w:ascii="Times New Roman" w:hAnsi="Times New Roman" w:cs="Times New Roman"/>
                <w:sz w:val="24"/>
                <w:szCs w:val="24"/>
              </w:rPr>
              <w:t>Ekonomikas ministrijas iniciatīva.</w:t>
            </w:r>
            <w:r w:rsidRPr="002D457C" w:rsidDel="003353B7">
              <w:rPr>
                <w:rFonts w:ascii="Times New Roman" w:hAnsi="Times New Roman" w:cs="Times New Roman"/>
                <w:sz w:val="24"/>
                <w:szCs w:val="24"/>
              </w:rPr>
              <w:t xml:space="preserve"> </w:t>
            </w:r>
          </w:p>
        </w:tc>
      </w:tr>
      <w:tr w:rsidR="002D457C" w:rsidRPr="002D457C" w14:paraId="52DB9876" w14:textId="77777777" w:rsidTr="00071810">
        <w:tc>
          <w:tcPr>
            <w:tcW w:w="311" w:type="pct"/>
            <w:hideMark/>
          </w:tcPr>
          <w:p w14:paraId="34888387"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2.</w:t>
            </w:r>
          </w:p>
        </w:tc>
        <w:tc>
          <w:tcPr>
            <w:tcW w:w="1479" w:type="pct"/>
            <w:hideMark/>
          </w:tcPr>
          <w:p w14:paraId="742A9AB8"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 xml:space="preserve">Pašreizējā situācija un problēmas, kuru risināšanai tiesību akta projekts izstrādāts, tiesiskā </w:t>
            </w:r>
            <w:r w:rsidRPr="002D457C">
              <w:rPr>
                <w:rFonts w:ascii="Times New Roman" w:hAnsi="Times New Roman" w:cs="Times New Roman"/>
                <w:sz w:val="24"/>
                <w:szCs w:val="24"/>
              </w:rPr>
              <w:lastRenderedPageBreak/>
              <w:t>regulējuma mērķis un būtība</w:t>
            </w:r>
          </w:p>
        </w:tc>
        <w:tc>
          <w:tcPr>
            <w:tcW w:w="3210" w:type="pct"/>
          </w:tcPr>
          <w:p w14:paraId="328CC74F" w14:textId="77777777" w:rsidR="00D10116" w:rsidRPr="001924CB" w:rsidRDefault="00D10116" w:rsidP="00466D83">
            <w:pPr>
              <w:spacing w:before="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lastRenderedPageBreak/>
              <w:t xml:space="preserve">Lai nodrošinātu </w:t>
            </w:r>
            <w:r w:rsidRPr="00C768BD">
              <w:rPr>
                <w:rFonts w:ascii="Times New Roman" w:hAnsi="Times New Roman" w:cs="Times New Roman"/>
                <w:color w:val="000000" w:themeColor="text1"/>
                <w:sz w:val="24"/>
                <w:szCs w:val="24"/>
              </w:rPr>
              <w:t xml:space="preserve">Ministru kabineta 2020. gada 2. septembra sēdes protokola Nr. 51 </w:t>
            </w:r>
            <w:r w:rsidRPr="001924CB">
              <w:rPr>
                <w:rFonts w:ascii="Times New Roman" w:hAnsi="Times New Roman" w:cs="Times New Roman"/>
                <w:color w:val="000000" w:themeColor="text1"/>
                <w:sz w:val="24"/>
                <w:szCs w:val="24"/>
              </w:rPr>
              <w:t>45.§ 3. punktā doto uzdevumu likumā “Par akcīzes nodokli”</w:t>
            </w:r>
            <w:r>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tika izstrādāti un 2021. gada 1. janvārī </w:t>
            </w:r>
            <w:r w:rsidRPr="00C768BD">
              <w:rPr>
                <w:rFonts w:ascii="Times New Roman" w:hAnsi="Times New Roman" w:cs="Times New Roman"/>
                <w:color w:val="000000" w:themeColor="text1"/>
                <w:sz w:val="24"/>
                <w:szCs w:val="24"/>
              </w:rPr>
              <w:t>stājās spēkā</w:t>
            </w:r>
            <w:r>
              <w:rPr>
                <w:rFonts w:ascii="Times New Roman" w:hAnsi="Times New Roman" w:cs="Times New Roman"/>
                <w:color w:val="000000" w:themeColor="text1"/>
                <w:sz w:val="24"/>
                <w:szCs w:val="24"/>
              </w:rPr>
              <w:t xml:space="preserve"> likuma</w:t>
            </w:r>
            <w:r w:rsidRPr="00C768BD">
              <w:rPr>
                <w:rFonts w:ascii="Times New Roman" w:hAnsi="Times New Roman" w:cs="Times New Roman"/>
                <w:color w:val="000000" w:themeColor="text1"/>
                <w:sz w:val="24"/>
                <w:szCs w:val="24"/>
              </w:rPr>
              <w:t xml:space="preserve"> </w:t>
            </w:r>
            <w:r w:rsidRPr="007B7070">
              <w:rPr>
                <w:rFonts w:ascii="Times New Roman" w:hAnsi="Times New Roman" w:cs="Times New Roman"/>
                <w:color w:val="000000" w:themeColor="text1"/>
                <w:sz w:val="24"/>
                <w:szCs w:val="24"/>
              </w:rPr>
              <w:t>grozījumi</w:t>
            </w:r>
            <w:r>
              <w:rPr>
                <w:rFonts w:ascii="Times New Roman" w:hAnsi="Times New Roman" w:cs="Times New Roman"/>
                <w:color w:val="000000" w:themeColor="text1"/>
                <w:sz w:val="24"/>
                <w:szCs w:val="24"/>
              </w:rPr>
              <w:t xml:space="preserve">, kas tostarp </w:t>
            </w:r>
            <w:r w:rsidRPr="001924CB">
              <w:rPr>
                <w:rFonts w:ascii="Times New Roman" w:hAnsi="Times New Roman" w:cs="Times New Roman"/>
                <w:color w:val="000000" w:themeColor="text1"/>
                <w:sz w:val="24"/>
                <w:szCs w:val="24"/>
              </w:rPr>
              <w:t>papildin</w:t>
            </w:r>
            <w:r>
              <w:rPr>
                <w:rFonts w:ascii="Times New Roman" w:hAnsi="Times New Roman" w:cs="Times New Roman"/>
                <w:color w:val="000000" w:themeColor="text1"/>
                <w:sz w:val="24"/>
                <w:szCs w:val="24"/>
              </w:rPr>
              <w:t>a</w:t>
            </w:r>
            <w:r w:rsidRPr="001924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likuma </w:t>
            </w:r>
            <w:r w:rsidRPr="001924CB">
              <w:rPr>
                <w:rFonts w:ascii="Times New Roman" w:hAnsi="Times New Roman" w:cs="Times New Roman"/>
                <w:color w:val="000000" w:themeColor="text1"/>
                <w:sz w:val="24"/>
                <w:szCs w:val="24"/>
              </w:rPr>
              <w:t>pārejas noteikum</w:t>
            </w:r>
            <w:r>
              <w:rPr>
                <w:rFonts w:ascii="Times New Roman" w:hAnsi="Times New Roman" w:cs="Times New Roman"/>
                <w:color w:val="000000" w:themeColor="text1"/>
                <w:sz w:val="24"/>
                <w:szCs w:val="24"/>
              </w:rPr>
              <w:t>us</w:t>
            </w:r>
            <w:r w:rsidRPr="001924CB">
              <w:rPr>
                <w:rFonts w:ascii="Times New Roman" w:hAnsi="Times New Roman" w:cs="Times New Roman"/>
                <w:color w:val="000000" w:themeColor="text1"/>
                <w:sz w:val="24"/>
                <w:szCs w:val="24"/>
              </w:rPr>
              <w:t xml:space="preserve"> ar 124., 125. un </w:t>
            </w:r>
            <w:r w:rsidRPr="001924CB">
              <w:rPr>
                <w:rFonts w:ascii="Times New Roman" w:hAnsi="Times New Roman" w:cs="Times New Roman"/>
                <w:color w:val="000000" w:themeColor="text1"/>
                <w:sz w:val="24"/>
                <w:szCs w:val="24"/>
              </w:rPr>
              <w:lastRenderedPageBreak/>
              <w:t>126. punktu, kur paredzēts, ka  šā likuma 15.</w:t>
            </w:r>
            <w:r w:rsidRPr="001924CB">
              <w:rPr>
                <w:rFonts w:ascii="Times New Roman" w:hAnsi="Times New Roman" w:cs="Times New Roman"/>
                <w:color w:val="000000" w:themeColor="text1"/>
                <w:sz w:val="24"/>
                <w:szCs w:val="24"/>
                <w:vertAlign w:val="superscript"/>
              </w:rPr>
              <w:t>1</w:t>
            </w:r>
            <w:r w:rsidRPr="001924CB">
              <w:rPr>
                <w:rFonts w:ascii="Times New Roman" w:hAnsi="Times New Roman" w:cs="Times New Roman"/>
                <w:color w:val="000000" w:themeColor="text1"/>
                <w:sz w:val="24"/>
                <w:szCs w:val="24"/>
              </w:rPr>
              <w:t> panta pirmās daļas 2. punktā noteikto nodokļa likmi dabasgāzei izmantošanai par degvielu (10 </w:t>
            </w:r>
            <w:r w:rsidRPr="001924CB">
              <w:rPr>
                <w:rFonts w:ascii="Times New Roman" w:hAnsi="Times New Roman" w:cs="Times New Roman"/>
                <w:i/>
                <w:iCs/>
                <w:color w:val="000000" w:themeColor="text1"/>
                <w:sz w:val="24"/>
                <w:szCs w:val="24"/>
              </w:rPr>
              <w:t>euro</w:t>
            </w:r>
            <w:r w:rsidRPr="001924CB">
              <w:rPr>
                <w:rFonts w:ascii="Times New Roman" w:hAnsi="Times New Roman" w:cs="Times New Roman"/>
                <w:color w:val="000000" w:themeColor="text1"/>
                <w:sz w:val="24"/>
                <w:szCs w:val="24"/>
              </w:rPr>
              <w:t> par vienu megavatstundu (MWh), ņemot vērā dabasgāzes augstāko siltumspēju) piemēro ar 2026. gada 1. janvāri. Līdz dienai, kad atbilstoši šo pārejas noteikumu 124. punktam sāk piemērot šā likuma 15.</w:t>
            </w:r>
            <w:r w:rsidRPr="001924CB">
              <w:rPr>
                <w:rFonts w:ascii="Times New Roman" w:hAnsi="Times New Roman" w:cs="Times New Roman"/>
                <w:color w:val="000000" w:themeColor="text1"/>
                <w:sz w:val="24"/>
                <w:szCs w:val="24"/>
                <w:vertAlign w:val="superscript"/>
              </w:rPr>
              <w:t>1</w:t>
            </w:r>
            <w:r w:rsidRPr="001924CB">
              <w:rPr>
                <w:rFonts w:ascii="Times New Roman" w:hAnsi="Times New Roman" w:cs="Times New Roman"/>
                <w:color w:val="000000" w:themeColor="text1"/>
                <w:sz w:val="24"/>
                <w:szCs w:val="24"/>
              </w:rPr>
              <w:t> panta pirmās daļas 2. punktā noteikto nodokļa likmi dabasgāzei izmantošanai par degvielu (līdz 2025. gada 31. decembrim), dabasgāzi izmantošanai par degvielu apliek ar nodokli - 1,91 </w:t>
            </w:r>
            <w:r w:rsidRPr="001924CB">
              <w:rPr>
                <w:rFonts w:ascii="Times New Roman" w:hAnsi="Times New Roman" w:cs="Times New Roman"/>
                <w:i/>
                <w:iCs/>
                <w:color w:val="000000" w:themeColor="text1"/>
                <w:sz w:val="24"/>
                <w:szCs w:val="24"/>
              </w:rPr>
              <w:t>euro</w:t>
            </w:r>
            <w:r w:rsidRPr="001924CB">
              <w:rPr>
                <w:rFonts w:ascii="Times New Roman" w:hAnsi="Times New Roman" w:cs="Times New Roman"/>
                <w:color w:val="000000" w:themeColor="text1"/>
                <w:sz w:val="24"/>
                <w:szCs w:val="24"/>
              </w:rPr>
              <w:t> par vienu megavatstundu (MWh), ņemot vērā dabasgāzes augstāko siltumspēju. Šo pārejas noteikumu 125. punktā minēto atbalstu nodokļa maksātājam piešķir Būvniecības valsts kontroles birojs kā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atbalstu, ievērojot Komisijas 2013. gada 18. decembra regulu (ES) Nr. </w:t>
            </w:r>
            <w:hyperlink r:id="rId8" w:tgtFrame="_blank" w:history="1">
              <w:r w:rsidRPr="001924CB">
                <w:rPr>
                  <w:rStyle w:val="Hyperlink"/>
                  <w:rFonts w:ascii="Times New Roman" w:hAnsi="Times New Roman" w:cs="Times New Roman"/>
                  <w:color w:val="000000" w:themeColor="text1"/>
                  <w:sz w:val="24"/>
                  <w:szCs w:val="24"/>
                  <w:u w:val="none"/>
                </w:rPr>
                <w:t>1407/2013</w:t>
              </w:r>
            </w:hyperlink>
            <w:r w:rsidRPr="001924CB">
              <w:rPr>
                <w:rFonts w:ascii="Times New Roman" w:hAnsi="Times New Roman" w:cs="Times New Roman"/>
                <w:color w:val="000000" w:themeColor="text1"/>
                <w:sz w:val="24"/>
                <w:szCs w:val="24"/>
              </w:rPr>
              <w:t> par Līguma par Eiropas Savienības darbību 107. un 108. panta piemērošanu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atbalstam vai regulu, kas to aizstāj.</w:t>
            </w:r>
          </w:p>
          <w:p w14:paraId="5DC6E8E1" w14:textId="77777777" w:rsidR="00D10116" w:rsidRPr="002D457C" w:rsidRDefault="00D10116" w:rsidP="00466D83">
            <w:pPr>
              <w:spacing w:before="120" w:after="120" w:line="240" w:lineRule="auto"/>
              <w:ind w:right="110"/>
              <w:jc w:val="both"/>
              <w:rPr>
                <w:rFonts w:ascii="Times New Roman" w:hAnsi="Times New Roman" w:cs="Times New Roman"/>
                <w:sz w:val="24"/>
                <w:szCs w:val="24"/>
              </w:rPr>
            </w:pPr>
            <w:r w:rsidRPr="002D457C">
              <w:rPr>
                <w:rFonts w:ascii="Times New Roman" w:hAnsi="Times New Roman" w:cs="Times New Roman"/>
                <w:sz w:val="24"/>
                <w:szCs w:val="24"/>
              </w:rPr>
              <w:t>Attiecīgi likuma “Par akcīzes nodokļi” spēkā esošā redakcija no 2021.gada 1. janvāra terminēti samazina akcīzes nodokli dabasgāzei, kuru izmanto transportā, nosakot, ka no 2021.gada līdz 2025.gada beigām akcīzes nodokļa likme dabasgāzei (kā transporta degvielai) ir 1,91 euro par 1 MWh jeb 20 euro par 1000 m</w:t>
            </w:r>
            <w:r w:rsidRPr="002D457C">
              <w:rPr>
                <w:rFonts w:ascii="Times New Roman" w:hAnsi="Times New Roman" w:cs="Times New Roman"/>
                <w:sz w:val="24"/>
                <w:szCs w:val="24"/>
                <w:vertAlign w:val="superscript"/>
              </w:rPr>
              <w:t>3</w:t>
            </w:r>
            <w:r w:rsidRPr="002D457C">
              <w:rPr>
                <w:rFonts w:ascii="Times New Roman" w:hAnsi="Times New Roman" w:cs="Times New Roman"/>
                <w:sz w:val="24"/>
                <w:szCs w:val="24"/>
              </w:rPr>
              <w:t xml:space="preserve">, vienlaikus paredzot, ka no 2026.gada akcīzes nodokļa likme dabasgāzei (kā transporta degvielai) tiktu palielināta uz 10 euro par 1 MWh jeb 105 euro par 1000 m3. </w:t>
            </w:r>
          </w:p>
          <w:p w14:paraId="32E0EF02" w14:textId="77777777" w:rsidR="00D10116" w:rsidRDefault="00D10116" w:rsidP="00466D83">
            <w:pPr>
              <w:spacing w:before="120" w:after="120" w:line="240" w:lineRule="auto"/>
              <w:ind w:right="1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1924CB">
              <w:rPr>
                <w:rFonts w:ascii="Times New Roman" w:hAnsi="Times New Roman" w:cs="Times New Roman"/>
                <w:color w:val="000000" w:themeColor="text1"/>
                <w:sz w:val="24"/>
                <w:szCs w:val="24"/>
              </w:rPr>
              <w:t>askaņā ar pašreizēj</w:t>
            </w:r>
            <w:r>
              <w:rPr>
                <w:rFonts w:ascii="Times New Roman" w:hAnsi="Times New Roman" w:cs="Times New Roman"/>
                <w:color w:val="000000" w:themeColor="text1"/>
                <w:sz w:val="24"/>
                <w:szCs w:val="24"/>
              </w:rPr>
              <w:t>o</w:t>
            </w:r>
            <w:r w:rsidRPr="001924CB">
              <w:rPr>
                <w:rFonts w:ascii="Times New Roman" w:hAnsi="Times New Roman" w:cs="Times New Roman"/>
                <w:color w:val="000000" w:themeColor="text1"/>
                <w:sz w:val="24"/>
                <w:szCs w:val="24"/>
              </w:rPr>
              <w:t xml:space="preserve"> likuma “Par akcīzes nodokli” pārējas noteikumu </w:t>
            </w:r>
            <w:r>
              <w:rPr>
                <w:rFonts w:ascii="Times New Roman" w:hAnsi="Times New Roman" w:cs="Times New Roman"/>
                <w:color w:val="000000" w:themeColor="text1"/>
                <w:sz w:val="24"/>
                <w:szCs w:val="24"/>
              </w:rPr>
              <w:t xml:space="preserve">125. un </w:t>
            </w:r>
            <w:r w:rsidRPr="001924CB">
              <w:rPr>
                <w:rFonts w:ascii="Times New Roman" w:hAnsi="Times New Roman" w:cs="Times New Roman"/>
                <w:color w:val="000000" w:themeColor="text1"/>
                <w:sz w:val="24"/>
                <w:szCs w:val="24"/>
              </w:rPr>
              <w:t>126. punkt</w:t>
            </w:r>
            <w:r>
              <w:rPr>
                <w:rFonts w:ascii="Times New Roman" w:hAnsi="Times New Roman" w:cs="Times New Roman"/>
                <w:color w:val="000000" w:themeColor="text1"/>
                <w:sz w:val="24"/>
                <w:szCs w:val="24"/>
              </w:rPr>
              <w:t>a redakciju</w:t>
            </w:r>
            <w:r w:rsidRPr="001924CB">
              <w:rPr>
                <w:rFonts w:ascii="Times New Roman" w:hAnsi="Times New Roman" w:cs="Times New Roman"/>
                <w:color w:val="000000" w:themeColor="text1"/>
                <w:sz w:val="24"/>
                <w:szCs w:val="24"/>
              </w:rPr>
              <w:t xml:space="preserve"> minēto atbalstu nodokļa maksātājam piešķir Būvniecības valsts kontroles birojs kā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atbalstu, ievērojot Komisijas 2013. gada 18. decembra regulas (ES) Nr. 1407/2013 par Līguma par Eiropas Savienības darbību 107. un 108. panta piemērošanu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atbalstam vai regulas, kas to aizstāj, nosacījumus.</w:t>
            </w:r>
          </w:p>
          <w:p w14:paraId="7A3DEF72" w14:textId="77777777" w:rsidR="00D10116" w:rsidRPr="002D457C" w:rsidRDefault="00D10116" w:rsidP="00466D83">
            <w:pPr>
              <w:spacing w:before="120" w:after="120" w:line="240" w:lineRule="auto"/>
              <w:ind w:right="110"/>
              <w:jc w:val="both"/>
              <w:rPr>
                <w:rFonts w:ascii="Times New Roman" w:hAnsi="Times New Roman" w:cs="Times New Roman"/>
                <w:sz w:val="24"/>
                <w:szCs w:val="24"/>
              </w:rPr>
            </w:pPr>
            <w:r w:rsidRPr="002D457C">
              <w:rPr>
                <w:rFonts w:ascii="Times New Roman" w:hAnsi="Times New Roman" w:cs="Times New Roman"/>
                <w:sz w:val="24"/>
                <w:szCs w:val="24"/>
              </w:rPr>
              <w:t>Būvniecības valsts kontroles birojs līdz šim veiksmīgi administrējis valsts atbalsta sniegšanu, kura prognozētie apmēri norādīti zemāk:</w:t>
            </w:r>
          </w:p>
          <w:p w14:paraId="3517F2CF" w14:textId="77777777" w:rsidR="00D10116" w:rsidRPr="001924CB" w:rsidRDefault="00D10116" w:rsidP="00466D83">
            <w:pPr>
              <w:spacing w:before="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2021.gad</w:t>
            </w:r>
            <w:r>
              <w:rPr>
                <w:rFonts w:ascii="Times New Roman" w:hAnsi="Times New Roman" w:cs="Times New Roman"/>
                <w:color w:val="000000" w:themeColor="text1"/>
                <w:sz w:val="24"/>
                <w:szCs w:val="24"/>
              </w:rPr>
              <w:t>a sākumā</w:t>
            </w:r>
            <w:r w:rsidRPr="001924CB">
              <w:rPr>
                <w:rFonts w:ascii="Times New Roman" w:hAnsi="Times New Roman" w:cs="Times New Roman"/>
                <w:color w:val="000000" w:themeColor="text1"/>
                <w:sz w:val="24"/>
                <w:szCs w:val="24"/>
              </w:rPr>
              <w:t xml:space="preserve"> Būvniecības valsts kontroles birojs </w:t>
            </w:r>
            <w:r>
              <w:rPr>
                <w:rFonts w:ascii="Times New Roman" w:hAnsi="Times New Roman" w:cs="Times New Roman"/>
                <w:color w:val="000000" w:themeColor="text1"/>
                <w:sz w:val="24"/>
                <w:szCs w:val="24"/>
              </w:rPr>
              <w:t xml:space="preserve">ir </w:t>
            </w:r>
            <w:r w:rsidRPr="001924CB">
              <w:rPr>
                <w:rFonts w:ascii="Times New Roman" w:hAnsi="Times New Roman" w:cs="Times New Roman"/>
                <w:color w:val="000000" w:themeColor="text1"/>
                <w:sz w:val="24"/>
                <w:szCs w:val="24"/>
              </w:rPr>
              <w:t>plāno</w:t>
            </w:r>
            <w:r>
              <w:rPr>
                <w:rFonts w:ascii="Times New Roman" w:hAnsi="Times New Roman" w:cs="Times New Roman"/>
                <w:color w:val="000000" w:themeColor="text1"/>
                <w:sz w:val="24"/>
                <w:szCs w:val="24"/>
              </w:rPr>
              <w:t>jis</w:t>
            </w:r>
            <w:r w:rsidRPr="001924CB">
              <w:rPr>
                <w:rFonts w:ascii="Times New Roman" w:hAnsi="Times New Roman" w:cs="Times New Roman"/>
                <w:color w:val="000000" w:themeColor="text1"/>
                <w:sz w:val="24"/>
                <w:szCs w:val="24"/>
              </w:rPr>
              <w:t xml:space="preserve"> sniegt valsts atbalstu saspiestai dabasgāzei transportam ne mazāk kā 10 000 MWh enerģijas patēriņam, kas atbilst 80 900 EUR lielam atbalstam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ietvaros</w:t>
            </w:r>
            <w:r>
              <w:rPr>
                <w:rFonts w:ascii="Times New Roman" w:hAnsi="Times New Roman" w:cs="Times New Roman"/>
                <w:color w:val="000000" w:themeColor="text1"/>
                <w:sz w:val="24"/>
                <w:szCs w:val="24"/>
              </w:rPr>
              <w:t xml:space="preserve">, bet 2021. gada aprīlī - maijā veiktie aprēķini uzrāda, ka  </w:t>
            </w:r>
            <w:r w:rsidRPr="0080562F">
              <w:rPr>
                <w:rFonts w:ascii="Times New Roman" w:hAnsi="Times New Roman" w:cs="Times New Roman"/>
                <w:i/>
                <w:iCs/>
                <w:color w:val="000000" w:themeColor="text1"/>
                <w:sz w:val="24"/>
                <w:szCs w:val="24"/>
              </w:rPr>
              <w:t>de minimis</w:t>
            </w:r>
            <w:r>
              <w:rPr>
                <w:rFonts w:ascii="Times New Roman" w:hAnsi="Times New Roman" w:cs="Times New Roman"/>
                <w:color w:val="000000" w:themeColor="text1"/>
                <w:sz w:val="24"/>
                <w:szCs w:val="24"/>
              </w:rPr>
              <w:t xml:space="preserve"> atbalsta slieksnis atsevišķiem komersantiem varētu būt sasniegts jau 2021. gada novembrī - decembrī</w:t>
            </w:r>
            <w:r w:rsidRPr="001924CB">
              <w:rPr>
                <w:rFonts w:ascii="Times New Roman" w:hAnsi="Times New Roman" w:cs="Times New Roman"/>
                <w:color w:val="000000" w:themeColor="text1"/>
                <w:sz w:val="24"/>
                <w:szCs w:val="24"/>
              </w:rPr>
              <w:t>.</w:t>
            </w:r>
          </w:p>
          <w:p w14:paraId="72CAB58E" w14:textId="7287BC83" w:rsidR="00D10116" w:rsidRPr="002D457C" w:rsidRDefault="00D10116" w:rsidP="00466D83">
            <w:pPr>
              <w:spacing w:before="120" w:after="120" w:line="240" w:lineRule="auto"/>
              <w:ind w:right="110"/>
              <w:jc w:val="both"/>
              <w:rPr>
                <w:rFonts w:ascii="Times New Roman" w:hAnsi="Times New Roman" w:cs="Times New Roman"/>
                <w:sz w:val="24"/>
                <w:szCs w:val="24"/>
              </w:rPr>
            </w:pPr>
            <w:r w:rsidRPr="002D457C">
              <w:rPr>
                <w:rFonts w:ascii="Times New Roman" w:hAnsi="Times New Roman" w:cs="Times New Roman"/>
                <w:sz w:val="24"/>
                <w:szCs w:val="24"/>
              </w:rPr>
              <w:t xml:space="preserve">2022.gadā jau tiek plānots sagaidīt saspiestās dabasgāzes transportam patēriņa pieaugumu, kas tiek plānots 35 000 </w:t>
            </w:r>
            <w:r w:rsidRPr="002D457C">
              <w:rPr>
                <w:rFonts w:ascii="Times New Roman" w:hAnsi="Times New Roman" w:cs="Times New Roman"/>
                <w:sz w:val="24"/>
                <w:szCs w:val="24"/>
              </w:rPr>
              <w:lastRenderedPageBreak/>
              <w:t xml:space="preserve">MWh apmērā, kas atbilst 283 150 EUR valsts atbalsta apjomam. </w:t>
            </w:r>
          </w:p>
          <w:p w14:paraId="65A3F7ED" w14:textId="632F4812" w:rsidR="00D10116" w:rsidRDefault="00D10116" w:rsidP="00466D83">
            <w:pPr>
              <w:spacing w:before="120" w:after="120" w:line="240" w:lineRule="auto"/>
              <w:ind w:right="110"/>
              <w:jc w:val="both"/>
              <w:rPr>
                <w:rFonts w:ascii="Times New Roman" w:hAnsi="Times New Roman" w:cs="Times New Roman"/>
                <w:sz w:val="24"/>
                <w:szCs w:val="24"/>
              </w:rPr>
            </w:pPr>
            <w:r w:rsidRPr="000F0788">
              <w:rPr>
                <w:rFonts w:ascii="Times New Roman" w:hAnsi="Times New Roman" w:cs="Times New Roman"/>
                <w:color w:val="000000" w:themeColor="text1"/>
                <w:sz w:val="24"/>
                <w:szCs w:val="24"/>
              </w:rPr>
              <w:t xml:space="preserve">Ņemot vērā, ka </w:t>
            </w:r>
            <w:r w:rsidRPr="00BF2C31">
              <w:rPr>
                <w:rFonts w:ascii="Times New Roman" w:hAnsi="Times New Roman" w:cs="Times New Roman"/>
                <w:i/>
                <w:iCs/>
                <w:color w:val="000000" w:themeColor="text1"/>
                <w:sz w:val="24"/>
                <w:szCs w:val="24"/>
              </w:rPr>
              <w:t>de minimis</w:t>
            </w:r>
            <w:r w:rsidRPr="000F0788">
              <w:rPr>
                <w:rFonts w:ascii="Times New Roman" w:hAnsi="Times New Roman" w:cs="Times New Roman"/>
                <w:color w:val="000000" w:themeColor="text1"/>
                <w:sz w:val="24"/>
                <w:szCs w:val="24"/>
              </w:rPr>
              <w:t xml:space="preserve"> regulējums paredz 200 000 eiro maksimālo valsts atbalsta apjomu vienam saņēmējam trīs gadu laika periodā, jau 2021. gadā Ministrija plāno valsts atbalsta sniegšanu turpināt</w:t>
            </w:r>
            <w:r>
              <w:rPr>
                <w:rFonts w:ascii="Times New Roman" w:hAnsi="Times New Roman" w:cs="Times New Roman"/>
                <w:color w:val="000000" w:themeColor="text1"/>
                <w:sz w:val="24"/>
                <w:szCs w:val="24"/>
              </w:rPr>
              <w:t xml:space="preserve">, piemērojot vispārējo samazināto akcīzes nodokļa likmi dabasgāzei, ko izmanto transportam, saskaņojot ar Komisiju, ka </w:t>
            </w:r>
            <w:r w:rsidR="00466D83">
              <w:rPr>
                <w:rFonts w:ascii="Times New Roman" w:hAnsi="Times New Roman" w:cs="Times New Roman"/>
                <w:color w:val="000000" w:themeColor="text1"/>
                <w:sz w:val="24"/>
                <w:szCs w:val="24"/>
              </w:rPr>
              <w:t xml:space="preserve">pasākums </w:t>
            </w:r>
            <w:r>
              <w:rPr>
                <w:rFonts w:ascii="Times New Roman" w:hAnsi="Times New Roman" w:cs="Times New Roman"/>
                <w:color w:val="000000" w:themeColor="text1"/>
                <w:sz w:val="24"/>
                <w:szCs w:val="24"/>
              </w:rPr>
              <w:t xml:space="preserve">nav uzskatāms par valsts atbalstu </w:t>
            </w:r>
            <w:r w:rsidRPr="000F0788">
              <w:rPr>
                <w:rFonts w:ascii="Times New Roman" w:hAnsi="Times New Roman" w:cs="Times New Roman"/>
                <w:color w:val="000000" w:themeColor="text1"/>
                <w:sz w:val="24"/>
                <w:szCs w:val="24"/>
              </w:rPr>
              <w:t>Komisijas 2014. gada 28. jūnija paziņojuma Nr. 2014/C 200/01  “Pamatnostādnes par valsts atbalstu vides aizsardzībai un enerģētikai 2014.–2020. gadam</w:t>
            </w:r>
            <w:r>
              <w:rPr>
                <w:rFonts w:ascii="Times New Roman" w:hAnsi="Times New Roman" w:cs="Times New Roman"/>
                <w:color w:val="000000" w:themeColor="text1"/>
                <w:sz w:val="24"/>
                <w:szCs w:val="24"/>
              </w:rPr>
              <w:t>”</w:t>
            </w:r>
            <w:r w:rsidR="005F3786">
              <w:rPr>
                <w:rFonts w:ascii="Times New Roman" w:hAnsi="Times New Roman" w:cs="Times New Roman"/>
                <w:color w:val="000000" w:themeColor="text1"/>
                <w:sz w:val="24"/>
                <w:szCs w:val="24"/>
              </w:rPr>
              <w:t xml:space="preserve"> (turpmāk – Pamatnostādnes)</w:t>
            </w:r>
            <w:r>
              <w:rPr>
                <w:rFonts w:ascii="Times New Roman" w:hAnsi="Times New Roman" w:cs="Times New Roman"/>
                <w:color w:val="000000" w:themeColor="text1"/>
                <w:sz w:val="24"/>
                <w:szCs w:val="24"/>
              </w:rPr>
              <w:t xml:space="preserve"> izpratnē</w:t>
            </w:r>
            <w:r w:rsidR="00466D83">
              <w:rPr>
                <w:rFonts w:ascii="Times New Roman" w:hAnsi="Times New Roman" w:cs="Times New Roman"/>
                <w:color w:val="000000" w:themeColor="text1"/>
                <w:sz w:val="24"/>
                <w:szCs w:val="24"/>
              </w:rPr>
              <w:t xml:space="preserve"> un atbilst Eiropas Savienības iekšējam tirgum</w:t>
            </w:r>
            <w:r>
              <w:rPr>
                <w:rFonts w:ascii="Times New Roman" w:hAnsi="Times New Roman" w:cs="Times New Roman"/>
                <w:color w:val="000000" w:themeColor="text1"/>
                <w:sz w:val="24"/>
                <w:szCs w:val="24"/>
              </w:rPr>
              <w:t>.</w:t>
            </w:r>
          </w:p>
          <w:p w14:paraId="5E6B3C4D" w14:textId="04395DA3" w:rsidR="00D10116" w:rsidRPr="002D457C" w:rsidRDefault="00D10116" w:rsidP="00466D83">
            <w:pPr>
              <w:spacing w:before="120" w:after="120" w:line="240" w:lineRule="auto"/>
              <w:ind w:right="110"/>
              <w:jc w:val="both"/>
              <w:rPr>
                <w:rFonts w:ascii="Times New Roman" w:hAnsi="Times New Roman" w:cs="Times New Roman"/>
                <w:sz w:val="24"/>
                <w:szCs w:val="24"/>
              </w:rPr>
            </w:pPr>
            <w:bookmarkStart w:id="0" w:name="_Hlk66441578"/>
            <w:r w:rsidRPr="002D457C">
              <w:rPr>
                <w:rFonts w:ascii="Times New Roman" w:hAnsi="Times New Roman" w:cs="Times New Roman"/>
                <w:sz w:val="24"/>
                <w:szCs w:val="24"/>
              </w:rPr>
              <w:t xml:space="preserve">Tādēļ likumprojekts paredz pašlaik spēkā esošo valsts atbalsta sniegšanu saskaņā ar </w:t>
            </w:r>
            <w:r w:rsidRPr="002D457C">
              <w:rPr>
                <w:rFonts w:ascii="Times New Roman" w:hAnsi="Times New Roman" w:cs="Times New Roman"/>
                <w:i/>
                <w:iCs/>
                <w:sz w:val="24"/>
                <w:szCs w:val="24"/>
              </w:rPr>
              <w:t>de minimis</w:t>
            </w:r>
            <w:r w:rsidRPr="002D457C">
              <w:rPr>
                <w:rFonts w:ascii="Times New Roman" w:hAnsi="Times New Roman" w:cs="Times New Roman"/>
                <w:sz w:val="24"/>
                <w:szCs w:val="24"/>
              </w:rPr>
              <w:t xml:space="preserve"> regulējumu nepiemērot, izslēdzot no likuma “Par akcīzes nodokli” Pārejas noteikumu 126.punktu, bet Pārejas noteikumu 125.punktā noteikto samazināto akcīzes nodokļu likmi dabasgāzei, kuru izmanto transportā, 1,91 euro par 1 MWh jeb 20 euro par 1000 m</w:t>
            </w:r>
            <w:r w:rsidRPr="002D457C">
              <w:rPr>
                <w:rFonts w:ascii="Times New Roman" w:hAnsi="Times New Roman"/>
                <w:sz w:val="28"/>
                <w:szCs w:val="28"/>
                <w:vertAlign w:val="superscript"/>
              </w:rPr>
              <w:t>3</w:t>
            </w:r>
            <w:r w:rsidRPr="002D457C">
              <w:rPr>
                <w:rFonts w:ascii="Times New Roman" w:hAnsi="Times New Roman"/>
                <w:sz w:val="28"/>
                <w:szCs w:val="28"/>
              </w:rPr>
              <w:t xml:space="preserve">, </w:t>
            </w:r>
            <w:r w:rsidRPr="002D457C">
              <w:rPr>
                <w:rFonts w:ascii="Times New Roman" w:hAnsi="Times New Roman"/>
                <w:sz w:val="24"/>
                <w:szCs w:val="24"/>
              </w:rPr>
              <w:t>piemērot</w:t>
            </w:r>
            <w:r w:rsidR="005F3786">
              <w:rPr>
                <w:rFonts w:ascii="Times New Roman" w:hAnsi="Times New Roman"/>
                <w:sz w:val="24"/>
                <w:szCs w:val="24"/>
              </w:rPr>
              <w:t xml:space="preserve"> kā vispārējo nodokļa likmes samazinājumu,</w:t>
            </w:r>
            <w:r w:rsidRPr="002D457C">
              <w:rPr>
                <w:rFonts w:ascii="Times New Roman" w:hAnsi="Times New Roman"/>
                <w:sz w:val="24"/>
                <w:szCs w:val="24"/>
              </w:rPr>
              <w:t xml:space="preserve"> saņemot no Eiropas Komisijas </w:t>
            </w:r>
            <w:r w:rsidR="005F3786">
              <w:rPr>
                <w:rFonts w:ascii="Times New Roman" w:hAnsi="Times New Roman"/>
                <w:sz w:val="24"/>
                <w:szCs w:val="24"/>
              </w:rPr>
              <w:t xml:space="preserve">lēmumu </w:t>
            </w:r>
            <w:r w:rsidR="005F3786" w:rsidRPr="005F3786">
              <w:rPr>
                <w:rFonts w:ascii="Times New Roman" w:hAnsi="Times New Roman"/>
                <w:sz w:val="24"/>
                <w:szCs w:val="24"/>
              </w:rPr>
              <w:t xml:space="preserve">par atbalsta pasākuma atbilstību Eiropas Savienības iekšējam tirgum </w:t>
            </w:r>
            <w:r w:rsidRPr="002D457C">
              <w:rPr>
                <w:rFonts w:ascii="Times New Roman" w:hAnsi="Times New Roman"/>
                <w:sz w:val="24"/>
                <w:szCs w:val="24"/>
              </w:rPr>
              <w:t>un nemainot spēkā esošo nosacījumu, ka</w:t>
            </w:r>
            <w:r w:rsidRPr="002D457C">
              <w:rPr>
                <w:rFonts w:ascii="Times New Roman" w:hAnsi="Times New Roman"/>
                <w:sz w:val="28"/>
                <w:szCs w:val="28"/>
              </w:rPr>
              <w:t xml:space="preserve"> </w:t>
            </w:r>
            <w:r w:rsidRPr="002D457C">
              <w:rPr>
                <w:rFonts w:ascii="Times New Roman" w:hAnsi="Times New Roman"/>
                <w:sz w:val="24"/>
                <w:szCs w:val="24"/>
              </w:rPr>
              <w:t>šāds</w:t>
            </w:r>
            <w:r w:rsidRPr="002D457C">
              <w:rPr>
                <w:rFonts w:ascii="Times New Roman" w:hAnsi="Times New Roman"/>
                <w:sz w:val="28"/>
                <w:szCs w:val="28"/>
              </w:rPr>
              <w:t xml:space="preserve"> </w:t>
            </w:r>
            <w:r w:rsidRPr="002D457C">
              <w:rPr>
                <w:rFonts w:ascii="Times New Roman" w:hAnsi="Times New Roman"/>
                <w:sz w:val="24"/>
                <w:szCs w:val="24"/>
              </w:rPr>
              <w:t xml:space="preserve">samazinājums ir terminēts un ir spēkā līdz 2026.gada 1.janvārim. </w:t>
            </w:r>
            <w:bookmarkEnd w:id="0"/>
          </w:p>
          <w:p w14:paraId="52F543D1" w14:textId="77777777" w:rsidR="00D10116" w:rsidRPr="002D457C" w:rsidRDefault="00D10116" w:rsidP="00466D83">
            <w:pPr>
              <w:spacing w:before="120" w:after="120" w:line="240" w:lineRule="auto"/>
              <w:ind w:right="110"/>
              <w:jc w:val="both"/>
              <w:rPr>
                <w:rFonts w:ascii="Times New Roman" w:hAnsi="Times New Roman" w:cs="Times New Roman"/>
                <w:sz w:val="24"/>
                <w:szCs w:val="24"/>
              </w:rPr>
            </w:pPr>
            <w:r w:rsidRPr="002D457C">
              <w:rPr>
                <w:rFonts w:ascii="Times New Roman" w:hAnsi="Times New Roman" w:cs="Times New Roman"/>
                <w:sz w:val="24"/>
                <w:szCs w:val="24"/>
              </w:rPr>
              <w:t>Samazinātās akcīzes nodokļa likmes piemērošana nepieciešama, ņemot vērā sekojošus apstākļus, kuriem bija noteicošā loma dabasgāzes transportam tirgus attīstībā līdz 2021. gadam un 2021. gadā, kad dabasgāzes transportam nodokļa likme tika samazināta.</w:t>
            </w:r>
          </w:p>
          <w:p w14:paraId="3C4417FE" w14:textId="0CC2ECF0" w:rsidR="00D10116" w:rsidRPr="002D457C" w:rsidRDefault="00D10116" w:rsidP="00466D83">
            <w:pPr>
              <w:spacing w:before="120" w:after="120" w:line="240" w:lineRule="auto"/>
              <w:ind w:right="110"/>
              <w:jc w:val="both"/>
              <w:rPr>
                <w:rFonts w:ascii="Times New Roman" w:hAnsi="Times New Roman" w:cs="Times New Roman"/>
                <w:sz w:val="24"/>
                <w:szCs w:val="24"/>
              </w:rPr>
            </w:pPr>
            <w:r w:rsidRPr="002D457C">
              <w:rPr>
                <w:rFonts w:ascii="Times New Roman" w:hAnsi="Times New Roman" w:cs="Times New Roman"/>
                <w:sz w:val="24"/>
                <w:szCs w:val="24"/>
              </w:rPr>
              <w:t>Līdz 2021. gadam  likuma “Par akcīzes nodokli” (turpmāk – likums) 15.</w:t>
            </w:r>
            <w:r w:rsidRPr="002D457C">
              <w:rPr>
                <w:rFonts w:ascii="Times New Roman" w:hAnsi="Times New Roman" w:cs="Times New Roman"/>
                <w:sz w:val="24"/>
                <w:szCs w:val="24"/>
                <w:vertAlign w:val="superscript"/>
              </w:rPr>
              <w:t>1</w:t>
            </w:r>
            <w:r w:rsidRPr="002D457C">
              <w:rPr>
                <w:rFonts w:ascii="Times New Roman" w:hAnsi="Times New Roman" w:cs="Times New Roman"/>
                <w:sz w:val="24"/>
                <w:szCs w:val="24"/>
              </w:rPr>
              <w:t xml:space="preserve"> panta otrā daļa noteica, ka akcīzes nodoklis dabasgāzei kā degvielas veidam bija 9,64 EUR/MWh, savukārt citās Eiropas Savienības valstīs kā viens no atbalsta mehānismiem ir šāda nodokļa ievērojama samazināšana, kā piemēram, Lietuvā vai Polijā</w:t>
            </w:r>
            <w:r w:rsidR="005F3786">
              <w:rPr>
                <w:rFonts w:ascii="Times New Roman" w:hAnsi="Times New Roman" w:cs="Times New Roman"/>
                <w:sz w:val="24"/>
                <w:szCs w:val="24"/>
              </w:rPr>
              <w:t>, kur akcīzes likme dabasgāzei, ko izmanto transportam, šobrīd ir 0 EUR/MWh</w:t>
            </w:r>
            <w:r w:rsidRPr="002D457C">
              <w:rPr>
                <w:rFonts w:ascii="Times New Roman" w:hAnsi="Times New Roman" w:cs="Times New Roman"/>
                <w:sz w:val="24"/>
                <w:szCs w:val="24"/>
              </w:rPr>
              <w:t xml:space="preserve">. </w:t>
            </w:r>
          </w:p>
          <w:tbl>
            <w:tblPr>
              <w:tblW w:w="5742" w:type="dxa"/>
              <w:tblCellMar>
                <w:left w:w="0" w:type="dxa"/>
                <w:right w:w="0" w:type="dxa"/>
              </w:tblCellMar>
              <w:tblLook w:val="04A0" w:firstRow="1" w:lastRow="0" w:firstColumn="1" w:lastColumn="0" w:noHBand="0" w:noVBand="1"/>
            </w:tblPr>
            <w:tblGrid>
              <w:gridCol w:w="1247"/>
              <w:gridCol w:w="998"/>
              <w:gridCol w:w="1230"/>
              <w:gridCol w:w="1316"/>
              <w:gridCol w:w="951"/>
            </w:tblGrid>
            <w:tr w:rsidR="00D10116" w:rsidRPr="002D457C" w14:paraId="32C90255" w14:textId="77777777" w:rsidTr="001E267F">
              <w:trPr>
                <w:trHeight w:val="489"/>
              </w:trPr>
              <w:tc>
                <w:tcPr>
                  <w:tcW w:w="2245" w:type="dxa"/>
                  <w:gridSpan w:val="2"/>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1B5950CE" w14:textId="77777777" w:rsidR="00D10116" w:rsidRPr="002D457C" w:rsidRDefault="00D10116" w:rsidP="00466D83">
                  <w:pPr>
                    <w:spacing w:line="240" w:lineRule="auto"/>
                    <w:jc w:val="center"/>
                    <w:rPr>
                      <w:rFonts w:ascii="Times New Roman" w:hAnsi="Times New Roman" w:cs="Times New Roman"/>
                      <w:i/>
                      <w:sz w:val="21"/>
                      <w:szCs w:val="21"/>
                    </w:rPr>
                  </w:pPr>
                </w:p>
              </w:tc>
              <w:tc>
                <w:tcPr>
                  <w:tcW w:w="123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4C7DA708" w14:textId="77777777" w:rsidR="00D10116" w:rsidRPr="002D457C" w:rsidRDefault="00D10116" w:rsidP="00466D83">
                  <w:pPr>
                    <w:spacing w:line="240" w:lineRule="auto"/>
                    <w:jc w:val="center"/>
                    <w:rPr>
                      <w:rFonts w:ascii="Times New Roman" w:hAnsi="Times New Roman" w:cs="Times New Roman"/>
                      <w:sz w:val="21"/>
                      <w:szCs w:val="21"/>
                    </w:rPr>
                  </w:pPr>
                  <w:r w:rsidRPr="002D457C">
                    <w:rPr>
                      <w:rFonts w:ascii="Times New Roman" w:hAnsi="Times New Roman" w:cs="Times New Roman"/>
                      <w:sz w:val="21"/>
                      <w:szCs w:val="21"/>
                    </w:rPr>
                    <w:t xml:space="preserve"> Likme </w:t>
                  </w:r>
                </w:p>
                <w:p w14:paraId="0B7DC097" w14:textId="77777777" w:rsidR="00D10116" w:rsidRPr="002D457C" w:rsidRDefault="00D10116" w:rsidP="00466D83">
                  <w:pPr>
                    <w:spacing w:line="240" w:lineRule="auto"/>
                    <w:jc w:val="center"/>
                    <w:rPr>
                      <w:rFonts w:ascii="Times New Roman" w:hAnsi="Times New Roman" w:cs="Times New Roman"/>
                      <w:b/>
                      <w:i/>
                      <w:sz w:val="21"/>
                      <w:szCs w:val="21"/>
                    </w:rPr>
                  </w:pPr>
                  <w:r w:rsidRPr="002D457C">
                    <w:rPr>
                      <w:rFonts w:ascii="Times New Roman" w:hAnsi="Times New Roman" w:cs="Times New Roman"/>
                      <w:b/>
                      <w:sz w:val="21"/>
                      <w:szCs w:val="21"/>
                    </w:rPr>
                    <w:t>2020.gadā</w:t>
                  </w:r>
                </w:p>
              </w:tc>
              <w:tc>
                <w:tcPr>
                  <w:tcW w:w="13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72521CCC" w14:textId="77777777" w:rsidR="00D10116" w:rsidRPr="002D457C" w:rsidRDefault="00D10116" w:rsidP="00466D83">
                  <w:pPr>
                    <w:spacing w:line="240" w:lineRule="auto"/>
                    <w:jc w:val="center"/>
                    <w:rPr>
                      <w:rFonts w:ascii="Times New Roman" w:hAnsi="Times New Roman" w:cs="Times New Roman"/>
                      <w:i/>
                      <w:sz w:val="21"/>
                      <w:szCs w:val="21"/>
                    </w:rPr>
                  </w:pPr>
                  <w:r w:rsidRPr="002D457C">
                    <w:rPr>
                      <w:rFonts w:ascii="Times New Roman" w:hAnsi="Times New Roman" w:cs="Times New Roman"/>
                      <w:b/>
                      <w:sz w:val="21"/>
                      <w:szCs w:val="21"/>
                    </w:rPr>
                    <w:t>2021. – 2025.g.</w:t>
                  </w:r>
                </w:p>
              </w:tc>
              <w:tc>
                <w:tcPr>
                  <w:tcW w:w="95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5327A3F0"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Sākot ar 2026.g.</w:t>
                  </w:r>
                </w:p>
              </w:tc>
            </w:tr>
            <w:tr w:rsidR="00D10116" w:rsidRPr="002D457C" w14:paraId="67C0A8D2" w14:textId="77777777" w:rsidTr="001E267F">
              <w:trPr>
                <w:trHeight w:val="267"/>
              </w:trPr>
              <w:tc>
                <w:tcPr>
                  <w:tcW w:w="124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646B500B" w14:textId="77777777" w:rsidR="00D10116" w:rsidRPr="002D457C" w:rsidRDefault="00D10116" w:rsidP="00466D83">
                  <w:pPr>
                    <w:spacing w:line="240" w:lineRule="auto"/>
                    <w:jc w:val="both"/>
                    <w:rPr>
                      <w:rFonts w:ascii="Times New Roman" w:hAnsi="Times New Roman" w:cs="Times New Roman"/>
                      <w:sz w:val="21"/>
                      <w:szCs w:val="21"/>
                    </w:rPr>
                  </w:pPr>
                </w:p>
                <w:p w14:paraId="03EA95AF" w14:textId="77777777" w:rsidR="00D10116" w:rsidRPr="002D457C" w:rsidRDefault="00D10116" w:rsidP="00466D83">
                  <w:pPr>
                    <w:spacing w:line="240" w:lineRule="auto"/>
                    <w:jc w:val="both"/>
                    <w:rPr>
                      <w:rFonts w:ascii="Times New Roman" w:hAnsi="Times New Roman" w:cs="Times New Roman"/>
                      <w:sz w:val="21"/>
                      <w:szCs w:val="21"/>
                    </w:rPr>
                  </w:pPr>
                  <w:r w:rsidRPr="002D457C">
                    <w:rPr>
                      <w:rFonts w:ascii="Times New Roman" w:hAnsi="Times New Roman" w:cs="Times New Roman"/>
                      <w:sz w:val="21"/>
                      <w:szCs w:val="21"/>
                    </w:rPr>
                    <w:t>Dabasgāze kā degviela</w:t>
                  </w:r>
                </w:p>
              </w:tc>
              <w:tc>
                <w:tcPr>
                  <w:tcW w:w="998"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97D0C53" w14:textId="77777777" w:rsidR="00D10116" w:rsidRPr="002D457C" w:rsidRDefault="00D10116" w:rsidP="00466D83">
                  <w:pPr>
                    <w:spacing w:line="240" w:lineRule="auto"/>
                    <w:jc w:val="center"/>
                    <w:rPr>
                      <w:rFonts w:ascii="Times New Roman" w:hAnsi="Times New Roman" w:cs="Times New Roman"/>
                      <w:i/>
                      <w:sz w:val="20"/>
                      <w:szCs w:val="20"/>
                    </w:rPr>
                  </w:pPr>
                  <w:r w:rsidRPr="002D457C">
                    <w:rPr>
                      <w:rFonts w:ascii="Times New Roman" w:hAnsi="Times New Roman" w:cs="Times New Roman"/>
                      <w:i/>
                      <w:sz w:val="20"/>
                      <w:szCs w:val="20"/>
                    </w:rPr>
                    <w:t>par 1000 m</w:t>
                  </w:r>
                  <w:r w:rsidRPr="002D457C">
                    <w:rPr>
                      <w:rFonts w:ascii="Times New Roman" w:eastAsia="Times New Roman" w:hAnsi="Times New Roman" w:cs="Times New Roman"/>
                      <w:sz w:val="20"/>
                      <w:szCs w:val="20"/>
                      <w:vertAlign w:val="superscript"/>
                      <w:lang w:eastAsia="lv-LV"/>
                    </w:rPr>
                    <w:t>3</w:t>
                  </w:r>
                </w:p>
              </w:tc>
              <w:tc>
                <w:tcPr>
                  <w:tcW w:w="12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D4EBD5F"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101</w:t>
                  </w:r>
                </w:p>
              </w:tc>
              <w:tc>
                <w:tcPr>
                  <w:tcW w:w="131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40C3AA99"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20,00</w:t>
                  </w:r>
                </w:p>
              </w:tc>
              <w:tc>
                <w:tcPr>
                  <w:tcW w:w="951" w:type="dxa"/>
                  <w:tcBorders>
                    <w:top w:val="single" w:sz="8" w:space="0" w:color="auto"/>
                    <w:left w:val="nil"/>
                    <w:bottom w:val="single" w:sz="4" w:space="0" w:color="auto"/>
                    <w:right w:val="single" w:sz="8" w:space="0" w:color="auto"/>
                  </w:tcBorders>
                  <w:shd w:val="clear" w:color="auto" w:fill="FFFFFF" w:themeFill="background1"/>
                </w:tcPr>
                <w:p w14:paraId="2D747531"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105</w:t>
                  </w:r>
                </w:p>
              </w:tc>
            </w:tr>
            <w:tr w:rsidR="00D10116" w:rsidRPr="002D457C" w14:paraId="625F661A" w14:textId="77777777" w:rsidTr="001E267F">
              <w:trPr>
                <w:trHeight w:val="267"/>
              </w:trPr>
              <w:tc>
                <w:tcPr>
                  <w:tcW w:w="1247"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14:paraId="65198031" w14:textId="77777777" w:rsidR="00D10116" w:rsidRPr="002D457C" w:rsidRDefault="00D10116" w:rsidP="00466D83">
                  <w:pPr>
                    <w:spacing w:line="240" w:lineRule="auto"/>
                    <w:rPr>
                      <w:rFonts w:ascii="Times New Roman" w:hAnsi="Times New Roman" w:cs="Times New Roman"/>
                      <w:sz w:val="21"/>
                      <w:szCs w:val="21"/>
                    </w:rPr>
                  </w:pPr>
                </w:p>
              </w:tc>
              <w:tc>
                <w:tcPr>
                  <w:tcW w:w="998"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1E57B3F7" w14:textId="77777777" w:rsidR="00D10116" w:rsidRPr="002D457C" w:rsidRDefault="00D10116" w:rsidP="00466D83">
                  <w:pPr>
                    <w:spacing w:line="240" w:lineRule="auto"/>
                    <w:jc w:val="center"/>
                    <w:rPr>
                      <w:rFonts w:ascii="Times New Roman" w:hAnsi="Times New Roman" w:cs="Times New Roman"/>
                      <w:i/>
                      <w:sz w:val="20"/>
                      <w:szCs w:val="20"/>
                    </w:rPr>
                  </w:pPr>
                  <w:r w:rsidRPr="002D457C">
                    <w:rPr>
                      <w:rFonts w:ascii="Times New Roman" w:hAnsi="Times New Roman" w:cs="Times New Roman"/>
                      <w:i/>
                      <w:sz w:val="20"/>
                      <w:szCs w:val="20"/>
                    </w:rPr>
                    <w:t>par  1 MWh</w:t>
                  </w: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9FCE3E" w14:textId="77777777" w:rsidR="00D10116" w:rsidRPr="002D457C" w:rsidRDefault="00D10116" w:rsidP="00466D83">
                  <w:pPr>
                    <w:spacing w:line="240" w:lineRule="auto"/>
                    <w:jc w:val="center"/>
                    <w:rPr>
                      <w:rFonts w:ascii="Times New Roman" w:hAnsi="Times New Roman" w:cs="Times New Roman"/>
                      <w:b/>
                      <w:sz w:val="20"/>
                      <w:szCs w:val="20"/>
                    </w:rPr>
                  </w:pPr>
                  <w:r w:rsidRPr="002D457C">
                    <w:rPr>
                      <w:rFonts w:ascii="Times New Roman" w:hAnsi="Times New Roman" w:cs="Times New Roman"/>
                      <w:b/>
                      <w:sz w:val="20"/>
                      <w:szCs w:val="20"/>
                    </w:rPr>
                    <w:t>9,64</w:t>
                  </w:r>
                </w:p>
              </w:tc>
              <w:tc>
                <w:tcPr>
                  <w:tcW w:w="131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7EB7ED3F"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1,91</w:t>
                  </w:r>
                </w:p>
              </w:tc>
              <w:tc>
                <w:tcPr>
                  <w:tcW w:w="951" w:type="dxa"/>
                  <w:tcBorders>
                    <w:top w:val="single" w:sz="4" w:space="0" w:color="auto"/>
                    <w:left w:val="nil"/>
                    <w:bottom w:val="single" w:sz="4" w:space="0" w:color="auto"/>
                    <w:right w:val="single" w:sz="4" w:space="0" w:color="auto"/>
                  </w:tcBorders>
                  <w:shd w:val="clear" w:color="auto" w:fill="FFFFFF" w:themeFill="background1"/>
                </w:tcPr>
                <w:p w14:paraId="71158A16" w14:textId="77777777" w:rsidR="00D10116" w:rsidRPr="002D457C" w:rsidRDefault="00D10116" w:rsidP="00466D83">
                  <w:pPr>
                    <w:spacing w:line="240" w:lineRule="auto"/>
                    <w:jc w:val="center"/>
                    <w:rPr>
                      <w:rFonts w:ascii="Times New Roman" w:hAnsi="Times New Roman" w:cs="Times New Roman"/>
                      <w:b/>
                      <w:sz w:val="21"/>
                      <w:szCs w:val="21"/>
                    </w:rPr>
                  </w:pPr>
                  <w:r w:rsidRPr="002D457C">
                    <w:rPr>
                      <w:rFonts w:ascii="Times New Roman" w:hAnsi="Times New Roman" w:cs="Times New Roman"/>
                      <w:b/>
                      <w:sz w:val="21"/>
                      <w:szCs w:val="21"/>
                    </w:rPr>
                    <w:t>10</w:t>
                  </w:r>
                </w:p>
              </w:tc>
            </w:tr>
          </w:tbl>
          <w:p w14:paraId="2CC6E56E" w14:textId="04CC6964" w:rsidR="00BE5A8F" w:rsidRPr="001924CB" w:rsidRDefault="00BE5A8F" w:rsidP="00466D83">
            <w:pPr>
              <w:spacing w:before="120" w:line="240" w:lineRule="auto"/>
              <w:ind w:right="110"/>
              <w:jc w:val="both"/>
              <w:rPr>
                <w:rFonts w:ascii="Times New Roman" w:hAnsi="Times New Roman" w:cs="Times New Roman"/>
                <w:color w:val="000000" w:themeColor="text1"/>
                <w:sz w:val="24"/>
                <w:szCs w:val="24"/>
              </w:rPr>
            </w:pPr>
            <w:r w:rsidRPr="001340F4">
              <w:rPr>
                <w:rFonts w:ascii="Times New Roman" w:hAnsi="Times New Roman" w:cs="Times New Roman"/>
                <w:color w:val="000000" w:themeColor="text1"/>
                <w:sz w:val="24"/>
                <w:szCs w:val="24"/>
              </w:rPr>
              <w:t xml:space="preserve">Jau šobrīd pastāvošā samazinātā akcīzes likme dabasgāzei, ko izmanto transportā veicinās dabasgāzes transportam palielināšanos un izveidos bāzi biometāna ka biodegvielas </w:t>
            </w:r>
            <w:r w:rsidRPr="001340F4">
              <w:rPr>
                <w:rFonts w:ascii="Times New Roman" w:hAnsi="Times New Roman" w:cs="Times New Roman"/>
                <w:color w:val="000000" w:themeColor="text1"/>
                <w:sz w:val="24"/>
                <w:szCs w:val="24"/>
              </w:rPr>
              <w:lastRenderedPageBreak/>
              <w:t xml:space="preserve">plašākai izmantošanai transportā. </w:t>
            </w:r>
            <w:r w:rsidRPr="001924CB">
              <w:rPr>
                <w:rFonts w:ascii="Times New Roman" w:hAnsi="Times New Roman" w:cs="Times New Roman"/>
                <w:color w:val="000000" w:themeColor="text1"/>
                <w:sz w:val="24"/>
                <w:szCs w:val="24"/>
              </w:rPr>
              <w:t>Līdz 2021. gadam dabasgāzes transportam tirgus netika pietiekoši attīstīts, kas, piemēram, izriet no  2017.gada 25.aprīļa Ministru kabineta rīkojumā Nr.202 “Par Alternatīvo degvielu attīstības plānu 2017.-2020.gadam” (turpmāk – Attīstības plāns) norādītā, ka Latvijā reģistrēts mazs skaits transportlīdzekļu, kuri kā degvielu var izmantot dabasgāzi. Latvijā tajā laikā bija aptuveni 160 šādi transportlīdzekļi, Lietuvā – 380, Igaunijā – 400, Polijā – 3600 (2019.gada dati).  Lai arī šādu transportlīdzekļu radītās  emisijas ir būtiski zemākas (līdz pat 25%) nekā dīzeļdegvielai, šie transportlīdzekļi nav izplatīti, jo tiem nepieciešamā infrastruktūra Latvijā nav attīstīta. Tāpat Attīstības plānā konstatēts, ka dabasgāzei kā alternatīvās degvielas veidam uzmanību pievērsuši Eiropas vadošie autoražotāji. Jau 2017.gadā ar saspiestās dabasgāzes (turpmāk – CNG) darbināmu transportlīdzekļu piedāvājumā bija vairāk kā 50 pasažieru transportlīdzekļi un vieglie komerctransportlīdzekļi (Fiat, Lancia, Mercedes, Iveco, Volkswagen</w:t>
            </w:r>
            <w:r w:rsidR="00846F05">
              <w:rPr>
                <w:rFonts w:ascii="Times New Roman" w:hAnsi="Times New Roman" w:cs="Times New Roman"/>
                <w:color w:val="000000" w:themeColor="text1"/>
                <w:sz w:val="24"/>
                <w:szCs w:val="24"/>
              </w:rPr>
              <w:t xml:space="preserve"> (jāatzīmē gan, ka no 2026.gada Volkwagen </w:t>
            </w:r>
            <w:r w:rsidR="00846F05" w:rsidRPr="00846F05">
              <w:rPr>
                <w:rFonts w:ascii="Times New Roman" w:hAnsi="Times New Roman" w:cs="Times New Roman"/>
                <w:color w:val="000000" w:themeColor="text1"/>
                <w:sz w:val="24"/>
                <w:szCs w:val="24"/>
              </w:rPr>
              <w:t>vairs neplāno ražot jaunus ar gāzveida degvielu darbināmus transportlīdzekļus</w:t>
            </w:r>
            <w:r w:rsidR="00846F05">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Audi, Seat, Skoda, Opel un Volvo). Attīstības plānā arī ir secināts, ka Latvijā dabasgāzes izmantošana transportā ir maz attīstīta, jo nav pietiekams valsts atbalsts. 2020. gadā Latvijā ekspluatācijā nodoti  divi publiski pieejamie CNG un viens privātais CNG uzpildes punkts, savukārt kaimiņvalstīs ir jau attīstīti publisko staciju tīkli.   </w:t>
            </w:r>
          </w:p>
          <w:p w14:paraId="655C84DA" w14:textId="77777777" w:rsidR="00BE5A8F" w:rsidRPr="001924CB" w:rsidRDefault="00BE5A8F" w:rsidP="00466D83">
            <w:pPr>
              <w:spacing w:before="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Likumprojektā paredzētā regulējuma pieņemšanas loģika balstās uz iepriekš noteikto nepieciešamību turpināt veicināt </w:t>
            </w:r>
            <w:r>
              <w:rPr>
                <w:rFonts w:ascii="Times New Roman" w:hAnsi="Times New Roman" w:cs="Times New Roman"/>
                <w:color w:val="000000" w:themeColor="text1"/>
                <w:sz w:val="24"/>
                <w:szCs w:val="24"/>
              </w:rPr>
              <w:t>dabasgāzes kā degvielas transportam</w:t>
            </w:r>
            <w:r w:rsidRPr="001924CB">
              <w:rPr>
                <w:rFonts w:ascii="Times New Roman" w:hAnsi="Times New Roman" w:cs="Times New Roman"/>
                <w:color w:val="000000" w:themeColor="text1"/>
                <w:sz w:val="24"/>
                <w:szCs w:val="24"/>
              </w:rPr>
              <w:t xml:space="preserve"> uzpildes punktu izveidi Latvijas teritorijā transportlīdzekļiem, kuros kā degvielu izmanto dabasgāzi, un siltumnīcefekta gāzu emisiju samazināšanu transportā, kā arī, lai veicinātu pakāpenisku pāreju uz videi draudzīgākas un gaisa kvalitāti mazāk ietekmējošas degvielas izmantošanu. Viens no risinājumiem, kā izvirzīto mērķi sasniegt, ir ievērojams terminētais akcīzes nodokļa samazinājuma atbalsta turpinājums dabasgāzei, kuru izmanto kā transporta degvielu.  </w:t>
            </w:r>
          </w:p>
          <w:p w14:paraId="29617B82" w14:textId="7EE0ABB2" w:rsidR="00BE5A8F" w:rsidRPr="001924CB" w:rsidRDefault="00BE5A8F" w:rsidP="00466D83">
            <w:pPr>
              <w:spacing w:before="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CNG ir viena no </w:t>
            </w:r>
            <w:r w:rsidR="00846F05">
              <w:rPr>
                <w:rFonts w:ascii="Times New Roman" w:hAnsi="Times New Roman" w:cs="Times New Roman"/>
                <w:color w:val="000000" w:themeColor="text1"/>
                <w:sz w:val="24"/>
                <w:szCs w:val="24"/>
              </w:rPr>
              <w:t>būtiskām</w:t>
            </w:r>
            <w:r w:rsidRPr="001924CB">
              <w:rPr>
                <w:rFonts w:ascii="Times New Roman" w:hAnsi="Times New Roman" w:cs="Times New Roman"/>
                <w:color w:val="000000" w:themeColor="text1"/>
                <w:sz w:val="24"/>
                <w:szCs w:val="24"/>
              </w:rPr>
              <w:t xml:space="preserve"> alternatīvām dīzeļdegvielai, lai dekarbonizētu kravas transportlīdzekļu segmentu, kura dekarbonizācija ar citiem instrumentiem vidējā termiņā nebūs iespējama, bet ir atbildīga par aptuveni 50% no visām SEG emisijām, kas radītas ceļu transportā. Tā veicina gaisa piesārņojuma samazināšanos un uzlabo gaisa kvalitāti pilsētās, palīdzot virzīties pretī Eiropas Savienības klimata mērķiem. Vienlaikus ar likumprojektu tiek veicināta </w:t>
            </w:r>
            <w:bookmarkStart w:id="1" w:name="_Hlk66883834"/>
            <w:r w:rsidRPr="001924CB">
              <w:rPr>
                <w:rFonts w:ascii="Times New Roman" w:hAnsi="Times New Roman" w:cs="Times New Roman"/>
                <w:color w:val="000000" w:themeColor="text1"/>
                <w:sz w:val="24"/>
                <w:szCs w:val="24"/>
              </w:rPr>
              <w:t xml:space="preserve">Direktīvas 2014/94/ES (2014. gada 22. oktobris) par alternatīvo degvielas infrastruktūras ieviešanu </w:t>
            </w:r>
            <w:bookmarkEnd w:id="1"/>
            <w:r w:rsidRPr="001924CB">
              <w:rPr>
                <w:rFonts w:ascii="Times New Roman" w:hAnsi="Times New Roman" w:cs="Times New Roman"/>
                <w:color w:val="000000" w:themeColor="text1"/>
                <w:sz w:val="24"/>
                <w:szCs w:val="24"/>
              </w:rPr>
              <w:t xml:space="preserve">(turpmāk – </w:t>
            </w:r>
            <w:r w:rsidRPr="001924CB">
              <w:rPr>
                <w:rFonts w:ascii="Times New Roman" w:hAnsi="Times New Roman" w:cs="Times New Roman"/>
                <w:color w:val="000000" w:themeColor="text1"/>
                <w:sz w:val="24"/>
                <w:szCs w:val="24"/>
              </w:rPr>
              <w:lastRenderedPageBreak/>
              <w:t>Direktīva) 6. panta 7. un 8. punktā dalībvalstij noteikto infrastruktūras attīstības prasību īstenošana. Proti, kā viens no pasākumiem dabasgāzes kā degvielas izmantošanas veicināšanai Latvijā ir dabasgāzei, kuru izmanto kā transporta degvielu, akcīzes nodokļa samazinājum</w:t>
            </w:r>
            <w:r w:rsidR="005F3786">
              <w:rPr>
                <w:rFonts w:ascii="Times New Roman" w:hAnsi="Times New Roman" w:cs="Times New Roman"/>
                <w:color w:val="000000" w:themeColor="text1"/>
                <w:sz w:val="24"/>
                <w:szCs w:val="24"/>
              </w:rPr>
              <w:t>s.</w:t>
            </w:r>
            <w:r w:rsidRPr="001924CB">
              <w:rPr>
                <w:rFonts w:ascii="Times New Roman" w:hAnsi="Times New Roman" w:cs="Times New Roman"/>
                <w:color w:val="000000" w:themeColor="text1"/>
                <w:sz w:val="24"/>
                <w:szCs w:val="24"/>
              </w:rPr>
              <w:t xml:space="preserve"> </w:t>
            </w:r>
          </w:p>
          <w:p w14:paraId="1BCBFBAD" w14:textId="77777777" w:rsidR="00BE5A8F" w:rsidRPr="001924CB" w:rsidRDefault="00BE5A8F" w:rsidP="00466D83">
            <w:pPr>
              <w:spacing w:before="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Papildus, likumprojekta ieviešana nepieciešama, lai turpinātu  īstenot 2019.gada janvāra Deklarācijas par Artura Krišjāņa Kariņa vadītā Ministru kabineta iecerēto darbību 36.punktā izvirzīto mērķi un veicinātu infrastruktūras attīstību preču un cilvēku mobilitātei. Alternatīvo degvielu infrastruktūra Eiropas Savienības mērogā netiek attīstīta saskaņoti. Ir jāizbūvē jauni infrastruktūras tīkli, piemēram, elektroenerģijai, dabasgāzei un attiecīgos gadījumos - ūdeņradim. Ir svarīgi atzīt katras degvielas tehnoloģijas un ar to saistītās infrastruktūras attīstības dažādos posmus, tostarp uzņēmējdarbības modeļu briedumu saistībā ar privātajiem ieguldītājiem un alternatīvo degvielu pieejamību un pieņemamību lietotājiem. Būtu jānodrošina tehnoloģiskā neitralitāte, un valsts politikas regulējumos būtu pienācīgi jāņem vērā prasība atbalstīt alternatīvo degvielu komerciālo attīstību. </w:t>
            </w:r>
          </w:p>
          <w:p w14:paraId="7B82E054" w14:textId="77777777" w:rsidR="00BE5A8F" w:rsidRPr="001924CB" w:rsidRDefault="00BE5A8F" w:rsidP="00466D83">
            <w:pPr>
              <w:spacing w:before="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Dabasgāzes izmantošana transportā sniedz būtiskas priekšrocības vides aizsardzības kontekstā, jo īpaši tad, kad tā tiek lietota kombinācijā ar biometānu, kas ievērojami ļauj samazināt SEG emisijas un paaugstināt atjaunojamo energoresursu īpatsvaru transporta sektora galapatēriņā. Atbilstoši 2018.gada 21.decembra Eiropas Parlamenta un Padomes Direktīvai Nr.2018/2001 par no atjaunojamajiem energoresursiem iegūtas enerģijas izmantošanas veicināšanu 25.panta prasībām, Latvijai no 2022.gada būs jānodrošina zināms tā saucamo moderno biodegvielu (piemēram, biometāna) patēriņš, tam pieaugot līdz 3,5% 2030.gadā. </w:t>
            </w:r>
          </w:p>
          <w:p w14:paraId="66E4F777" w14:textId="77777777" w:rsidR="00BE5A8F" w:rsidRPr="001924CB" w:rsidRDefault="00BE5A8F" w:rsidP="00466D83">
            <w:pPr>
              <w:spacing w:before="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Attīstoties CNG infrastruktūrai, tiktu nodrošināta siltumnīcefekta gāzu un gaisa piesārņojošo vielu emisiju samazināšana, kā arī netieši tiktu sekmēta atjaunojamo energoresursu izmantošanas mērķu sasniegšana, jo potenciāli nākotnē CNG infrastruktūra būs izmantojama arī ne-emisiju degvielu (biometāns, ūdeņradis, sintētiskā gāze) piegādei galapatēriņā transportā. </w:t>
            </w:r>
          </w:p>
          <w:p w14:paraId="78F6814B" w14:textId="77777777" w:rsidR="00BE5A8F" w:rsidRPr="001924CB" w:rsidRDefault="00BE5A8F" w:rsidP="00466D83">
            <w:pPr>
              <w:spacing w:before="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Lai no 2026.gada izvairītos no akcīzes nodokļa ieņēmumu samazinājuma, kā arī, lai novērstu valsts  atbalsta sniegšanu neierobežotā laikā,  būtiski ir paredzēt, ka no 2026.gada akcīzes nodokļa likme tiek paaugstināta, kā to nosaka pašreiz spēkā esošās likuma normas, kuras nav paredzēts grozīt ar šī likumprojekta pieņemšanu. Akcīzes nodokļa samazināšana uz laiku </w:t>
            </w:r>
            <w:r>
              <w:rPr>
                <w:rFonts w:ascii="Times New Roman" w:hAnsi="Times New Roman" w:cs="Times New Roman"/>
                <w:color w:val="000000" w:themeColor="text1"/>
                <w:sz w:val="24"/>
                <w:szCs w:val="24"/>
              </w:rPr>
              <w:t>dabasgāzei kā degvielai transportam</w:t>
            </w:r>
            <w:r w:rsidRPr="001924CB">
              <w:rPr>
                <w:rFonts w:ascii="Times New Roman" w:hAnsi="Times New Roman" w:cs="Times New Roman"/>
                <w:color w:val="000000" w:themeColor="text1"/>
                <w:sz w:val="24"/>
                <w:szCs w:val="24"/>
              </w:rPr>
              <w:t xml:space="preserve">, tiek prognozēta kā pietiekams atbalsts tirgum, lai tā dalībnieki uzskatītu par ekonomiski pamatotu un izdevīgu savas infrastruktūras attīstīšanu Latvijas teritorijā, kas </w:t>
            </w:r>
            <w:r w:rsidRPr="001924CB">
              <w:rPr>
                <w:rFonts w:ascii="Times New Roman" w:hAnsi="Times New Roman" w:cs="Times New Roman"/>
                <w:color w:val="000000" w:themeColor="text1"/>
                <w:sz w:val="24"/>
                <w:szCs w:val="24"/>
              </w:rPr>
              <w:lastRenderedPageBreak/>
              <w:t>savukārt novērš papildu nepieciešamību veikt ieguldījumus no valsts budžeta infrastruktūras attīstībā, lai veicinātu Direktīvas 6.panta 7. un 8. punkta prasību īstenošanu.</w:t>
            </w:r>
          </w:p>
          <w:p w14:paraId="01206551" w14:textId="2E31E47C" w:rsidR="00C51CC4" w:rsidRPr="0002732F" w:rsidRDefault="00BE5A8F" w:rsidP="0002732F">
            <w:pPr>
              <w:spacing w:before="120" w:line="240" w:lineRule="auto"/>
              <w:jc w:val="both"/>
              <w:rPr>
                <w:rFonts w:ascii="Times New Roman" w:hAnsi="Times New Roman" w:cs="Times New Roman"/>
                <w:color w:val="000000" w:themeColor="text1"/>
                <w:sz w:val="24"/>
                <w:szCs w:val="24"/>
                <w:u w:val="single"/>
              </w:rPr>
            </w:pPr>
            <w:bookmarkStart w:id="2" w:name="_Hlk66441296"/>
            <w:r w:rsidRPr="001924CB">
              <w:rPr>
                <w:rFonts w:ascii="Times New Roman" w:hAnsi="Times New Roman" w:cs="Times New Roman"/>
                <w:color w:val="000000" w:themeColor="text1"/>
                <w:sz w:val="24"/>
                <w:szCs w:val="24"/>
                <w:u w:val="single"/>
              </w:rPr>
              <w:t>Plānotā tiesiskā regulējuma mērķis ir turpināt mazināt finansiālos apgrūtinājumus tirgus dalībniekiem, kuri vēlas tirgot dabasgāzi kā transporta degvielu, tādējādi arī veicinot Direktīvas prasību īstenošanu, kā arī samazinātu transporta sektora radītās emisijas, tostarp, uzlabotu gaisa kvalitāti pilsētās.</w:t>
            </w:r>
            <w:bookmarkEnd w:id="2"/>
          </w:p>
        </w:tc>
      </w:tr>
      <w:tr w:rsidR="002D457C" w:rsidRPr="002D457C" w14:paraId="528B691B" w14:textId="77777777" w:rsidTr="00071810">
        <w:tc>
          <w:tcPr>
            <w:tcW w:w="311" w:type="pct"/>
            <w:hideMark/>
          </w:tcPr>
          <w:p w14:paraId="4D74BE02"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lastRenderedPageBreak/>
              <w:t>3.</w:t>
            </w:r>
          </w:p>
        </w:tc>
        <w:tc>
          <w:tcPr>
            <w:tcW w:w="1479" w:type="pct"/>
            <w:hideMark/>
          </w:tcPr>
          <w:p w14:paraId="12AA418C"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Projekta izstrādē iesaistītās institūcijas un publiskas personas kapitālsabiedrības</w:t>
            </w:r>
          </w:p>
        </w:tc>
        <w:tc>
          <w:tcPr>
            <w:tcW w:w="3210" w:type="pct"/>
            <w:hideMark/>
          </w:tcPr>
          <w:p w14:paraId="28A16423" w14:textId="52C1C47B" w:rsidR="000D4B64" w:rsidRPr="002D457C" w:rsidRDefault="004D5939"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Ekonomikas ministrija, </w:t>
            </w:r>
            <w:r w:rsidR="00660B1B" w:rsidRPr="002D457C">
              <w:rPr>
                <w:rFonts w:ascii="Times New Roman" w:hAnsi="Times New Roman" w:cs="Times New Roman"/>
                <w:sz w:val="24"/>
                <w:szCs w:val="24"/>
              </w:rPr>
              <w:t xml:space="preserve">Finanšu ministrija, </w:t>
            </w:r>
            <w:r w:rsidR="0024268E" w:rsidRPr="002D457C">
              <w:rPr>
                <w:rFonts w:ascii="Times New Roman" w:hAnsi="Times New Roman" w:cs="Times New Roman"/>
                <w:sz w:val="24"/>
                <w:szCs w:val="24"/>
              </w:rPr>
              <w:t>Satiksmes ministrija,</w:t>
            </w:r>
            <w:r w:rsidR="0024781F" w:rsidRPr="002D457C">
              <w:rPr>
                <w:rFonts w:ascii="Times New Roman" w:hAnsi="Times New Roman" w:cs="Times New Roman"/>
                <w:sz w:val="24"/>
                <w:szCs w:val="24"/>
              </w:rPr>
              <w:t xml:space="preserve"> </w:t>
            </w:r>
            <w:r w:rsidR="00E63FEA" w:rsidRPr="002D457C">
              <w:rPr>
                <w:rFonts w:ascii="Times New Roman" w:hAnsi="Times New Roman" w:cs="Times New Roman"/>
                <w:sz w:val="24"/>
                <w:szCs w:val="24"/>
              </w:rPr>
              <w:t>Vides aizsardzības un reģionālās attīstības ministrija</w:t>
            </w:r>
            <w:r w:rsidR="0084018B" w:rsidRPr="002D457C">
              <w:rPr>
                <w:rFonts w:ascii="Times New Roman" w:hAnsi="Times New Roman" w:cs="Times New Roman"/>
                <w:sz w:val="24"/>
                <w:szCs w:val="24"/>
              </w:rPr>
              <w:t xml:space="preserve"> un </w:t>
            </w:r>
            <w:r w:rsidR="004439AA" w:rsidRPr="002D457C">
              <w:rPr>
                <w:rFonts w:ascii="Times New Roman" w:hAnsi="Times New Roman" w:cs="Times New Roman"/>
                <w:sz w:val="24"/>
                <w:szCs w:val="24"/>
              </w:rPr>
              <w:t>Būvniecības valsts kontroles biro</w:t>
            </w:r>
            <w:r w:rsidR="00AC69B4" w:rsidRPr="002D457C">
              <w:rPr>
                <w:rFonts w:ascii="Times New Roman" w:hAnsi="Times New Roman" w:cs="Times New Roman"/>
                <w:sz w:val="24"/>
                <w:szCs w:val="24"/>
              </w:rPr>
              <w:t>j</w:t>
            </w:r>
            <w:r w:rsidR="004439AA" w:rsidRPr="002D457C">
              <w:rPr>
                <w:rFonts w:ascii="Times New Roman" w:hAnsi="Times New Roman" w:cs="Times New Roman"/>
                <w:sz w:val="24"/>
                <w:szCs w:val="24"/>
              </w:rPr>
              <w:t>s</w:t>
            </w:r>
            <w:r w:rsidR="00AC69B4" w:rsidRPr="002D457C">
              <w:rPr>
                <w:rFonts w:ascii="Times New Roman" w:hAnsi="Times New Roman" w:cs="Times New Roman"/>
                <w:sz w:val="24"/>
                <w:szCs w:val="24"/>
              </w:rPr>
              <w:t>.</w:t>
            </w:r>
          </w:p>
        </w:tc>
      </w:tr>
      <w:tr w:rsidR="002D457C" w:rsidRPr="002D457C" w14:paraId="14AE5DA8" w14:textId="77777777" w:rsidTr="00071810">
        <w:tc>
          <w:tcPr>
            <w:tcW w:w="311" w:type="pct"/>
            <w:hideMark/>
          </w:tcPr>
          <w:p w14:paraId="494C1B35"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4.</w:t>
            </w:r>
          </w:p>
        </w:tc>
        <w:tc>
          <w:tcPr>
            <w:tcW w:w="1479" w:type="pct"/>
            <w:hideMark/>
          </w:tcPr>
          <w:p w14:paraId="07BC9766"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Cita informācija</w:t>
            </w:r>
          </w:p>
        </w:tc>
        <w:tc>
          <w:tcPr>
            <w:tcW w:w="3210" w:type="pct"/>
            <w:hideMark/>
          </w:tcPr>
          <w:p w14:paraId="6908E10B" w14:textId="578E35F4" w:rsidR="00987784" w:rsidRPr="002D457C" w:rsidRDefault="00E9541E"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Nav</w:t>
            </w:r>
            <w:r w:rsidR="00AC69B4" w:rsidRPr="002D457C">
              <w:rPr>
                <w:rFonts w:ascii="Times New Roman" w:hAnsi="Times New Roman" w:cs="Times New Roman"/>
                <w:sz w:val="24"/>
                <w:szCs w:val="24"/>
              </w:rPr>
              <w:t>.</w:t>
            </w:r>
            <w:r w:rsidR="0070679C" w:rsidRPr="002D457C">
              <w:rPr>
                <w:rFonts w:ascii="Times New Roman" w:hAnsi="Times New Roman" w:cs="Times New Roman"/>
                <w:sz w:val="24"/>
                <w:szCs w:val="24"/>
              </w:rPr>
              <w:t xml:space="preserve"> </w:t>
            </w:r>
          </w:p>
        </w:tc>
      </w:tr>
      <w:tr w:rsidR="002D457C" w:rsidRPr="002D457C" w14:paraId="73AF7B01" w14:textId="77777777" w:rsidTr="00071810">
        <w:tc>
          <w:tcPr>
            <w:tcW w:w="5000" w:type="pct"/>
            <w:gridSpan w:val="3"/>
            <w:vAlign w:val="center"/>
            <w:hideMark/>
          </w:tcPr>
          <w:p w14:paraId="004BB6C6"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b/>
                <w:bCs/>
                <w:sz w:val="24"/>
                <w:szCs w:val="24"/>
              </w:rPr>
              <w:lastRenderedPageBreak/>
              <w:t>II. Tiesību akta projekta ietekme uz sabiedrību, tautsaimniecības attīstību un administratīvo slogu</w:t>
            </w:r>
          </w:p>
        </w:tc>
      </w:tr>
      <w:tr w:rsidR="002D457C" w:rsidRPr="002D457C" w14:paraId="680F3835" w14:textId="77777777" w:rsidTr="00071810">
        <w:tc>
          <w:tcPr>
            <w:tcW w:w="311" w:type="pct"/>
            <w:hideMark/>
          </w:tcPr>
          <w:p w14:paraId="2E0ED498"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1.</w:t>
            </w:r>
          </w:p>
        </w:tc>
        <w:tc>
          <w:tcPr>
            <w:tcW w:w="1479" w:type="pct"/>
            <w:hideMark/>
          </w:tcPr>
          <w:p w14:paraId="09FE9D6B" w14:textId="77777777" w:rsidR="00987784" w:rsidRPr="002D457C" w:rsidRDefault="00987784" w:rsidP="00466D83">
            <w:pPr>
              <w:keepNext/>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Sabiedrības mērķgrupas, kuras tiesiskais regulējums ietekmē vai varētu ietekmēt</w:t>
            </w:r>
          </w:p>
        </w:tc>
        <w:tc>
          <w:tcPr>
            <w:tcW w:w="3210" w:type="pct"/>
            <w:hideMark/>
          </w:tcPr>
          <w:p w14:paraId="07E9CF51" w14:textId="48540242" w:rsidR="0082272E" w:rsidRPr="002D457C" w:rsidRDefault="0082272E"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Likumprojekta pieņemšana attiecas uz komersantiem un personām, kas atbilstoši likumā </w:t>
            </w:r>
            <w:r w:rsidR="004439AA" w:rsidRPr="002D457C">
              <w:rPr>
                <w:rFonts w:ascii="Times New Roman" w:hAnsi="Times New Roman" w:cs="Times New Roman"/>
                <w:sz w:val="24"/>
                <w:szCs w:val="24"/>
              </w:rPr>
              <w:t xml:space="preserve">“Par akcīzes nodokli” </w:t>
            </w:r>
            <w:r w:rsidRPr="002D457C">
              <w:rPr>
                <w:rFonts w:ascii="Times New Roman" w:hAnsi="Times New Roman" w:cs="Times New Roman"/>
                <w:sz w:val="24"/>
                <w:szCs w:val="24"/>
              </w:rPr>
              <w:t>noteiktajām prasībām ir akcīzes nodokļa maksātāji.</w:t>
            </w:r>
          </w:p>
          <w:p w14:paraId="2FC307CE" w14:textId="77777777" w:rsidR="00987784" w:rsidRPr="002D457C" w:rsidRDefault="0082272E"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Likumprojekts attiecas uz komersantiem, kas veic darbības ar dabasgāzi, kuru izmanto kā transporta degvielu.</w:t>
            </w:r>
            <w:r w:rsidR="00064B37" w:rsidRPr="002D457C">
              <w:rPr>
                <w:rFonts w:ascii="Times New Roman" w:hAnsi="Times New Roman" w:cs="Times New Roman"/>
                <w:sz w:val="24"/>
                <w:szCs w:val="24"/>
              </w:rPr>
              <w:t xml:space="preserve"> Likumprojekts ir saistošs a</w:t>
            </w:r>
            <w:r w:rsidR="00B06107" w:rsidRPr="002D457C">
              <w:rPr>
                <w:rFonts w:ascii="Times New Roman" w:hAnsi="Times New Roman" w:cs="Times New Roman"/>
                <w:sz w:val="24"/>
                <w:szCs w:val="24"/>
              </w:rPr>
              <w:t>utomobiļu lietotāji</w:t>
            </w:r>
            <w:r w:rsidR="00064B37" w:rsidRPr="002D457C">
              <w:rPr>
                <w:rFonts w:ascii="Times New Roman" w:hAnsi="Times New Roman" w:cs="Times New Roman"/>
                <w:sz w:val="24"/>
                <w:szCs w:val="24"/>
              </w:rPr>
              <w:t>em</w:t>
            </w:r>
            <w:r w:rsidR="00B06107" w:rsidRPr="002D457C">
              <w:rPr>
                <w:rFonts w:ascii="Times New Roman" w:hAnsi="Times New Roman" w:cs="Times New Roman"/>
                <w:sz w:val="24"/>
                <w:szCs w:val="24"/>
              </w:rPr>
              <w:t>, automobiļu tirgotāji</w:t>
            </w:r>
            <w:r w:rsidR="00064B37" w:rsidRPr="002D457C">
              <w:rPr>
                <w:rFonts w:ascii="Times New Roman" w:hAnsi="Times New Roman" w:cs="Times New Roman"/>
                <w:sz w:val="24"/>
                <w:szCs w:val="24"/>
              </w:rPr>
              <w:t>em</w:t>
            </w:r>
            <w:r w:rsidR="00B06107" w:rsidRPr="002D457C">
              <w:rPr>
                <w:rFonts w:ascii="Times New Roman" w:hAnsi="Times New Roman" w:cs="Times New Roman"/>
                <w:sz w:val="24"/>
                <w:szCs w:val="24"/>
              </w:rPr>
              <w:t xml:space="preserve">, </w:t>
            </w:r>
            <w:r w:rsidR="00113FE4" w:rsidRPr="002D457C">
              <w:rPr>
                <w:rFonts w:ascii="Times New Roman" w:hAnsi="Times New Roman" w:cs="Times New Roman"/>
                <w:sz w:val="24"/>
                <w:szCs w:val="24"/>
              </w:rPr>
              <w:t>dabasgāzes tirgotāji</w:t>
            </w:r>
            <w:r w:rsidR="00064B37" w:rsidRPr="002D457C">
              <w:rPr>
                <w:rFonts w:ascii="Times New Roman" w:hAnsi="Times New Roman" w:cs="Times New Roman"/>
                <w:sz w:val="24"/>
                <w:szCs w:val="24"/>
              </w:rPr>
              <w:t xml:space="preserve">em un dabasgāzes infrastruktūras operatoriem. </w:t>
            </w:r>
          </w:p>
        </w:tc>
      </w:tr>
      <w:tr w:rsidR="002D457C" w:rsidRPr="002D457C" w14:paraId="742B11DA" w14:textId="77777777" w:rsidTr="00071810">
        <w:tc>
          <w:tcPr>
            <w:tcW w:w="311" w:type="pct"/>
            <w:hideMark/>
          </w:tcPr>
          <w:p w14:paraId="2AEC494F"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2.</w:t>
            </w:r>
          </w:p>
        </w:tc>
        <w:tc>
          <w:tcPr>
            <w:tcW w:w="1479" w:type="pct"/>
            <w:hideMark/>
          </w:tcPr>
          <w:p w14:paraId="45C51F6F" w14:textId="77777777" w:rsidR="00987784" w:rsidRPr="002D457C" w:rsidRDefault="00987784" w:rsidP="00466D83">
            <w:pPr>
              <w:keepNext/>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Tiesiskā regulējuma ietekme uz tautsaimniecību un administratīvo slogu</w:t>
            </w:r>
          </w:p>
        </w:tc>
        <w:tc>
          <w:tcPr>
            <w:tcW w:w="3210" w:type="pct"/>
            <w:hideMark/>
          </w:tcPr>
          <w:p w14:paraId="3653C6F5" w14:textId="4DD7F180" w:rsidR="00B06107" w:rsidRPr="002D457C" w:rsidRDefault="00113FE4"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Tiesiskais regulējums </w:t>
            </w:r>
            <w:r w:rsidR="00B06107" w:rsidRPr="002D457C">
              <w:rPr>
                <w:rFonts w:ascii="Times New Roman" w:hAnsi="Times New Roman" w:cs="Times New Roman"/>
                <w:sz w:val="24"/>
                <w:szCs w:val="24"/>
              </w:rPr>
              <w:t>ne</w:t>
            </w:r>
            <w:r w:rsidR="00C51CC4" w:rsidRPr="002D457C">
              <w:rPr>
                <w:rFonts w:ascii="Times New Roman" w:hAnsi="Times New Roman" w:cs="Times New Roman"/>
                <w:sz w:val="24"/>
                <w:szCs w:val="24"/>
              </w:rPr>
              <w:t>radīs</w:t>
            </w:r>
            <w:r w:rsidR="00736107" w:rsidRPr="002D457C">
              <w:rPr>
                <w:rFonts w:ascii="Times New Roman" w:hAnsi="Times New Roman" w:cs="Times New Roman"/>
                <w:sz w:val="24"/>
                <w:szCs w:val="24"/>
              </w:rPr>
              <w:t xml:space="preserve"> </w:t>
            </w:r>
            <w:r w:rsidR="00B06107" w:rsidRPr="002D457C">
              <w:rPr>
                <w:rFonts w:ascii="Times New Roman" w:hAnsi="Times New Roman" w:cs="Times New Roman"/>
                <w:sz w:val="24"/>
                <w:szCs w:val="24"/>
              </w:rPr>
              <w:t>negatīvu ietekmi</w:t>
            </w:r>
            <w:r w:rsidRPr="002D457C">
              <w:rPr>
                <w:rFonts w:ascii="Times New Roman" w:hAnsi="Times New Roman" w:cs="Times New Roman"/>
                <w:sz w:val="24"/>
                <w:szCs w:val="24"/>
              </w:rPr>
              <w:t xml:space="preserve"> uz tautsaimniecību</w:t>
            </w:r>
            <w:r w:rsidR="00B06107" w:rsidRPr="002D457C">
              <w:rPr>
                <w:rFonts w:ascii="Times New Roman" w:hAnsi="Times New Roman" w:cs="Times New Roman"/>
                <w:sz w:val="24"/>
                <w:szCs w:val="24"/>
              </w:rPr>
              <w:t xml:space="preserve">, </w:t>
            </w:r>
            <w:r w:rsidR="009E3719" w:rsidRPr="002D457C">
              <w:rPr>
                <w:rFonts w:ascii="Times New Roman" w:hAnsi="Times New Roman" w:cs="Times New Roman"/>
                <w:sz w:val="24"/>
                <w:szCs w:val="24"/>
              </w:rPr>
              <w:t xml:space="preserve">ņemot vērā to, ka nav paredzētas esošās akcīzes nodokļa likmes izmaiņas saspiestai dabasgāzei transportam. </w:t>
            </w:r>
          </w:p>
          <w:p w14:paraId="10A8AB7C" w14:textId="77777777" w:rsidR="00113FE4" w:rsidRPr="002D457C" w:rsidRDefault="00BC4BFB"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Tiesiskais regulējums neietekmēs</w:t>
            </w:r>
            <w:r w:rsidR="003928EB" w:rsidRPr="002D457C">
              <w:rPr>
                <w:rFonts w:ascii="Times New Roman" w:hAnsi="Times New Roman" w:cs="Times New Roman"/>
                <w:sz w:val="24"/>
                <w:szCs w:val="24"/>
              </w:rPr>
              <w:t xml:space="preserve"> negatīvi</w:t>
            </w:r>
            <w:r w:rsidR="00F041A7" w:rsidRPr="002D457C">
              <w:rPr>
                <w:rFonts w:ascii="Times New Roman" w:hAnsi="Times New Roman" w:cs="Times New Roman"/>
                <w:sz w:val="24"/>
                <w:szCs w:val="24"/>
              </w:rPr>
              <w:t xml:space="preserve"> konkurenci.</w:t>
            </w:r>
          </w:p>
          <w:p w14:paraId="31C75C82" w14:textId="77777777" w:rsidR="00F041A7" w:rsidRPr="002D457C" w:rsidRDefault="00F041A7"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Tiesiskais regulējums </w:t>
            </w:r>
            <w:r w:rsidR="003928EB" w:rsidRPr="002D457C">
              <w:rPr>
                <w:rFonts w:ascii="Times New Roman" w:hAnsi="Times New Roman" w:cs="Times New Roman"/>
                <w:sz w:val="24"/>
                <w:szCs w:val="24"/>
              </w:rPr>
              <w:t>pozitīvi ietekmēs</w:t>
            </w:r>
            <w:r w:rsidRPr="002D457C">
              <w:rPr>
                <w:rFonts w:ascii="Times New Roman" w:hAnsi="Times New Roman" w:cs="Times New Roman"/>
                <w:sz w:val="24"/>
                <w:szCs w:val="24"/>
              </w:rPr>
              <w:t xml:space="preserve"> vidi</w:t>
            </w:r>
            <w:r w:rsidR="003928EB" w:rsidRPr="002D457C">
              <w:rPr>
                <w:rFonts w:ascii="Times New Roman" w:hAnsi="Times New Roman" w:cs="Times New Roman"/>
                <w:sz w:val="24"/>
                <w:szCs w:val="24"/>
              </w:rPr>
              <w:t>, jo palielinoties transportlīdzekļu skaitam, kuri izmanto CNG, samazināsies radītās CO</w:t>
            </w:r>
            <w:r w:rsidR="003928EB" w:rsidRPr="002D457C">
              <w:rPr>
                <w:rFonts w:ascii="Times New Roman" w:hAnsi="Times New Roman" w:cs="Times New Roman"/>
                <w:sz w:val="24"/>
                <w:szCs w:val="24"/>
                <w:vertAlign w:val="subscript"/>
              </w:rPr>
              <w:t>2</w:t>
            </w:r>
            <w:r w:rsidR="003928EB" w:rsidRPr="002D457C">
              <w:rPr>
                <w:rFonts w:ascii="Times New Roman" w:hAnsi="Times New Roman" w:cs="Times New Roman"/>
                <w:sz w:val="24"/>
                <w:szCs w:val="24"/>
              </w:rPr>
              <w:t xml:space="preserve"> emisijas</w:t>
            </w:r>
            <w:r w:rsidRPr="002D457C">
              <w:rPr>
                <w:rFonts w:ascii="Times New Roman" w:hAnsi="Times New Roman" w:cs="Times New Roman"/>
                <w:sz w:val="24"/>
                <w:szCs w:val="24"/>
              </w:rPr>
              <w:t>.</w:t>
            </w:r>
          </w:p>
          <w:p w14:paraId="4834C45D" w14:textId="5599FDA8" w:rsidR="00F041A7" w:rsidRPr="002D457C" w:rsidRDefault="00F041A7"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Tiesiskais regulējums neietekmēs veselību</w:t>
            </w:r>
            <w:r w:rsidR="003928EB" w:rsidRPr="002D457C">
              <w:rPr>
                <w:rFonts w:ascii="Times New Roman" w:hAnsi="Times New Roman" w:cs="Times New Roman"/>
                <w:sz w:val="24"/>
                <w:szCs w:val="24"/>
              </w:rPr>
              <w:t xml:space="preserve"> vai ietekmēs to pozitīvi</w:t>
            </w:r>
            <w:r w:rsidR="00736107" w:rsidRPr="002D457C">
              <w:rPr>
                <w:rFonts w:ascii="Times New Roman" w:hAnsi="Times New Roman" w:cs="Times New Roman"/>
                <w:sz w:val="24"/>
                <w:szCs w:val="24"/>
              </w:rPr>
              <w:t>,</w:t>
            </w:r>
            <w:r w:rsidR="003928EB" w:rsidRPr="002D457C">
              <w:rPr>
                <w:rFonts w:ascii="Times New Roman" w:hAnsi="Times New Roman" w:cs="Times New Roman"/>
                <w:sz w:val="24"/>
                <w:szCs w:val="24"/>
              </w:rPr>
              <w:t xml:space="preserve"> uzlabojoties gaisa kvalitātei pilsētās ilgtermiņā</w:t>
            </w:r>
            <w:r w:rsidRPr="002D457C">
              <w:rPr>
                <w:rFonts w:ascii="Times New Roman" w:hAnsi="Times New Roman" w:cs="Times New Roman"/>
                <w:sz w:val="24"/>
                <w:szCs w:val="24"/>
              </w:rPr>
              <w:t>.</w:t>
            </w:r>
          </w:p>
          <w:p w14:paraId="2B5DF529" w14:textId="77777777" w:rsidR="00F041A7" w:rsidRPr="002D457C" w:rsidRDefault="00F041A7"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Tiesiskais regulējums neietekmēs nevalstiskās organizācijas.</w:t>
            </w:r>
          </w:p>
          <w:p w14:paraId="4E92E369" w14:textId="77777777" w:rsidR="00F041A7" w:rsidRPr="002D457C" w:rsidRDefault="00F041A7"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Tiesiskais regulējums </w:t>
            </w:r>
            <w:r w:rsidR="0082272E" w:rsidRPr="002D457C">
              <w:rPr>
                <w:rFonts w:ascii="Times New Roman" w:hAnsi="Times New Roman" w:cs="Times New Roman"/>
                <w:sz w:val="24"/>
                <w:szCs w:val="24"/>
              </w:rPr>
              <w:t>neietekmēs</w:t>
            </w:r>
            <w:r w:rsidRPr="002D457C">
              <w:rPr>
                <w:rFonts w:ascii="Times New Roman" w:hAnsi="Times New Roman" w:cs="Times New Roman"/>
                <w:sz w:val="24"/>
                <w:szCs w:val="24"/>
              </w:rPr>
              <w:t xml:space="preserve"> administratīvo slogu</w:t>
            </w:r>
            <w:r w:rsidR="003928EB" w:rsidRPr="002D457C">
              <w:rPr>
                <w:rFonts w:ascii="Times New Roman" w:hAnsi="Times New Roman" w:cs="Times New Roman"/>
                <w:sz w:val="24"/>
                <w:szCs w:val="24"/>
              </w:rPr>
              <w:t>.</w:t>
            </w:r>
          </w:p>
        </w:tc>
      </w:tr>
      <w:tr w:rsidR="002D457C" w:rsidRPr="002D457C" w14:paraId="24506576" w14:textId="77777777" w:rsidTr="00071810">
        <w:tc>
          <w:tcPr>
            <w:tcW w:w="311" w:type="pct"/>
            <w:hideMark/>
          </w:tcPr>
          <w:p w14:paraId="3358C8D0"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3.</w:t>
            </w:r>
          </w:p>
        </w:tc>
        <w:tc>
          <w:tcPr>
            <w:tcW w:w="1479" w:type="pct"/>
            <w:hideMark/>
          </w:tcPr>
          <w:p w14:paraId="701CADB3" w14:textId="77777777" w:rsidR="00987784" w:rsidRPr="002D457C" w:rsidRDefault="00987784" w:rsidP="00466D83">
            <w:pPr>
              <w:keepNext/>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Administratīvo izmaksu monetārs novērtējums</w:t>
            </w:r>
          </w:p>
        </w:tc>
        <w:tc>
          <w:tcPr>
            <w:tcW w:w="3210" w:type="pct"/>
            <w:hideMark/>
          </w:tcPr>
          <w:p w14:paraId="17409993" w14:textId="3DADBA10" w:rsidR="00987784" w:rsidRPr="002D457C" w:rsidRDefault="0084018B"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Projekts šo jomu neskar.</w:t>
            </w:r>
          </w:p>
        </w:tc>
      </w:tr>
      <w:tr w:rsidR="002D457C" w:rsidRPr="002D457C" w14:paraId="0F9B56AA" w14:textId="77777777" w:rsidTr="00071810">
        <w:tc>
          <w:tcPr>
            <w:tcW w:w="311" w:type="pct"/>
            <w:hideMark/>
          </w:tcPr>
          <w:p w14:paraId="3B51172A"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4.</w:t>
            </w:r>
          </w:p>
        </w:tc>
        <w:tc>
          <w:tcPr>
            <w:tcW w:w="1479" w:type="pct"/>
            <w:hideMark/>
          </w:tcPr>
          <w:p w14:paraId="30F2820C" w14:textId="77777777" w:rsidR="00987784" w:rsidRPr="002D457C" w:rsidRDefault="00987784" w:rsidP="00466D83">
            <w:pPr>
              <w:keepNext/>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Atbilstības izmaksu monetārs novērtējums</w:t>
            </w:r>
          </w:p>
        </w:tc>
        <w:tc>
          <w:tcPr>
            <w:tcW w:w="3210" w:type="pct"/>
            <w:hideMark/>
          </w:tcPr>
          <w:p w14:paraId="6273CD64" w14:textId="2A411424" w:rsidR="00987784" w:rsidRPr="002D457C" w:rsidRDefault="0084018B"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Projekts šo jomu neskar.</w:t>
            </w:r>
          </w:p>
        </w:tc>
      </w:tr>
      <w:tr w:rsidR="00987784" w:rsidRPr="002D457C" w14:paraId="74AE5EB3" w14:textId="77777777" w:rsidTr="00071810">
        <w:tc>
          <w:tcPr>
            <w:tcW w:w="311" w:type="pct"/>
            <w:hideMark/>
          </w:tcPr>
          <w:p w14:paraId="5558695C" w14:textId="77777777" w:rsidR="00987784" w:rsidRPr="002D457C" w:rsidRDefault="00987784" w:rsidP="00466D83">
            <w:pPr>
              <w:keepNext/>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5.</w:t>
            </w:r>
          </w:p>
        </w:tc>
        <w:tc>
          <w:tcPr>
            <w:tcW w:w="1479" w:type="pct"/>
            <w:hideMark/>
          </w:tcPr>
          <w:p w14:paraId="3BCED1B4" w14:textId="77777777" w:rsidR="00987784" w:rsidRPr="002D457C" w:rsidRDefault="00987784" w:rsidP="00466D83">
            <w:pPr>
              <w:keepNext/>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Cita informācija</w:t>
            </w:r>
          </w:p>
        </w:tc>
        <w:tc>
          <w:tcPr>
            <w:tcW w:w="3210" w:type="pct"/>
            <w:hideMark/>
          </w:tcPr>
          <w:p w14:paraId="084FB3B8" w14:textId="03A3DE8A" w:rsidR="00294E3E" w:rsidRPr="002D457C" w:rsidRDefault="000D5A02" w:rsidP="00466D83">
            <w:pPr>
              <w:keepNext/>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Nav</w:t>
            </w:r>
            <w:r w:rsidR="00AC69B4" w:rsidRPr="002D457C">
              <w:rPr>
                <w:rFonts w:ascii="Times New Roman" w:hAnsi="Times New Roman" w:cs="Times New Roman"/>
                <w:sz w:val="24"/>
                <w:szCs w:val="24"/>
              </w:rPr>
              <w:t>.</w:t>
            </w:r>
          </w:p>
        </w:tc>
      </w:tr>
    </w:tbl>
    <w:p w14:paraId="6073F675" w14:textId="77777777" w:rsidR="00EE6343" w:rsidRPr="002D457C" w:rsidRDefault="00EE6343" w:rsidP="00466D83">
      <w:pPr>
        <w:pStyle w:val="Title"/>
        <w:spacing w:before="120" w:after="120"/>
        <w:ind w:firstLine="539"/>
        <w:jc w:val="both"/>
        <w:rPr>
          <w:sz w:val="24"/>
          <w:szCs w:val="24"/>
        </w:rPr>
      </w:pPr>
    </w:p>
    <w:p w14:paraId="5BC2C30A" w14:textId="77777777" w:rsidR="00071810" w:rsidRPr="002D457C" w:rsidRDefault="00071810" w:rsidP="00466D83">
      <w:pPr>
        <w:pStyle w:val="Title"/>
        <w:spacing w:before="120" w:after="120"/>
        <w:ind w:firstLine="539"/>
        <w:jc w:val="both"/>
        <w:rPr>
          <w:sz w:val="24"/>
          <w:szCs w:val="24"/>
        </w:rPr>
      </w:pPr>
    </w:p>
    <w:p w14:paraId="59C13CFC" w14:textId="77777777" w:rsidR="00071810" w:rsidRPr="002D457C" w:rsidRDefault="00071810" w:rsidP="00466D83">
      <w:pPr>
        <w:pStyle w:val="Title"/>
        <w:spacing w:before="120" w:after="120"/>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4"/>
        <w:gridCol w:w="1065"/>
        <w:gridCol w:w="1073"/>
        <w:gridCol w:w="1065"/>
        <w:gridCol w:w="1073"/>
        <w:gridCol w:w="1065"/>
        <w:gridCol w:w="1073"/>
        <w:gridCol w:w="1073"/>
      </w:tblGrid>
      <w:tr w:rsidR="002D457C" w:rsidRPr="002D457C" w14:paraId="6683049E" w14:textId="77777777" w:rsidTr="00C764FD">
        <w:trPr>
          <w:cantSplit/>
        </w:trPr>
        <w:tc>
          <w:tcPr>
            <w:tcW w:w="9061" w:type="dxa"/>
            <w:gridSpan w:val="8"/>
            <w:shd w:val="clear" w:color="auto" w:fill="auto"/>
            <w:vAlign w:val="center"/>
            <w:hideMark/>
          </w:tcPr>
          <w:p w14:paraId="654D6E08"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t>III. Tiesību akta projekta ietekme uz valsts budžetu un pašvaldību budžetiem</w:t>
            </w:r>
          </w:p>
        </w:tc>
      </w:tr>
      <w:tr w:rsidR="002D457C" w:rsidRPr="002D457C" w14:paraId="3A3FC0C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4FA6E"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Rādītāji</w:t>
            </w:r>
          </w:p>
        </w:tc>
        <w:tc>
          <w:tcPr>
            <w:tcW w:w="21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80E8C"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n-gads</w:t>
            </w:r>
          </w:p>
        </w:tc>
        <w:tc>
          <w:tcPr>
            <w:tcW w:w="534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00BB"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Turpmākie trīs gadi (</w:t>
            </w:r>
            <w:r w:rsidRPr="002D457C">
              <w:rPr>
                <w:rFonts w:ascii="Times New Roman" w:eastAsia="Times New Roman" w:hAnsi="Times New Roman" w:cs="Times New Roman"/>
                <w:i/>
                <w:iCs/>
                <w:sz w:val="24"/>
                <w:szCs w:val="24"/>
                <w:lang w:eastAsia="lv-LV"/>
              </w:rPr>
              <w:t>euro</w:t>
            </w:r>
            <w:r w:rsidRPr="002D457C">
              <w:rPr>
                <w:rFonts w:ascii="Times New Roman" w:eastAsia="Times New Roman" w:hAnsi="Times New Roman" w:cs="Times New Roman"/>
                <w:sz w:val="24"/>
                <w:szCs w:val="24"/>
                <w:lang w:eastAsia="lv-LV"/>
              </w:rPr>
              <w:t>)</w:t>
            </w:r>
          </w:p>
        </w:tc>
      </w:tr>
      <w:tr w:rsidR="002D457C" w:rsidRPr="002D457C" w14:paraId="403002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7625"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p>
        </w:tc>
        <w:tc>
          <w:tcPr>
            <w:tcW w:w="21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B2E9A"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79686"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n+1</w:t>
            </w: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65E96"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n+2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40A"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n+3</w:t>
            </w:r>
          </w:p>
        </w:tc>
      </w:tr>
      <w:tr w:rsidR="002D457C" w:rsidRPr="002D457C" w14:paraId="6FB6362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1FC90"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2CF84"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xml:space="preserve">saskaņā ar valsts budžetu </w:t>
            </w:r>
            <w:r w:rsidRPr="002D457C">
              <w:rPr>
                <w:rFonts w:ascii="Times New Roman" w:eastAsia="Times New Roman" w:hAnsi="Times New Roman" w:cs="Times New Roman"/>
                <w:sz w:val="24"/>
                <w:szCs w:val="24"/>
                <w:lang w:eastAsia="lv-LV"/>
              </w:rPr>
              <w:lastRenderedPageBreak/>
              <w:t>kārtējam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FE56E"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izmaiņas kārtējā gadā, salīdzinot </w:t>
            </w:r>
            <w:r w:rsidRPr="002D457C">
              <w:rPr>
                <w:rFonts w:ascii="Times New Roman" w:eastAsia="Times New Roman" w:hAnsi="Times New Roman" w:cs="Times New Roman"/>
                <w:sz w:val="24"/>
                <w:szCs w:val="24"/>
                <w:lang w:eastAsia="lv-LV"/>
              </w:rPr>
              <w:lastRenderedPageBreak/>
              <w:t>ar valsts budžetu kārtējam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4B5"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saskaņā ar vidēja termiņa </w:t>
            </w:r>
            <w:r w:rsidRPr="002D457C">
              <w:rPr>
                <w:rFonts w:ascii="Times New Roman" w:eastAsia="Times New Roman" w:hAnsi="Times New Roman" w:cs="Times New Roman"/>
                <w:sz w:val="24"/>
                <w:szCs w:val="24"/>
                <w:lang w:eastAsia="lv-LV"/>
              </w:rPr>
              <w:lastRenderedPageBreak/>
              <w:t>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152FC"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izmaiņas, salīdzinot ar vidēja termiņa </w:t>
            </w:r>
            <w:r w:rsidRPr="002D457C">
              <w:rPr>
                <w:rFonts w:ascii="Times New Roman" w:eastAsia="Times New Roman" w:hAnsi="Times New Roman" w:cs="Times New Roman"/>
                <w:sz w:val="24"/>
                <w:szCs w:val="24"/>
                <w:lang w:eastAsia="lv-LV"/>
              </w:rPr>
              <w:lastRenderedPageBreak/>
              <w:t>budžeta ietvaru n+1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98895"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saskaņā ar vidēja termiņa </w:t>
            </w:r>
            <w:r w:rsidRPr="002D457C">
              <w:rPr>
                <w:rFonts w:ascii="Times New Roman" w:eastAsia="Times New Roman" w:hAnsi="Times New Roman" w:cs="Times New Roman"/>
                <w:sz w:val="24"/>
                <w:szCs w:val="24"/>
                <w:lang w:eastAsia="lv-LV"/>
              </w:rPr>
              <w:lastRenderedPageBreak/>
              <w:t>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797E"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izmaiņas, salīdzinot ar vidēja termiņa </w:t>
            </w:r>
            <w:r w:rsidRPr="002D457C">
              <w:rPr>
                <w:rFonts w:ascii="Times New Roman" w:eastAsia="Times New Roman" w:hAnsi="Times New Roman" w:cs="Times New Roman"/>
                <w:sz w:val="24"/>
                <w:szCs w:val="24"/>
                <w:lang w:eastAsia="lv-LV"/>
              </w:rPr>
              <w:lastRenderedPageBreak/>
              <w:t>budžeta ietvaru n+2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CDE9"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 xml:space="preserve">izmaiņas, salīdzinot ar vidēja termiņa </w:t>
            </w:r>
            <w:r w:rsidRPr="002D457C">
              <w:rPr>
                <w:rFonts w:ascii="Times New Roman" w:eastAsia="Times New Roman" w:hAnsi="Times New Roman" w:cs="Times New Roman"/>
                <w:sz w:val="24"/>
                <w:szCs w:val="24"/>
                <w:lang w:eastAsia="lv-LV"/>
              </w:rPr>
              <w:lastRenderedPageBreak/>
              <w:t>budžeta ietvaru n+2 gadam</w:t>
            </w:r>
          </w:p>
        </w:tc>
      </w:tr>
      <w:tr w:rsidR="002D457C" w:rsidRPr="002D457C" w14:paraId="11CBB3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DC65"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1</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ED5F3"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29B27"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3</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F2C6"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4</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53F9"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5</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3A38"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6</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C4A1E"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7</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4173A" w14:textId="77777777" w:rsidR="003C0EC2" w:rsidRPr="002D457C" w:rsidRDefault="003C0EC2" w:rsidP="00466D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8</w:t>
            </w:r>
          </w:p>
        </w:tc>
      </w:tr>
      <w:tr w:rsidR="002D457C" w:rsidRPr="002D457C" w14:paraId="22D5FC72"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EB72418"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1. Budžeta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892E" w14:textId="186144FC"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B8918" w14:textId="66A0329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574053" w14:textId="629B898A" w:rsidR="003C0EC2" w:rsidRPr="002D457C" w:rsidRDefault="003C0EC2" w:rsidP="00466D83">
            <w:pPr>
              <w:spacing w:after="0" w:line="240" w:lineRule="auto"/>
              <w:rPr>
                <w:rFonts w:ascii="Times New Roman" w:eastAsia="Times New Roman" w:hAnsi="Times New Roman" w:cs="Times New Roman"/>
                <w:sz w:val="24"/>
                <w:szCs w:val="24"/>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B8B7E" w14:textId="03F86733"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3245D" w14:textId="6B9BD0DD"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6B11E" w14:textId="53A8971C"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5A19D" w14:textId="05B9EB83"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 </w:t>
            </w:r>
          </w:p>
        </w:tc>
      </w:tr>
      <w:tr w:rsidR="002D457C" w:rsidRPr="002D457C" w14:paraId="3B9372D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642775C"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9C503" w14:textId="618B7B0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7CD99" w14:textId="78C2700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72153" w14:textId="2B85BE1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65694" w14:textId="672C16E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350D" w14:textId="09C6981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3D990" w14:textId="4173894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38BD" w14:textId="7247D79A"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hAnsi="Times New Roman" w:cs="Times New Roman"/>
                <w:shd w:val="clear" w:color="auto" w:fill="FFFFFF"/>
              </w:rPr>
              <w:t>nav precīzi aprēķināms</w:t>
            </w:r>
          </w:p>
        </w:tc>
      </w:tr>
      <w:tr w:rsidR="002D457C" w:rsidRPr="002D457C" w14:paraId="5EB186FA"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2A892B2"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1.2.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0772E" w14:textId="2F7BE59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8E23F" w14:textId="3F23923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C701D" w14:textId="52AD494E"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5F196" w14:textId="5CE222CE"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D44B" w14:textId="6A5E212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220E" w14:textId="382A0F8F"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940A2" w14:textId="40A3C49B"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15F595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B941609"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1.3.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E42B7" w14:textId="65BA381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25274" w14:textId="3407872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1FC2B" w14:textId="1FD8BC1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3B0CD" w14:textId="58B548F3"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5E46" w14:textId="3DBC76C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766F0" w14:textId="0224BA36"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4F846" w14:textId="560852E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715694C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97A3987"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2. Budžeta izdevumi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312"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5B7C5"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7A5F5"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673FB"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511"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271B2"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8F4F"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r>
      <w:tr w:rsidR="002D457C" w:rsidRPr="002D457C" w14:paraId="1BCC99E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967049"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2.1.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E59D7" w14:textId="488CA80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96538" w14:textId="5715F6AB"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D068F" w14:textId="00A4E2D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8778" w14:textId="509E9749"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6F99B" w14:textId="6F1EB52B"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A88B" w14:textId="08191C46"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8B24B" w14:textId="465E616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1424EFC8"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338DE4E"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2.2.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51056" w14:textId="2DCB7A3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056FC" w14:textId="721B987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5CDAC" w14:textId="27B5184D"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2E4D" w14:textId="6971FA3E"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D329D" w14:textId="549A062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B876E" w14:textId="33EBA42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4AFF" w14:textId="7205EBD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608F098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80F88A5"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2.3.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A1C9A" w14:textId="6834CE33"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800AF" w14:textId="4CD75E8E"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F1103" w14:textId="7D535A3B"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C9F52" w14:textId="01B971D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D0C1" w14:textId="424FED16"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25ED" w14:textId="0F474B8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4B636" w14:textId="3D282433"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03193F4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A6DB764"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3. Finansiālā ietekme</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16361"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E30DE"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58A12"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E8AB7"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C4E79"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B3014"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4AFA"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r>
      <w:tr w:rsidR="002D457C" w:rsidRPr="002D457C" w14:paraId="23E5B73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A9C3956"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3.1.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09633" w14:textId="1FEE191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EF9F7" w14:textId="66CB1ADA"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877F6" w14:textId="62100A0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EDC53" w14:textId="2C60DBE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752B1" w14:textId="3DC0C7BF"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C116A" w14:textId="63BF381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4E36E" w14:textId="683A8D65"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r>
      <w:tr w:rsidR="002D457C" w:rsidRPr="002D457C" w14:paraId="5B3603EE"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EB2CB64"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3.2.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19251" w14:textId="294F5B5F"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2935" w14:textId="64711E3B"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4B2CB" w14:textId="62A1ABA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BD5BD" w14:textId="6F4306E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36BC8" w14:textId="796D8318"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AB35D" w14:textId="794B1731" w:rsidR="003C0EC2" w:rsidRPr="002D457C" w:rsidRDefault="00411E23"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0</w:t>
            </w:r>
            <w:r w:rsidR="003C0EC2"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00394" w14:textId="50C5AD28" w:rsidR="003C0EC2" w:rsidRPr="002D457C" w:rsidRDefault="00411E23"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0</w:t>
            </w:r>
            <w:r w:rsidR="003C0EC2" w:rsidRPr="002D457C">
              <w:rPr>
                <w:rFonts w:ascii="Times New Roman" w:eastAsia="Times New Roman" w:hAnsi="Times New Roman" w:cs="Times New Roman"/>
                <w:lang w:eastAsia="lv-LV"/>
              </w:rPr>
              <w:t> </w:t>
            </w:r>
          </w:p>
        </w:tc>
      </w:tr>
      <w:tr w:rsidR="002D457C" w:rsidRPr="002D457C" w14:paraId="43F7F51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241A005"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3.3.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C27F" w14:textId="4A90C93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6471" w14:textId="2F83720F"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828E1" w14:textId="60BB7CB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513D0" w14:textId="13AB8AF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5BE65" w14:textId="36FDDD99"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0C7F" w14:textId="442B0A3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3BE0" w14:textId="42333BA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4A4713C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A833360"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B8C" w14:textId="4283D8BF" w:rsidR="003C0EC2" w:rsidRPr="002D457C" w:rsidRDefault="00411E23"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0</w:t>
            </w:r>
            <w:r w:rsidR="003C0EC2"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5C340" w14:textId="571EECE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03C7A" w14:textId="5872573E"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E013" w14:textId="3589C7C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D04E2" w14:textId="01C115FA"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10CA0" w14:textId="6774C9A5"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E0449" w14:textId="0668B722"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1F34B99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3CF6A8E"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lastRenderedPageBreak/>
              <w:t>5. Precizēta finansiālā ietekme</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7D36"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603A"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76238"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FCD52"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4877F"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F02A1"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4BF1F" w14:textId="77777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p>
        </w:tc>
      </w:tr>
      <w:tr w:rsidR="002D457C" w:rsidRPr="002D457C" w14:paraId="1E4F0E2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4BFB715"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5.1. valsts pamatbudžets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F7E71"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27869" w14:textId="2747AF6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394D"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AB0" w14:textId="0B7086ED"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A2939"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C5024" w14:textId="34923019"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4626" w14:textId="385B551D"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r>
      <w:tr w:rsidR="002D457C" w:rsidRPr="002D457C" w14:paraId="57388D6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9DF9D40"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5.2. speciālais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9656"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44546" w14:textId="04204894"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54CA"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B925E" w14:textId="747D646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AD07A"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B83B" w14:textId="51F29FD1"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48D2B" w14:textId="20B0446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0537826B"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F948527"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5.3. pašvaldību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4E482"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F4A08" w14:textId="658D008C"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80A06"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5380F" w14:textId="0981C1C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73EA" w14:textId="77777777" w:rsidR="003C0EC2" w:rsidRPr="002D457C" w:rsidRDefault="003C0EC2" w:rsidP="00466D83">
            <w:pPr>
              <w:spacing w:after="0" w:line="240" w:lineRule="auto"/>
              <w:rPr>
                <w:rFonts w:ascii="Times New Roman" w:eastAsia="Times New Roman" w:hAnsi="Times New Roman" w:cs="Times New Roman"/>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F9C7D" w14:textId="63E9F03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3685D" w14:textId="253D94B0"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0</w:t>
            </w:r>
          </w:p>
        </w:tc>
      </w:tr>
      <w:tr w:rsidR="002D457C" w:rsidRPr="002D457C" w14:paraId="43647A9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D92F30D"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48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30BB2" w14:textId="14EBD777" w:rsidR="003C0EC2" w:rsidRPr="002D457C" w:rsidRDefault="003C0EC2"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 </w:t>
            </w:r>
            <w:r w:rsidR="00411E23" w:rsidRPr="002D457C">
              <w:rPr>
                <w:rFonts w:ascii="Times New Roman" w:eastAsia="Times New Roman" w:hAnsi="Times New Roman" w:cs="Times New Roman"/>
                <w:lang w:eastAsia="lv-LV"/>
              </w:rPr>
              <w:t>nav precīzi aprēķināms</w:t>
            </w:r>
          </w:p>
        </w:tc>
      </w:tr>
      <w:tr w:rsidR="002D457C" w:rsidRPr="002D457C" w14:paraId="633DE18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BECA6C"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6.1. detalizēts ieņēmumu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83820" w14:textId="77777777" w:rsidR="003C0EC2" w:rsidRPr="002D457C" w:rsidRDefault="003C0EC2" w:rsidP="00466D83">
            <w:pPr>
              <w:spacing w:after="0" w:line="240" w:lineRule="auto"/>
              <w:rPr>
                <w:rFonts w:ascii="Times New Roman" w:eastAsia="Times New Roman" w:hAnsi="Times New Roman" w:cs="Times New Roman"/>
                <w:lang w:eastAsia="lv-LV"/>
              </w:rPr>
            </w:pPr>
          </w:p>
        </w:tc>
      </w:tr>
      <w:tr w:rsidR="002D457C" w:rsidRPr="002D457C" w14:paraId="0286397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8016BA4"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6.2. detalizēts izdevumu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B5D47" w14:textId="77777777" w:rsidR="003C0EC2" w:rsidRPr="002D457C" w:rsidRDefault="003C0EC2" w:rsidP="00466D83">
            <w:pPr>
              <w:spacing w:after="0" w:line="240" w:lineRule="auto"/>
              <w:rPr>
                <w:rFonts w:ascii="Times New Roman" w:eastAsia="Times New Roman" w:hAnsi="Times New Roman" w:cs="Times New Roman"/>
                <w:lang w:eastAsia="lv-LV"/>
              </w:rPr>
            </w:pPr>
          </w:p>
        </w:tc>
      </w:tr>
      <w:tr w:rsidR="002D457C" w:rsidRPr="002D457C" w14:paraId="550A201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2569D48"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7. Amata vietu skaita izmaiņas</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03230EB" w14:textId="77777777" w:rsidR="003C0EC2" w:rsidRPr="002D457C" w:rsidRDefault="00240AAE"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0</w:t>
            </w:r>
          </w:p>
          <w:p w14:paraId="7FDCCF50" w14:textId="0416F7EF" w:rsidR="00240AAE" w:rsidRPr="002D457C" w:rsidRDefault="00240AAE" w:rsidP="00466D83">
            <w:pPr>
              <w:spacing w:after="0" w:line="240" w:lineRule="auto"/>
              <w:rPr>
                <w:rFonts w:ascii="Times New Roman" w:eastAsia="Times New Roman" w:hAnsi="Times New Roman" w:cs="Times New Roman"/>
                <w:lang w:eastAsia="lv-LV"/>
              </w:rPr>
            </w:pPr>
          </w:p>
        </w:tc>
      </w:tr>
      <w:tr w:rsidR="002D457C" w:rsidRPr="002D457C" w14:paraId="13040B07"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7D8E63" w14:textId="77777777" w:rsidR="003C0EC2" w:rsidRPr="002D457C" w:rsidRDefault="003C0EC2" w:rsidP="00466D83">
            <w:pPr>
              <w:spacing w:after="0" w:line="240" w:lineRule="auto"/>
              <w:rPr>
                <w:rFonts w:ascii="Times New Roman" w:eastAsia="Times New Roman" w:hAnsi="Times New Roman" w:cs="Times New Roman"/>
                <w:sz w:val="24"/>
                <w:szCs w:val="24"/>
                <w:lang w:eastAsia="lv-LV"/>
              </w:rPr>
            </w:pPr>
            <w:r w:rsidRPr="002D457C">
              <w:rPr>
                <w:rFonts w:ascii="Times New Roman" w:eastAsia="Times New Roman" w:hAnsi="Times New Roman" w:cs="Times New Roman"/>
                <w:sz w:val="24"/>
                <w:szCs w:val="24"/>
                <w:lang w:eastAsia="lv-LV"/>
              </w:rPr>
              <w:t>8. Cita informācija</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99D3044" w14:textId="3B57DD92" w:rsidR="00966E1C" w:rsidRPr="002D457C" w:rsidRDefault="00896CBF" w:rsidP="00466D83">
            <w:pPr>
              <w:spacing w:after="0" w:line="240" w:lineRule="auto"/>
              <w:rPr>
                <w:rFonts w:ascii="Times New Roman" w:eastAsia="Times New Roman" w:hAnsi="Times New Roman" w:cs="Times New Roman"/>
                <w:lang w:eastAsia="lv-LV"/>
              </w:rPr>
            </w:pPr>
            <w:r w:rsidRPr="002D457C">
              <w:rPr>
                <w:rFonts w:ascii="Times New Roman" w:eastAsia="Times New Roman" w:hAnsi="Times New Roman" w:cs="Times New Roman"/>
                <w:lang w:eastAsia="lv-LV"/>
              </w:rPr>
              <w:t>Nav</w:t>
            </w:r>
            <w:r w:rsidR="007978C7" w:rsidRPr="002D457C">
              <w:rPr>
                <w:rFonts w:ascii="Times New Roman" w:eastAsia="Times New Roman" w:hAnsi="Times New Roman" w:cs="Times New Roman"/>
                <w:lang w:eastAsia="lv-LV"/>
              </w:rPr>
              <w:t>.</w:t>
            </w:r>
          </w:p>
          <w:p w14:paraId="74BA907A" w14:textId="77777777" w:rsidR="00966E1C" w:rsidRPr="002D457C" w:rsidRDefault="00966E1C" w:rsidP="00466D83">
            <w:pPr>
              <w:spacing w:after="0" w:line="240" w:lineRule="auto"/>
              <w:rPr>
                <w:rFonts w:ascii="Times New Roman" w:eastAsia="Times New Roman" w:hAnsi="Times New Roman" w:cs="Times New Roman"/>
                <w:lang w:eastAsia="lv-LV"/>
              </w:rPr>
            </w:pPr>
          </w:p>
          <w:p w14:paraId="7455765C" w14:textId="77777777" w:rsidR="00966E1C" w:rsidRPr="002D457C" w:rsidRDefault="00966E1C" w:rsidP="00466D83">
            <w:pPr>
              <w:spacing w:after="0" w:line="240" w:lineRule="auto"/>
              <w:rPr>
                <w:rFonts w:ascii="Times New Roman" w:eastAsia="Times New Roman" w:hAnsi="Times New Roman" w:cs="Times New Roman"/>
                <w:lang w:eastAsia="lv-LV"/>
              </w:rPr>
            </w:pPr>
          </w:p>
          <w:p w14:paraId="6BCC2DC0" w14:textId="4FC82E06" w:rsidR="003C0EC2" w:rsidRPr="002D457C" w:rsidRDefault="003C0EC2" w:rsidP="00466D83">
            <w:pPr>
              <w:spacing w:after="0" w:line="240" w:lineRule="auto"/>
              <w:rPr>
                <w:rFonts w:ascii="Times New Roman" w:eastAsia="Times New Roman" w:hAnsi="Times New Roman" w:cs="Times New Roman"/>
                <w:lang w:eastAsia="lv-LV"/>
              </w:rPr>
            </w:pPr>
          </w:p>
        </w:tc>
      </w:tr>
    </w:tbl>
    <w:p w14:paraId="4C796DDB" w14:textId="290834B9" w:rsidR="00F44F14" w:rsidRDefault="00F44F14" w:rsidP="00466D83">
      <w:pPr>
        <w:spacing w:before="120"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40519B" w14:paraId="5DBEA780" w14:textId="77777777" w:rsidTr="004E3B3C">
        <w:tc>
          <w:tcPr>
            <w:tcW w:w="9061" w:type="dxa"/>
          </w:tcPr>
          <w:p w14:paraId="3D28B543" w14:textId="340CB95F" w:rsidR="0040519B" w:rsidRPr="0040519B" w:rsidRDefault="0040519B" w:rsidP="00466D83">
            <w:pPr>
              <w:spacing w:before="120" w:after="120"/>
              <w:jc w:val="center"/>
              <w:rPr>
                <w:rFonts w:ascii="Times New Roman" w:hAnsi="Times New Roman" w:cs="Times New Roman"/>
                <w:sz w:val="24"/>
                <w:szCs w:val="24"/>
              </w:rPr>
            </w:pPr>
            <w:r w:rsidRPr="0040519B">
              <w:rPr>
                <w:rFonts w:ascii="Times New Roman" w:hAnsi="Times New Roman" w:cs="Times New Roman"/>
                <w:b/>
                <w:bCs/>
                <w:sz w:val="24"/>
                <w:szCs w:val="24"/>
              </w:rPr>
              <w:t>IV. Tiesību akta projekta ietekme uz spēkā esošo tiesību normu sistēmu</w:t>
            </w:r>
          </w:p>
        </w:tc>
      </w:tr>
      <w:tr w:rsidR="005F3786" w14:paraId="1E58DE4E" w14:textId="77777777" w:rsidTr="00ED0665">
        <w:tc>
          <w:tcPr>
            <w:tcW w:w="9061" w:type="dxa"/>
          </w:tcPr>
          <w:p w14:paraId="1155A99E" w14:textId="74A35F38" w:rsidR="005F3786" w:rsidRPr="0040519B" w:rsidRDefault="005F3786" w:rsidP="00466D83">
            <w:pPr>
              <w:spacing w:before="120" w:after="120"/>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3ADB673D" w14:textId="77777777" w:rsidR="0040519B" w:rsidRDefault="0040519B" w:rsidP="00466D83">
      <w:pPr>
        <w:spacing w:before="120"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274"/>
        <w:gridCol w:w="1406"/>
        <w:gridCol w:w="705"/>
        <w:gridCol w:w="2887"/>
        <w:gridCol w:w="2225"/>
      </w:tblGrid>
      <w:tr w:rsidR="002D457C" w:rsidRPr="002D457C" w14:paraId="6DE3A6E3" w14:textId="77777777" w:rsidTr="00BE5A8F">
        <w:trPr>
          <w:cantSplit/>
        </w:trPr>
        <w:tc>
          <w:tcPr>
            <w:tcW w:w="5000" w:type="pct"/>
            <w:gridSpan w:val="6"/>
            <w:vAlign w:val="center"/>
            <w:hideMark/>
          </w:tcPr>
          <w:p w14:paraId="42666955" w14:textId="1CBC5A31"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t>V. Tiesību akta projekta atbilstība Latvijas Republikas starptautiskajām saistībām</w:t>
            </w:r>
          </w:p>
        </w:tc>
      </w:tr>
      <w:tr w:rsidR="002D457C" w:rsidRPr="002D457C" w14:paraId="581DB756" w14:textId="77777777" w:rsidTr="00BE5A8F">
        <w:trPr>
          <w:cantSplit/>
        </w:trPr>
        <w:tc>
          <w:tcPr>
            <w:tcW w:w="311" w:type="pct"/>
            <w:hideMark/>
          </w:tcPr>
          <w:p w14:paraId="51863778"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1.</w:t>
            </w:r>
          </w:p>
        </w:tc>
        <w:tc>
          <w:tcPr>
            <w:tcW w:w="1479" w:type="pct"/>
            <w:gridSpan w:val="2"/>
            <w:hideMark/>
          </w:tcPr>
          <w:p w14:paraId="250ACABD"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Saistības pret Eiropas Savienību</w:t>
            </w:r>
          </w:p>
        </w:tc>
        <w:tc>
          <w:tcPr>
            <w:tcW w:w="3210" w:type="pct"/>
            <w:gridSpan w:val="3"/>
            <w:hideMark/>
          </w:tcPr>
          <w:p w14:paraId="2A108DD4" w14:textId="7E79ED8A" w:rsidR="00987784" w:rsidRPr="002D457C" w:rsidRDefault="00AD689D" w:rsidP="00466D83">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Projekts šo jomu neskar.</w:t>
            </w:r>
          </w:p>
        </w:tc>
      </w:tr>
      <w:tr w:rsidR="002D457C" w:rsidRPr="002D457C" w14:paraId="46BD877F" w14:textId="77777777" w:rsidTr="00BE5A8F">
        <w:trPr>
          <w:cantSplit/>
        </w:trPr>
        <w:tc>
          <w:tcPr>
            <w:tcW w:w="311" w:type="pct"/>
            <w:hideMark/>
          </w:tcPr>
          <w:p w14:paraId="070F365D"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2.</w:t>
            </w:r>
          </w:p>
        </w:tc>
        <w:tc>
          <w:tcPr>
            <w:tcW w:w="1479" w:type="pct"/>
            <w:gridSpan w:val="2"/>
            <w:hideMark/>
          </w:tcPr>
          <w:p w14:paraId="6DA53246"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Citas starptautiskās saistības</w:t>
            </w:r>
          </w:p>
        </w:tc>
        <w:tc>
          <w:tcPr>
            <w:tcW w:w="3210" w:type="pct"/>
            <w:gridSpan w:val="3"/>
            <w:hideMark/>
          </w:tcPr>
          <w:p w14:paraId="758692E0" w14:textId="3E00C1B1" w:rsidR="00987784" w:rsidRPr="002D457C" w:rsidRDefault="00AA543A"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Projekts šo jomu neskar</w:t>
            </w:r>
            <w:r w:rsidR="00A411D8" w:rsidRPr="002D457C">
              <w:rPr>
                <w:rFonts w:ascii="Times New Roman" w:hAnsi="Times New Roman" w:cs="Times New Roman"/>
                <w:sz w:val="24"/>
                <w:szCs w:val="24"/>
              </w:rPr>
              <w:t>.</w:t>
            </w:r>
          </w:p>
        </w:tc>
      </w:tr>
      <w:tr w:rsidR="002D457C" w:rsidRPr="002D457C" w14:paraId="5A297794" w14:textId="77777777" w:rsidTr="00BE5A8F">
        <w:trPr>
          <w:cantSplit/>
        </w:trPr>
        <w:tc>
          <w:tcPr>
            <w:tcW w:w="311" w:type="pct"/>
            <w:hideMark/>
          </w:tcPr>
          <w:p w14:paraId="7003F12B"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lastRenderedPageBreak/>
              <w:t>3.</w:t>
            </w:r>
          </w:p>
        </w:tc>
        <w:tc>
          <w:tcPr>
            <w:tcW w:w="1479" w:type="pct"/>
            <w:gridSpan w:val="2"/>
            <w:hideMark/>
          </w:tcPr>
          <w:p w14:paraId="6247FD40"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Cita informācija</w:t>
            </w:r>
          </w:p>
        </w:tc>
        <w:tc>
          <w:tcPr>
            <w:tcW w:w="3210" w:type="pct"/>
            <w:gridSpan w:val="3"/>
            <w:hideMark/>
          </w:tcPr>
          <w:p w14:paraId="7ECB5930" w14:textId="14A65020" w:rsidR="00987784" w:rsidRPr="002D457C" w:rsidRDefault="0070679C"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Par Eiropas Parlamenta un Padomes 2014.gada 22.oktobra Direktīvas 2014/94/ES par alternatīvo degvielu infrastruktūru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viens no pasākumiem dabasgāzes kā degvielas izmantošanas veicināšanai Latvijā.</w:t>
            </w:r>
          </w:p>
        </w:tc>
      </w:tr>
      <w:tr w:rsidR="002D457C" w:rsidRPr="002D457C" w14:paraId="5BEEF35B" w14:textId="77777777" w:rsidTr="00BE5A8F">
        <w:trPr>
          <w:cantSplit/>
        </w:trPr>
        <w:tc>
          <w:tcPr>
            <w:tcW w:w="5000" w:type="pct"/>
            <w:gridSpan w:val="6"/>
            <w:vAlign w:val="center"/>
            <w:hideMark/>
          </w:tcPr>
          <w:p w14:paraId="03DD4D66"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t>1. tabula</w:t>
            </w:r>
            <w:r w:rsidRPr="002D457C">
              <w:rPr>
                <w:rFonts w:ascii="Times New Roman" w:hAnsi="Times New Roman" w:cs="Times New Roman"/>
                <w:b/>
                <w:bCs/>
                <w:sz w:val="24"/>
                <w:szCs w:val="24"/>
              </w:rPr>
              <w:br/>
              <w:t>Tiesību akta projekta atbilstība ES tiesību aktiem</w:t>
            </w:r>
          </w:p>
        </w:tc>
      </w:tr>
      <w:tr w:rsidR="002D457C" w:rsidRPr="002D457C" w14:paraId="311D3161" w14:textId="77777777" w:rsidTr="005F3786">
        <w:trPr>
          <w:cantSplit/>
        </w:trPr>
        <w:tc>
          <w:tcPr>
            <w:tcW w:w="1014" w:type="pct"/>
            <w:gridSpan w:val="2"/>
            <w:hideMark/>
          </w:tcPr>
          <w:p w14:paraId="78FAD7D3" w14:textId="77777777" w:rsidR="00987784" w:rsidRPr="002D457C" w:rsidRDefault="00D663E6"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Attiecīgā ES tiesību akta datums, numurs un nosaukums</w:t>
            </w:r>
          </w:p>
        </w:tc>
        <w:tc>
          <w:tcPr>
            <w:tcW w:w="3986" w:type="pct"/>
            <w:gridSpan w:val="4"/>
            <w:hideMark/>
          </w:tcPr>
          <w:p w14:paraId="4A36BDD3" w14:textId="48DA10FA" w:rsidR="00987784" w:rsidRPr="002D457C" w:rsidRDefault="004B20E2" w:rsidP="00466D83">
            <w:pPr>
              <w:spacing w:before="120" w:after="120" w:line="240" w:lineRule="auto"/>
              <w:ind w:left="136" w:right="110"/>
              <w:jc w:val="both"/>
              <w:rPr>
                <w:rFonts w:ascii="Times New Roman" w:hAnsi="Times New Roman" w:cs="Times New Roman"/>
                <w:sz w:val="24"/>
                <w:szCs w:val="24"/>
              </w:rPr>
            </w:pPr>
            <w:r w:rsidRPr="002D457C">
              <w:rPr>
                <w:rFonts w:ascii="Times New Roman" w:hAnsi="Times New Roman" w:cs="Times New Roman"/>
                <w:sz w:val="24"/>
                <w:szCs w:val="24"/>
              </w:rPr>
              <w:t>Projekts šo jomu neskar.</w:t>
            </w:r>
          </w:p>
        </w:tc>
      </w:tr>
      <w:tr w:rsidR="002D457C" w:rsidRPr="002D457C" w14:paraId="703FE6D1" w14:textId="77777777" w:rsidTr="005F3786">
        <w:trPr>
          <w:cantSplit/>
        </w:trPr>
        <w:tc>
          <w:tcPr>
            <w:tcW w:w="1014" w:type="pct"/>
            <w:gridSpan w:val="2"/>
            <w:vAlign w:val="center"/>
            <w:hideMark/>
          </w:tcPr>
          <w:p w14:paraId="47FC1507"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A</w:t>
            </w:r>
          </w:p>
        </w:tc>
        <w:tc>
          <w:tcPr>
            <w:tcW w:w="1165" w:type="pct"/>
            <w:gridSpan w:val="2"/>
            <w:vAlign w:val="center"/>
            <w:hideMark/>
          </w:tcPr>
          <w:p w14:paraId="2CBF8FA0"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B</w:t>
            </w:r>
          </w:p>
        </w:tc>
        <w:tc>
          <w:tcPr>
            <w:tcW w:w="1593" w:type="pct"/>
            <w:vAlign w:val="center"/>
            <w:hideMark/>
          </w:tcPr>
          <w:p w14:paraId="4BF5BE0C"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C</w:t>
            </w:r>
          </w:p>
        </w:tc>
        <w:tc>
          <w:tcPr>
            <w:tcW w:w="1228" w:type="pct"/>
            <w:vAlign w:val="center"/>
            <w:hideMark/>
          </w:tcPr>
          <w:p w14:paraId="2D88B2CB"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D</w:t>
            </w:r>
          </w:p>
        </w:tc>
      </w:tr>
      <w:tr w:rsidR="002D457C" w:rsidRPr="002D457C" w14:paraId="1702A719" w14:textId="77777777" w:rsidTr="005F3786">
        <w:trPr>
          <w:cantSplit/>
        </w:trPr>
        <w:tc>
          <w:tcPr>
            <w:tcW w:w="1014" w:type="pct"/>
            <w:gridSpan w:val="2"/>
            <w:hideMark/>
          </w:tcPr>
          <w:p w14:paraId="5E86CE4B"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Attiecīgā ES tiesību akta panta numurs (uzskaitot katru tiesību akta vienību – pantu, daļu, punktu, apakšpunktu)</w:t>
            </w:r>
          </w:p>
        </w:tc>
        <w:tc>
          <w:tcPr>
            <w:tcW w:w="1165" w:type="pct"/>
            <w:gridSpan w:val="2"/>
            <w:hideMark/>
          </w:tcPr>
          <w:p w14:paraId="74A50283"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593" w:type="pct"/>
            <w:hideMark/>
          </w:tcPr>
          <w:p w14:paraId="795E51AC"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Informācija par to, vai šīs tabulas A ailē minētās ES tiesību akta vienības tiek pārņemtas vai ieviestas pilnībā vai daļēji.</w:t>
            </w:r>
            <w:r w:rsidRPr="002D457C">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2D457C">
              <w:rPr>
                <w:rFonts w:ascii="Times New Roman" w:hAnsi="Times New Roman" w:cs="Times New Roman"/>
                <w:sz w:val="24"/>
                <w:szCs w:val="24"/>
              </w:rPr>
              <w:br/>
              <w:t>Norāda institūciju, kas ir atbildīga par šo saistību izpildi pilnībā</w:t>
            </w:r>
          </w:p>
        </w:tc>
        <w:tc>
          <w:tcPr>
            <w:tcW w:w="1228" w:type="pct"/>
            <w:hideMark/>
          </w:tcPr>
          <w:p w14:paraId="32703DE1"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2D457C">
              <w:rPr>
                <w:rFonts w:ascii="Times New Roman" w:hAnsi="Times New Roman" w:cs="Times New Roman"/>
                <w:sz w:val="24"/>
                <w:szCs w:val="24"/>
              </w:rPr>
              <w:br/>
              <w:t>Ja projekts satur stingrākas prasības nekā attiecīgais ES tiesību akts, norāda pamatojumu un samērīgumu.</w:t>
            </w:r>
            <w:r w:rsidRPr="002D457C">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2D457C" w:rsidRPr="002D457C" w14:paraId="56D1878A" w14:textId="77777777" w:rsidTr="005F3786">
        <w:trPr>
          <w:cantSplit/>
        </w:trPr>
        <w:tc>
          <w:tcPr>
            <w:tcW w:w="1014" w:type="pct"/>
            <w:gridSpan w:val="2"/>
          </w:tcPr>
          <w:p w14:paraId="5BD13310" w14:textId="70CA198A" w:rsidR="008324B7" w:rsidRPr="002D457C" w:rsidRDefault="008324B7"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lastRenderedPageBreak/>
              <w:t>Direktīvas 6. panta 7.</w:t>
            </w:r>
            <w:r w:rsidR="0073694D" w:rsidRPr="002D457C">
              <w:rPr>
                <w:rFonts w:ascii="Times New Roman" w:hAnsi="Times New Roman" w:cs="Times New Roman"/>
                <w:sz w:val="24"/>
                <w:szCs w:val="24"/>
              </w:rPr>
              <w:t xml:space="preserve"> un 8. </w:t>
            </w:r>
            <w:r w:rsidRPr="002D457C">
              <w:rPr>
                <w:rFonts w:ascii="Times New Roman" w:hAnsi="Times New Roman" w:cs="Times New Roman"/>
                <w:sz w:val="24"/>
                <w:szCs w:val="24"/>
              </w:rPr>
              <w:t>punkts</w:t>
            </w:r>
          </w:p>
        </w:tc>
        <w:tc>
          <w:tcPr>
            <w:tcW w:w="1165" w:type="pct"/>
            <w:gridSpan w:val="2"/>
          </w:tcPr>
          <w:p w14:paraId="03A0C382" w14:textId="77777777" w:rsidR="008324B7" w:rsidRPr="002D457C" w:rsidRDefault="008324B7" w:rsidP="00466D83">
            <w:pPr>
              <w:spacing w:before="120" w:after="120" w:line="240" w:lineRule="auto"/>
              <w:jc w:val="both"/>
              <w:rPr>
                <w:rFonts w:ascii="Times New Roman" w:hAnsi="Times New Roman" w:cs="Times New Roman"/>
                <w:sz w:val="24"/>
                <w:szCs w:val="24"/>
              </w:rPr>
            </w:pPr>
          </w:p>
        </w:tc>
        <w:tc>
          <w:tcPr>
            <w:tcW w:w="1593" w:type="pct"/>
          </w:tcPr>
          <w:p w14:paraId="49790BC5" w14:textId="2CF31362" w:rsidR="008324B7" w:rsidRPr="002D457C" w:rsidRDefault="0073694D"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Nav pārņemts.</w:t>
            </w:r>
          </w:p>
          <w:p w14:paraId="43C57196" w14:textId="1F4D3DCE" w:rsidR="008324B7" w:rsidRPr="002D457C" w:rsidRDefault="008324B7"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Prasīb</w:t>
            </w:r>
            <w:r w:rsidR="0073694D" w:rsidRPr="002D457C">
              <w:rPr>
                <w:rFonts w:ascii="Times New Roman" w:hAnsi="Times New Roman" w:cs="Times New Roman"/>
                <w:sz w:val="24"/>
                <w:szCs w:val="24"/>
              </w:rPr>
              <w:t xml:space="preserve">u pārņemšanu </w:t>
            </w:r>
            <w:r w:rsidR="00235E37" w:rsidRPr="002D457C">
              <w:rPr>
                <w:rFonts w:ascii="Times New Roman" w:hAnsi="Times New Roman" w:cs="Times New Roman"/>
                <w:sz w:val="24"/>
                <w:szCs w:val="24"/>
              </w:rPr>
              <w:t xml:space="preserve">būtiski </w:t>
            </w:r>
            <w:r w:rsidR="0073694D" w:rsidRPr="002D457C">
              <w:rPr>
                <w:rFonts w:ascii="Times New Roman" w:hAnsi="Times New Roman" w:cs="Times New Roman"/>
                <w:sz w:val="24"/>
                <w:szCs w:val="24"/>
              </w:rPr>
              <w:t xml:space="preserve">veicinās šī </w:t>
            </w:r>
            <w:r w:rsidRPr="002D457C">
              <w:rPr>
                <w:rFonts w:ascii="Times New Roman" w:hAnsi="Times New Roman" w:cs="Times New Roman"/>
                <w:sz w:val="24"/>
                <w:szCs w:val="24"/>
              </w:rPr>
              <w:t>likumprojekt</w:t>
            </w:r>
            <w:r w:rsidR="0073694D" w:rsidRPr="002D457C">
              <w:rPr>
                <w:rFonts w:ascii="Times New Roman" w:hAnsi="Times New Roman" w:cs="Times New Roman"/>
                <w:sz w:val="24"/>
                <w:szCs w:val="24"/>
              </w:rPr>
              <w:t>a</w:t>
            </w:r>
            <w:r w:rsidRPr="002D457C">
              <w:rPr>
                <w:rFonts w:ascii="Times New Roman" w:hAnsi="Times New Roman" w:cs="Times New Roman"/>
                <w:sz w:val="24"/>
                <w:szCs w:val="24"/>
              </w:rPr>
              <w:t xml:space="preserve"> “Grozījum</w:t>
            </w:r>
            <w:r w:rsidR="007F09AC">
              <w:rPr>
                <w:rFonts w:ascii="Times New Roman" w:hAnsi="Times New Roman" w:cs="Times New Roman"/>
                <w:sz w:val="24"/>
                <w:szCs w:val="24"/>
              </w:rPr>
              <w:t>s</w:t>
            </w:r>
            <w:r w:rsidRPr="002D457C">
              <w:rPr>
                <w:rFonts w:ascii="Times New Roman" w:hAnsi="Times New Roman" w:cs="Times New Roman"/>
                <w:sz w:val="24"/>
                <w:szCs w:val="24"/>
              </w:rPr>
              <w:t xml:space="preserve"> likumā „Par akcīzes nodokli””</w:t>
            </w:r>
            <w:r w:rsidR="0073694D" w:rsidRPr="002D457C">
              <w:rPr>
                <w:rFonts w:ascii="Times New Roman" w:hAnsi="Times New Roman" w:cs="Times New Roman"/>
                <w:sz w:val="24"/>
                <w:szCs w:val="24"/>
              </w:rPr>
              <w:t xml:space="preserve"> īstenošana.</w:t>
            </w:r>
          </w:p>
          <w:p w14:paraId="08A36C59" w14:textId="76172329" w:rsidR="008324B7" w:rsidRPr="002D457C" w:rsidRDefault="008324B7"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Atbildīgā Satiksmes ministrija</w:t>
            </w:r>
            <w:r w:rsidR="00A411D8" w:rsidRPr="002D457C">
              <w:rPr>
                <w:rFonts w:ascii="Times New Roman" w:hAnsi="Times New Roman" w:cs="Times New Roman"/>
                <w:sz w:val="24"/>
                <w:szCs w:val="24"/>
              </w:rPr>
              <w:t>.</w:t>
            </w:r>
          </w:p>
        </w:tc>
        <w:tc>
          <w:tcPr>
            <w:tcW w:w="1228" w:type="pct"/>
          </w:tcPr>
          <w:p w14:paraId="0080588B" w14:textId="77777777" w:rsidR="008324B7" w:rsidRPr="002D457C" w:rsidRDefault="008324B7"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Neparedz stingrākas prasības</w:t>
            </w:r>
          </w:p>
        </w:tc>
      </w:tr>
      <w:tr w:rsidR="002D457C" w:rsidRPr="002D457C" w14:paraId="294DB428" w14:textId="77777777" w:rsidTr="005F3786">
        <w:trPr>
          <w:cantSplit/>
        </w:trPr>
        <w:tc>
          <w:tcPr>
            <w:tcW w:w="1014" w:type="pct"/>
            <w:gridSpan w:val="2"/>
            <w:hideMark/>
          </w:tcPr>
          <w:p w14:paraId="3F499812"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986" w:type="pct"/>
            <w:gridSpan w:val="4"/>
            <w:hideMark/>
          </w:tcPr>
          <w:p w14:paraId="055BAECD" w14:textId="70ACE4C9" w:rsidR="00987784" w:rsidRPr="002D457C" w:rsidRDefault="00AA543A" w:rsidP="00466D83">
            <w:pPr>
              <w:spacing w:before="120" w:after="120" w:line="240" w:lineRule="auto"/>
              <w:ind w:firstLine="138"/>
              <w:rPr>
                <w:rFonts w:ascii="Times New Roman" w:hAnsi="Times New Roman" w:cs="Times New Roman"/>
                <w:sz w:val="24"/>
                <w:szCs w:val="24"/>
              </w:rPr>
            </w:pPr>
            <w:r w:rsidRPr="002D457C">
              <w:rPr>
                <w:rFonts w:ascii="Times New Roman" w:eastAsia="Times New Roman" w:hAnsi="Times New Roman" w:cs="Times New Roman"/>
                <w:sz w:val="24"/>
                <w:szCs w:val="24"/>
                <w:lang w:eastAsia="lv-LV"/>
              </w:rPr>
              <w:t>Projekts šo jomu neskar</w:t>
            </w:r>
            <w:r w:rsidR="00A411D8" w:rsidRPr="002D457C">
              <w:rPr>
                <w:rFonts w:ascii="Times New Roman" w:eastAsia="Times New Roman" w:hAnsi="Times New Roman" w:cs="Times New Roman"/>
                <w:sz w:val="24"/>
                <w:szCs w:val="24"/>
                <w:lang w:eastAsia="lv-LV"/>
              </w:rPr>
              <w:t>.</w:t>
            </w:r>
          </w:p>
        </w:tc>
      </w:tr>
      <w:tr w:rsidR="002D457C" w:rsidRPr="002D457C" w14:paraId="4BF05E9E" w14:textId="77777777" w:rsidTr="005F3786">
        <w:trPr>
          <w:cantSplit/>
        </w:trPr>
        <w:tc>
          <w:tcPr>
            <w:tcW w:w="1014" w:type="pct"/>
            <w:gridSpan w:val="2"/>
            <w:hideMark/>
          </w:tcPr>
          <w:p w14:paraId="25053986"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6" w:type="pct"/>
            <w:gridSpan w:val="4"/>
            <w:hideMark/>
          </w:tcPr>
          <w:p w14:paraId="547C9F19" w14:textId="33D1EDD4" w:rsidR="00987784" w:rsidRPr="002D457C" w:rsidRDefault="00AA543A" w:rsidP="00466D83">
            <w:pPr>
              <w:spacing w:before="120" w:after="120" w:line="240" w:lineRule="auto"/>
              <w:ind w:firstLine="138"/>
              <w:jc w:val="both"/>
              <w:rPr>
                <w:rFonts w:ascii="Times New Roman" w:hAnsi="Times New Roman" w:cs="Times New Roman"/>
                <w:sz w:val="24"/>
                <w:szCs w:val="24"/>
              </w:rPr>
            </w:pPr>
            <w:r w:rsidRPr="002D457C">
              <w:rPr>
                <w:rFonts w:ascii="Times New Roman" w:eastAsia="Times New Roman" w:hAnsi="Times New Roman" w:cs="Times New Roman"/>
                <w:sz w:val="24"/>
                <w:szCs w:val="24"/>
                <w:lang w:eastAsia="lv-LV"/>
              </w:rPr>
              <w:t>Projekts šo jomu neskar</w:t>
            </w:r>
            <w:r w:rsidR="00A411D8" w:rsidRPr="002D457C">
              <w:rPr>
                <w:rFonts w:ascii="Times New Roman" w:eastAsia="Times New Roman" w:hAnsi="Times New Roman" w:cs="Times New Roman"/>
                <w:sz w:val="24"/>
                <w:szCs w:val="24"/>
                <w:lang w:eastAsia="lv-LV"/>
              </w:rPr>
              <w:t>.</w:t>
            </w:r>
          </w:p>
        </w:tc>
      </w:tr>
      <w:tr w:rsidR="002D457C" w:rsidRPr="002D457C" w14:paraId="63EEAE82" w14:textId="77777777" w:rsidTr="005F3786">
        <w:trPr>
          <w:cantSplit/>
        </w:trPr>
        <w:tc>
          <w:tcPr>
            <w:tcW w:w="1014" w:type="pct"/>
            <w:gridSpan w:val="2"/>
            <w:hideMark/>
          </w:tcPr>
          <w:p w14:paraId="5F6AB9C0" w14:textId="77777777" w:rsidR="00987784" w:rsidRPr="002D457C" w:rsidRDefault="00987784" w:rsidP="00466D83">
            <w:pPr>
              <w:spacing w:before="120" w:after="120" w:line="240" w:lineRule="auto"/>
              <w:rPr>
                <w:rFonts w:ascii="Times New Roman" w:hAnsi="Times New Roman" w:cs="Times New Roman"/>
                <w:sz w:val="24"/>
                <w:szCs w:val="24"/>
              </w:rPr>
            </w:pPr>
            <w:r w:rsidRPr="002D457C">
              <w:rPr>
                <w:rFonts w:ascii="Times New Roman" w:hAnsi="Times New Roman" w:cs="Times New Roman"/>
                <w:sz w:val="24"/>
                <w:szCs w:val="24"/>
              </w:rPr>
              <w:t>Cita informācija</w:t>
            </w:r>
          </w:p>
        </w:tc>
        <w:tc>
          <w:tcPr>
            <w:tcW w:w="3986" w:type="pct"/>
            <w:gridSpan w:val="4"/>
            <w:hideMark/>
          </w:tcPr>
          <w:p w14:paraId="1C64D93D" w14:textId="5D9AAB07" w:rsidR="00987784" w:rsidRPr="002D457C" w:rsidRDefault="00DF0747" w:rsidP="00466D83">
            <w:pPr>
              <w:spacing w:before="120" w:after="120" w:line="240" w:lineRule="auto"/>
              <w:jc w:val="both"/>
              <w:rPr>
                <w:rFonts w:ascii="Times New Roman" w:hAnsi="Times New Roman" w:cs="Times New Roman"/>
                <w:sz w:val="24"/>
                <w:szCs w:val="24"/>
              </w:rPr>
            </w:pPr>
            <w:r w:rsidRPr="002D457C">
              <w:rPr>
                <w:rFonts w:ascii="Times New Roman" w:eastAsiaTheme="minorEastAsia" w:hAnsi="Times New Roman" w:cs="Times New Roman"/>
                <w:sz w:val="24"/>
                <w:szCs w:val="24"/>
              </w:rPr>
              <w:t>Par Eiropas Parlamenta un Padomes 2014.gada 22.oktobra Direktīvas 2014/94/ES par alternatīvo degvielu infrastruktūru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viens no pasākumiem dabasgāzes kā degvielas izmantošanas veicināšanai Latvijā.</w:t>
            </w:r>
          </w:p>
        </w:tc>
      </w:tr>
      <w:tr w:rsidR="002D457C" w:rsidRPr="002D457C" w14:paraId="432BC71F" w14:textId="77777777" w:rsidTr="00BE5A8F">
        <w:trPr>
          <w:cantSplit/>
        </w:trPr>
        <w:tc>
          <w:tcPr>
            <w:tcW w:w="5000" w:type="pct"/>
            <w:gridSpan w:val="6"/>
            <w:vAlign w:val="center"/>
            <w:hideMark/>
          </w:tcPr>
          <w:p w14:paraId="56A997A7"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lastRenderedPageBreak/>
              <w:t>2. tabula</w:t>
            </w:r>
            <w:r w:rsidRPr="002D457C">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D457C">
              <w:rPr>
                <w:rFonts w:ascii="Times New Roman" w:hAnsi="Times New Roman" w:cs="Times New Roman"/>
                <w:b/>
                <w:bCs/>
                <w:sz w:val="24"/>
                <w:szCs w:val="24"/>
              </w:rPr>
              <w:br/>
              <w:t>Pasākumi šo saistību izpildei</w:t>
            </w:r>
          </w:p>
        </w:tc>
      </w:tr>
      <w:tr w:rsidR="00BE5A8F" w:rsidRPr="002D457C" w14:paraId="1139DD00" w14:textId="77777777" w:rsidTr="00BE5A8F">
        <w:trPr>
          <w:cantSplit/>
        </w:trPr>
        <w:tc>
          <w:tcPr>
            <w:tcW w:w="5000" w:type="pct"/>
            <w:gridSpan w:val="6"/>
          </w:tcPr>
          <w:p w14:paraId="0182C7DB" w14:textId="16F9B160" w:rsidR="00461FEE" w:rsidRPr="002D457C" w:rsidRDefault="00AA543A"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bCs/>
                <w:sz w:val="24"/>
                <w:szCs w:val="24"/>
              </w:rPr>
              <w:t>Projekts šo jomu neskar</w:t>
            </w:r>
            <w:r w:rsidR="00A411D8" w:rsidRPr="002D457C">
              <w:rPr>
                <w:rFonts w:ascii="Times New Roman" w:hAnsi="Times New Roman" w:cs="Times New Roman"/>
                <w:bCs/>
                <w:sz w:val="24"/>
                <w:szCs w:val="24"/>
              </w:rPr>
              <w:t>.</w:t>
            </w:r>
          </w:p>
        </w:tc>
      </w:tr>
    </w:tbl>
    <w:p w14:paraId="73E00491" w14:textId="77777777" w:rsidR="00987784" w:rsidRPr="002D457C" w:rsidRDefault="00987784" w:rsidP="00466D83">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D457C" w:rsidRPr="002D457C" w14:paraId="768BC30A" w14:textId="77777777" w:rsidTr="00EC7DA9">
        <w:trPr>
          <w:cantSplit/>
        </w:trPr>
        <w:tc>
          <w:tcPr>
            <w:tcW w:w="5000" w:type="pct"/>
            <w:gridSpan w:val="3"/>
            <w:vAlign w:val="center"/>
            <w:hideMark/>
          </w:tcPr>
          <w:p w14:paraId="741C2386"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bookmarkStart w:id="3" w:name="_Hlk66460805"/>
            <w:r w:rsidRPr="002D457C">
              <w:rPr>
                <w:rFonts w:ascii="Times New Roman" w:hAnsi="Times New Roman" w:cs="Times New Roman"/>
                <w:b/>
                <w:bCs/>
                <w:sz w:val="24"/>
                <w:szCs w:val="24"/>
              </w:rPr>
              <w:t>VI. Sabiedrības līdzdalība un komunikācijas aktivitātes</w:t>
            </w:r>
          </w:p>
        </w:tc>
      </w:tr>
      <w:tr w:rsidR="002D457C" w:rsidRPr="002D457C" w14:paraId="283004A1" w14:textId="77777777" w:rsidTr="00EC7DA9">
        <w:trPr>
          <w:cantSplit/>
        </w:trPr>
        <w:tc>
          <w:tcPr>
            <w:tcW w:w="311" w:type="pct"/>
            <w:hideMark/>
          </w:tcPr>
          <w:p w14:paraId="6AC63E1B"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1.</w:t>
            </w:r>
          </w:p>
        </w:tc>
        <w:tc>
          <w:tcPr>
            <w:tcW w:w="1479" w:type="pct"/>
            <w:hideMark/>
          </w:tcPr>
          <w:p w14:paraId="52498C2A" w14:textId="77777777" w:rsidR="00987784" w:rsidRPr="002D457C" w:rsidRDefault="00987784"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Plānotās sabiedrības līdzdalības un komunikācijas aktivitātes saistībā ar projektu</w:t>
            </w:r>
          </w:p>
        </w:tc>
        <w:tc>
          <w:tcPr>
            <w:tcW w:w="3210" w:type="pct"/>
            <w:hideMark/>
          </w:tcPr>
          <w:p w14:paraId="6A9318EC" w14:textId="4532A692" w:rsidR="006A44E0" w:rsidRPr="002D457C" w:rsidRDefault="00172DEC"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 xml:space="preserve">Sabiedrības līdzdalība </w:t>
            </w:r>
            <w:r w:rsidR="00EB482E" w:rsidRPr="002D457C">
              <w:rPr>
                <w:rFonts w:ascii="Times New Roman" w:hAnsi="Times New Roman" w:cs="Times New Roman"/>
                <w:sz w:val="24"/>
                <w:szCs w:val="24"/>
              </w:rPr>
              <w:t>ti</w:t>
            </w:r>
            <w:r w:rsidR="00E77E22" w:rsidRPr="002D457C">
              <w:rPr>
                <w:rFonts w:ascii="Times New Roman" w:hAnsi="Times New Roman" w:cs="Times New Roman"/>
                <w:sz w:val="24"/>
                <w:szCs w:val="24"/>
              </w:rPr>
              <w:t>k</w:t>
            </w:r>
            <w:r w:rsidR="007D6751">
              <w:rPr>
                <w:rFonts w:ascii="Times New Roman" w:hAnsi="Times New Roman" w:cs="Times New Roman"/>
                <w:sz w:val="24"/>
                <w:szCs w:val="24"/>
              </w:rPr>
              <w:t>a</w:t>
            </w:r>
            <w:r w:rsidR="00EB482E" w:rsidRPr="002D457C">
              <w:rPr>
                <w:rFonts w:ascii="Times New Roman" w:hAnsi="Times New Roman" w:cs="Times New Roman"/>
                <w:sz w:val="24"/>
                <w:szCs w:val="24"/>
              </w:rPr>
              <w:t xml:space="preserve"> </w:t>
            </w:r>
            <w:r w:rsidRPr="002D457C">
              <w:rPr>
                <w:rFonts w:ascii="Times New Roman" w:hAnsi="Times New Roman" w:cs="Times New Roman"/>
                <w:sz w:val="24"/>
                <w:szCs w:val="24"/>
              </w:rPr>
              <w:t>īstenota saskaņā ar Ministru kabineta 2009. gada 25. augusta noteikumu Nr. 970 “Sabiedrības līdzdalības kārtība attīstības plānošanas procesā” 7.4.</w:t>
            </w:r>
            <w:r w:rsidR="00767E8C">
              <w:rPr>
                <w:rFonts w:ascii="Times New Roman" w:hAnsi="Times New Roman" w:cs="Times New Roman"/>
                <w:sz w:val="24"/>
                <w:szCs w:val="24"/>
              </w:rPr>
              <w:t>1</w:t>
            </w:r>
            <w:r w:rsidRPr="002D457C">
              <w:rPr>
                <w:rFonts w:ascii="Times New Roman" w:hAnsi="Times New Roman" w:cs="Times New Roman"/>
                <w:sz w:val="24"/>
                <w:szCs w:val="24"/>
              </w:rPr>
              <w:t xml:space="preserve"> apakšpunktu</w:t>
            </w:r>
            <w:r w:rsidR="00767E8C">
              <w:rPr>
                <w:rFonts w:ascii="Times New Roman" w:hAnsi="Times New Roman" w:cs="Times New Roman"/>
                <w:sz w:val="24"/>
                <w:szCs w:val="24"/>
              </w:rPr>
              <w:t xml:space="preserve">, </w:t>
            </w:r>
            <w:r w:rsidR="00767E8C" w:rsidRPr="00767E8C">
              <w:rPr>
                <w:rFonts w:ascii="Times New Roman" w:hAnsi="Times New Roman" w:cs="Times New Roman"/>
                <w:sz w:val="24"/>
                <w:szCs w:val="24"/>
              </w:rPr>
              <w:t>sabiedrības pārstāvji tik</w:t>
            </w:r>
            <w:r w:rsidR="00767E8C">
              <w:rPr>
                <w:rFonts w:ascii="Times New Roman" w:hAnsi="Times New Roman" w:cs="Times New Roman"/>
                <w:sz w:val="24"/>
                <w:szCs w:val="24"/>
              </w:rPr>
              <w:t>a</w:t>
            </w:r>
            <w:r w:rsidR="00767E8C" w:rsidRPr="00767E8C">
              <w:rPr>
                <w:rFonts w:ascii="Times New Roman" w:hAnsi="Times New Roman" w:cs="Times New Roman"/>
                <w:sz w:val="24"/>
                <w:szCs w:val="24"/>
              </w:rPr>
              <w:t xml:space="preserve"> aicināti līdzdarboties, rakstiski sniedzot viedokli par </w:t>
            </w:r>
            <w:r w:rsidR="00767E8C">
              <w:rPr>
                <w:rFonts w:ascii="Times New Roman" w:hAnsi="Times New Roman" w:cs="Times New Roman"/>
                <w:sz w:val="24"/>
                <w:szCs w:val="24"/>
              </w:rPr>
              <w:t>likum</w:t>
            </w:r>
            <w:r w:rsidR="00767E8C" w:rsidRPr="00767E8C">
              <w:rPr>
                <w:rFonts w:ascii="Times New Roman" w:hAnsi="Times New Roman" w:cs="Times New Roman"/>
                <w:sz w:val="24"/>
                <w:szCs w:val="24"/>
              </w:rPr>
              <w:t>projektu tā izstrādes stadijā.</w:t>
            </w:r>
          </w:p>
        </w:tc>
      </w:tr>
      <w:tr w:rsidR="002D457C" w:rsidRPr="002D457C" w14:paraId="0347717A" w14:textId="77777777" w:rsidTr="00EC7DA9">
        <w:trPr>
          <w:cantSplit/>
        </w:trPr>
        <w:tc>
          <w:tcPr>
            <w:tcW w:w="311" w:type="pct"/>
            <w:hideMark/>
          </w:tcPr>
          <w:p w14:paraId="552E67BC"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2.</w:t>
            </w:r>
          </w:p>
        </w:tc>
        <w:tc>
          <w:tcPr>
            <w:tcW w:w="1479" w:type="pct"/>
            <w:hideMark/>
          </w:tcPr>
          <w:p w14:paraId="704E6991" w14:textId="77777777" w:rsidR="00987784" w:rsidRPr="002D457C" w:rsidRDefault="00987784"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Sabiedrības līdzdalība projekta izstrādē</w:t>
            </w:r>
          </w:p>
        </w:tc>
        <w:tc>
          <w:tcPr>
            <w:tcW w:w="3210" w:type="pct"/>
            <w:hideMark/>
          </w:tcPr>
          <w:p w14:paraId="0B34CA74" w14:textId="7CC0090C" w:rsidR="00987784" w:rsidRPr="002D457C" w:rsidRDefault="00767E8C" w:rsidP="00466D83">
            <w:pPr>
              <w:spacing w:before="120" w:after="120" w:line="240" w:lineRule="auto"/>
              <w:jc w:val="both"/>
              <w:rPr>
                <w:rFonts w:ascii="Times New Roman" w:hAnsi="Times New Roman" w:cs="Times New Roman"/>
                <w:sz w:val="24"/>
                <w:szCs w:val="24"/>
              </w:rPr>
            </w:pPr>
            <w:r w:rsidRPr="00767E8C">
              <w:rPr>
                <w:rFonts w:ascii="Times New Roman" w:hAnsi="Times New Roman" w:cs="Times New Roman"/>
                <w:sz w:val="24"/>
                <w:szCs w:val="24"/>
              </w:rPr>
              <w:t>Sabiedrībai tik</w:t>
            </w:r>
            <w:r>
              <w:rPr>
                <w:rFonts w:ascii="Times New Roman" w:hAnsi="Times New Roman" w:cs="Times New Roman"/>
                <w:sz w:val="24"/>
                <w:szCs w:val="24"/>
              </w:rPr>
              <w:t>a</w:t>
            </w:r>
            <w:r w:rsidRPr="00767E8C">
              <w:rPr>
                <w:rFonts w:ascii="Times New Roman" w:hAnsi="Times New Roman" w:cs="Times New Roman"/>
                <w:sz w:val="24"/>
                <w:szCs w:val="24"/>
              </w:rPr>
              <w:t xml:space="preserve"> dota iespēja izvērtēt un izteikt viedokli par </w:t>
            </w:r>
            <w:r>
              <w:rPr>
                <w:rFonts w:ascii="Times New Roman" w:hAnsi="Times New Roman" w:cs="Times New Roman"/>
                <w:sz w:val="24"/>
                <w:szCs w:val="24"/>
              </w:rPr>
              <w:t>likum</w:t>
            </w:r>
            <w:r w:rsidRPr="00767E8C">
              <w:rPr>
                <w:rFonts w:ascii="Times New Roman" w:hAnsi="Times New Roman" w:cs="Times New Roman"/>
                <w:sz w:val="24"/>
                <w:szCs w:val="24"/>
              </w:rPr>
              <w:t xml:space="preserve">projektu, kas </w:t>
            </w:r>
            <w:r>
              <w:rPr>
                <w:rFonts w:ascii="Times New Roman" w:hAnsi="Times New Roman" w:cs="Times New Roman"/>
                <w:sz w:val="24"/>
                <w:szCs w:val="24"/>
              </w:rPr>
              <w:t xml:space="preserve">tika </w:t>
            </w:r>
            <w:r w:rsidRPr="00767E8C">
              <w:rPr>
                <w:rFonts w:ascii="Times New Roman" w:hAnsi="Times New Roman" w:cs="Times New Roman"/>
                <w:sz w:val="24"/>
                <w:szCs w:val="24"/>
              </w:rPr>
              <w:t xml:space="preserve">publicēts Ekonomikas ministrijas tīmekļa vietnē </w:t>
            </w:r>
            <w:hyperlink r:id="rId9" w:history="1">
              <w:r w:rsidRPr="00767E8C">
                <w:rPr>
                  <w:rStyle w:val="Hyperlink"/>
                  <w:rFonts w:ascii="Times New Roman" w:hAnsi="Times New Roman" w:cs="Times New Roman"/>
                  <w:sz w:val="24"/>
                  <w:szCs w:val="24"/>
                </w:rPr>
                <w:t>https://www.em.gov.lv/lv/diskusiju-dokumenti</w:t>
              </w:r>
            </w:hyperlink>
            <w:r w:rsidRPr="00767E8C">
              <w:rPr>
                <w:rFonts w:ascii="Times New Roman" w:hAnsi="Times New Roman" w:cs="Times New Roman"/>
                <w:sz w:val="24"/>
                <w:szCs w:val="24"/>
              </w:rPr>
              <w:t xml:space="preserve"> un Valsts kancelejas tīmekļa vietnē </w:t>
            </w:r>
            <w:hyperlink r:id="rId10" w:history="1">
              <w:r w:rsidRPr="00767E8C">
                <w:rPr>
                  <w:rStyle w:val="Hyperlink"/>
                  <w:rFonts w:ascii="Times New Roman" w:hAnsi="Times New Roman" w:cs="Times New Roman"/>
                  <w:sz w:val="24"/>
                  <w:szCs w:val="24"/>
                </w:rPr>
                <w:t>https://www.mk.gov.lv/lv/ministru-kabineta-diskusiju-dokumenti</w:t>
              </w:r>
            </w:hyperlink>
            <w:r w:rsidRPr="00767E8C">
              <w:rPr>
                <w:rFonts w:ascii="Times New Roman" w:hAnsi="Times New Roman" w:cs="Times New Roman"/>
                <w:sz w:val="24"/>
                <w:szCs w:val="24"/>
              </w:rPr>
              <w:t xml:space="preserve"> divu nedēļu sabiedriskajai apspriešanai.</w:t>
            </w:r>
          </w:p>
        </w:tc>
      </w:tr>
      <w:tr w:rsidR="002D457C" w:rsidRPr="002D457C" w14:paraId="057B04BC" w14:textId="77777777" w:rsidTr="00EC7DA9">
        <w:trPr>
          <w:cantSplit/>
        </w:trPr>
        <w:tc>
          <w:tcPr>
            <w:tcW w:w="311" w:type="pct"/>
            <w:hideMark/>
          </w:tcPr>
          <w:p w14:paraId="66D904AC"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3.</w:t>
            </w:r>
          </w:p>
        </w:tc>
        <w:tc>
          <w:tcPr>
            <w:tcW w:w="1479" w:type="pct"/>
            <w:hideMark/>
          </w:tcPr>
          <w:p w14:paraId="2E9532E6" w14:textId="77777777" w:rsidR="00987784" w:rsidRPr="002D457C" w:rsidRDefault="00987784"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Sabiedrības līdzdalības rezultāti</w:t>
            </w:r>
          </w:p>
        </w:tc>
        <w:tc>
          <w:tcPr>
            <w:tcW w:w="3210" w:type="pct"/>
            <w:hideMark/>
          </w:tcPr>
          <w:p w14:paraId="02BCFAB3" w14:textId="118B298F" w:rsidR="009A2B0D" w:rsidRDefault="00767E8C" w:rsidP="00466D83">
            <w:pPr>
              <w:spacing w:line="240" w:lineRule="auto"/>
              <w:jc w:val="both"/>
            </w:pPr>
            <w:r>
              <w:rPr>
                <w:rFonts w:ascii="Times New Roman" w:eastAsia="Times New Roman" w:hAnsi="Times New Roman"/>
                <w:iCs/>
                <w:sz w:val="24"/>
                <w:szCs w:val="24"/>
                <w:lang w:eastAsia="lv-LV"/>
              </w:rPr>
              <w:t xml:space="preserve">Sabiedriskās apspriešanas ietvaros </w:t>
            </w:r>
            <w:r w:rsidR="0020083D">
              <w:rPr>
                <w:rFonts w:ascii="Times New Roman" w:eastAsia="Times New Roman" w:hAnsi="Times New Roman"/>
                <w:iCs/>
                <w:sz w:val="24"/>
                <w:szCs w:val="24"/>
                <w:lang w:eastAsia="lv-LV"/>
              </w:rPr>
              <w:t>viedokļi netika saņemti.</w:t>
            </w:r>
            <w:r w:rsidR="00D466B6" w:rsidRPr="002D457C">
              <w:rPr>
                <w:rFonts w:ascii="Times New Roman" w:hAnsi="Times New Roman" w:cs="Times New Roman"/>
                <w:sz w:val="24"/>
                <w:szCs w:val="24"/>
              </w:rPr>
              <w:t xml:space="preserve"> </w:t>
            </w:r>
            <w:r w:rsidR="00E66891">
              <w:rPr>
                <w:rFonts w:ascii="Times New Roman" w:hAnsi="Times New Roman" w:cs="Times New Roman"/>
                <w:sz w:val="24"/>
                <w:szCs w:val="24"/>
              </w:rPr>
              <w:t xml:space="preserve">Valsts sekretāru sanāksmē izsludinātās saskaņošanas ietvaros papildus saskaņojums saņemts no Latvijas brīvo arodbiedrību savienības un Latvijas darba devēju konfederācijas. Iebildumi par akcīzes nodokļa samazinājumu dabasgāzei, ko izmanto transportam, saņemti no </w:t>
            </w:r>
            <w:r w:rsidR="009A2B0D">
              <w:rPr>
                <w:rFonts w:ascii="Times New Roman" w:hAnsi="Times New Roman" w:cs="Times New Roman"/>
                <w:sz w:val="24"/>
                <w:szCs w:val="24"/>
              </w:rPr>
              <w:t>Latvijas Biodegvielu un bioenerģijas asociācijas.</w:t>
            </w:r>
            <w:r w:rsidR="009A2B0D">
              <w:t xml:space="preserve"> </w:t>
            </w:r>
          </w:p>
          <w:p w14:paraId="2CCE6810" w14:textId="26EA6398" w:rsidR="00987784" w:rsidRPr="002D457C" w:rsidRDefault="00987784" w:rsidP="00466D83">
            <w:pPr>
              <w:spacing w:before="120" w:after="120" w:line="240" w:lineRule="auto"/>
              <w:jc w:val="both"/>
              <w:rPr>
                <w:rFonts w:ascii="Times New Roman" w:hAnsi="Times New Roman" w:cs="Times New Roman"/>
                <w:sz w:val="24"/>
                <w:szCs w:val="24"/>
              </w:rPr>
            </w:pPr>
          </w:p>
        </w:tc>
      </w:tr>
      <w:tr w:rsidR="00B6105A" w:rsidRPr="002D457C" w14:paraId="07B8EFA7" w14:textId="77777777" w:rsidTr="00EC7DA9">
        <w:trPr>
          <w:cantSplit/>
        </w:trPr>
        <w:tc>
          <w:tcPr>
            <w:tcW w:w="311" w:type="pct"/>
            <w:hideMark/>
          </w:tcPr>
          <w:p w14:paraId="5B714862" w14:textId="77777777" w:rsidR="00987784" w:rsidRPr="002D457C" w:rsidRDefault="00987784" w:rsidP="00466D83">
            <w:pPr>
              <w:spacing w:before="120" w:after="120" w:line="240" w:lineRule="auto"/>
              <w:jc w:val="center"/>
              <w:rPr>
                <w:rFonts w:ascii="Times New Roman" w:hAnsi="Times New Roman" w:cs="Times New Roman"/>
                <w:sz w:val="24"/>
                <w:szCs w:val="24"/>
              </w:rPr>
            </w:pPr>
            <w:r w:rsidRPr="002D457C">
              <w:rPr>
                <w:rFonts w:ascii="Times New Roman" w:hAnsi="Times New Roman" w:cs="Times New Roman"/>
                <w:sz w:val="24"/>
                <w:szCs w:val="24"/>
              </w:rPr>
              <w:t>4.</w:t>
            </w:r>
          </w:p>
        </w:tc>
        <w:tc>
          <w:tcPr>
            <w:tcW w:w="1479" w:type="pct"/>
            <w:hideMark/>
          </w:tcPr>
          <w:p w14:paraId="23F2B843" w14:textId="77777777" w:rsidR="00987784" w:rsidRPr="002D457C" w:rsidRDefault="00987784" w:rsidP="00466D83">
            <w:pPr>
              <w:spacing w:before="120" w:after="120" w:line="240" w:lineRule="auto"/>
              <w:jc w:val="both"/>
              <w:rPr>
                <w:rFonts w:ascii="Times New Roman" w:hAnsi="Times New Roman" w:cs="Times New Roman"/>
                <w:sz w:val="24"/>
                <w:szCs w:val="24"/>
              </w:rPr>
            </w:pPr>
            <w:r w:rsidRPr="002D457C">
              <w:rPr>
                <w:rFonts w:ascii="Times New Roman" w:hAnsi="Times New Roman" w:cs="Times New Roman"/>
                <w:sz w:val="24"/>
                <w:szCs w:val="24"/>
              </w:rPr>
              <w:t>Cita informācija</w:t>
            </w:r>
          </w:p>
        </w:tc>
        <w:tc>
          <w:tcPr>
            <w:tcW w:w="3210" w:type="pct"/>
            <w:hideMark/>
          </w:tcPr>
          <w:p w14:paraId="3193A1F5" w14:textId="6B0FC16D" w:rsidR="00987784" w:rsidRPr="002D457C" w:rsidRDefault="00E24946" w:rsidP="00466D83">
            <w:pPr>
              <w:spacing w:before="120" w:after="120" w:line="240" w:lineRule="auto"/>
              <w:ind w:firstLine="128"/>
              <w:rPr>
                <w:rFonts w:ascii="Times New Roman" w:hAnsi="Times New Roman" w:cs="Times New Roman"/>
                <w:sz w:val="24"/>
                <w:szCs w:val="24"/>
              </w:rPr>
            </w:pPr>
            <w:r w:rsidRPr="002D457C">
              <w:rPr>
                <w:rFonts w:ascii="Times New Roman" w:hAnsi="Times New Roman" w:cs="Times New Roman"/>
                <w:sz w:val="24"/>
                <w:szCs w:val="24"/>
              </w:rPr>
              <w:t>Nav.</w:t>
            </w:r>
          </w:p>
        </w:tc>
      </w:tr>
      <w:bookmarkEnd w:id="3"/>
    </w:tbl>
    <w:p w14:paraId="5CCE7D42" w14:textId="77777777" w:rsidR="00987784" w:rsidRPr="002D457C" w:rsidRDefault="00987784" w:rsidP="00466D83">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695"/>
        <w:gridCol w:w="5804"/>
      </w:tblGrid>
      <w:tr w:rsidR="002D457C" w:rsidRPr="002D457C" w14:paraId="6780FF1A" w14:textId="77777777" w:rsidTr="00EC7DA9">
        <w:trPr>
          <w:cantSplit/>
        </w:trPr>
        <w:tc>
          <w:tcPr>
            <w:tcW w:w="5000" w:type="pct"/>
            <w:gridSpan w:val="3"/>
            <w:vAlign w:val="center"/>
            <w:hideMark/>
          </w:tcPr>
          <w:p w14:paraId="78A83187" w14:textId="77777777" w:rsidR="00987784" w:rsidRPr="002D457C" w:rsidRDefault="00987784" w:rsidP="00466D83">
            <w:pPr>
              <w:spacing w:before="120" w:after="120" w:line="240" w:lineRule="auto"/>
              <w:jc w:val="center"/>
              <w:rPr>
                <w:rFonts w:ascii="Times New Roman" w:hAnsi="Times New Roman" w:cs="Times New Roman"/>
                <w:b/>
                <w:bCs/>
                <w:sz w:val="24"/>
                <w:szCs w:val="24"/>
              </w:rPr>
            </w:pPr>
            <w:r w:rsidRPr="002D457C">
              <w:rPr>
                <w:rFonts w:ascii="Times New Roman" w:hAnsi="Times New Roman" w:cs="Times New Roman"/>
                <w:b/>
                <w:bCs/>
                <w:sz w:val="24"/>
                <w:szCs w:val="24"/>
              </w:rPr>
              <w:t>VII. Tiesību akta projekta izpildes nodrošināšana un tās ietekme uz institūcijām</w:t>
            </w:r>
          </w:p>
        </w:tc>
      </w:tr>
      <w:tr w:rsidR="007D6751" w:rsidRPr="002D457C" w14:paraId="31AFF28D" w14:textId="77777777" w:rsidTr="007D6751">
        <w:trPr>
          <w:cantSplit/>
          <w:trHeight w:val="485"/>
        </w:trPr>
        <w:tc>
          <w:tcPr>
            <w:tcW w:w="310" w:type="pct"/>
          </w:tcPr>
          <w:p w14:paraId="0F88FD8A" w14:textId="26BF0A55"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 1.</w:t>
            </w:r>
          </w:p>
        </w:tc>
        <w:tc>
          <w:tcPr>
            <w:tcW w:w="1487" w:type="pct"/>
          </w:tcPr>
          <w:p w14:paraId="15735720" w14:textId="09FC3892"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Projekta izpildē iesaistītās institūcijas</w:t>
            </w:r>
          </w:p>
        </w:tc>
        <w:tc>
          <w:tcPr>
            <w:tcW w:w="3203" w:type="pct"/>
          </w:tcPr>
          <w:p w14:paraId="5AC77A69" w14:textId="431410CF"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Dabasgāzes</w:t>
            </w:r>
            <w:r w:rsidR="00767E8C">
              <w:rPr>
                <w:rFonts w:ascii="Times New Roman" w:hAnsi="Times New Roman" w:cs="Times New Roman"/>
                <w:sz w:val="24"/>
                <w:szCs w:val="24"/>
              </w:rPr>
              <w:t>, ko izmanto transportam, komersanti, Valsts ieņēmumu dienests</w:t>
            </w:r>
          </w:p>
        </w:tc>
      </w:tr>
      <w:tr w:rsidR="007D6751" w:rsidRPr="002D457C" w14:paraId="4E0680D6" w14:textId="77777777" w:rsidTr="007D6751">
        <w:trPr>
          <w:cantSplit/>
          <w:trHeight w:val="485"/>
        </w:trPr>
        <w:tc>
          <w:tcPr>
            <w:tcW w:w="310" w:type="pct"/>
          </w:tcPr>
          <w:p w14:paraId="597854E0" w14:textId="6F78198F"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lastRenderedPageBreak/>
              <w:t> 2.</w:t>
            </w:r>
          </w:p>
        </w:tc>
        <w:tc>
          <w:tcPr>
            <w:tcW w:w="1487" w:type="pct"/>
          </w:tcPr>
          <w:p w14:paraId="785D09A9" w14:textId="6D7976C9"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 Projekta izpildes ietekme uz pārvaldes funkcijām un institucionālo struktūru. Jaunu institūciju izveide, esošu institūciju likvidācija vai reorganizācija, to ietekme uz institūcijas cilvēkresursiem</w:t>
            </w:r>
          </w:p>
        </w:tc>
        <w:tc>
          <w:tcPr>
            <w:tcW w:w="3203" w:type="pct"/>
          </w:tcPr>
          <w:p w14:paraId="39FA2FBF" w14:textId="0DC03126" w:rsidR="007D6751" w:rsidRPr="007D6751" w:rsidRDefault="00767E8C" w:rsidP="00466D83">
            <w:pPr>
              <w:spacing w:line="240" w:lineRule="auto"/>
              <w:jc w:val="both"/>
              <w:rPr>
                <w:rFonts w:ascii="Times New Roman" w:hAnsi="Times New Roman" w:cs="Times New Roman"/>
                <w:sz w:val="24"/>
                <w:szCs w:val="24"/>
              </w:rPr>
            </w:pPr>
            <w:r>
              <w:rPr>
                <w:rFonts w:ascii="Times New Roman" w:hAnsi="Times New Roman" w:cs="Times New Roman"/>
                <w:sz w:val="24"/>
                <w:szCs w:val="24"/>
              </w:rPr>
              <w:t>Likum</w:t>
            </w:r>
            <w:r w:rsidR="007D6751" w:rsidRPr="007D6751">
              <w:rPr>
                <w:rFonts w:ascii="Times New Roman" w:hAnsi="Times New Roman" w:cs="Times New Roman"/>
                <w:sz w:val="24"/>
                <w:szCs w:val="24"/>
              </w:rPr>
              <w:t xml:space="preserve">projekta izpilde neietekmēs pārvaldes funkcijas, kā arī nav nepieciešama jaunu institūciju izveide, esošo institūciju likvidācija vai reorganizācija. Tāpat arī </w:t>
            </w:r>
            <w:r>
              <w:rPr>
                <w:rFonts w:ascii="Times New Roman" w:hAnsi="Times New Roman" w:cs="Times New Roman"/>
                <w:sz w:val="24"/>
                <w:szCs w:val="24"/>
              </w:rPr>
              <w:t>likum</w:t>
            </w:r>
            <w:r w:rsidR="007D6751" w:rsidRPr="007D6751">
              <w:rPr>
                <w:rFonts w:ascii="Times New Roman" w:hAnsi="Times New Roman" w:cs="Times New Roman"/>
                <w:sz w:val="24"/>
                <w:szCs w:val="24"/>
              </w:rPr>
              <w:t>projekta izpilde tiks nodrošināta esošo cilvēkresursu un finanšu līdzekļu ietvaros.</w:t>
            </w:r>
          </w:p>
        </w:tc>
      </w:tr>
      <w:tr w:rsidR="007D6751" w:rsidRPr="002D457C" w14:paraId="35F69908" w14:textId="77777777" w:rsidTr="007D6751">
        <w:trPr>
          <w:cantSplit/>
          <w:trHeight w:val="485"/>
        </w:trPr>
        <w:tc>
          <w:tcPr>
            <w:tcW w:w="310" w:type="pct"/>
          </w:tcPr>
          <w:p w14:paraId="557E5380" w14:textId="09CCD15B"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 3.</w:t>
            </w:r>
          </w:p>
        </w:tc>
        <w:tc>
          <w:tcPr>
            <w:tcW w:w="1487" w:type="pct"/>
          </w:tcPr>
          <w:p w14:paraId="6A563E9F" w14:textId="11884590"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 Cita informācija</w:t>
            </w:r>
          </w:p>
        </w:tc>
        <w:tc>
          <w:tcPr>
            <w:tcW w:w="3203" w:type="pct"/>
          </w:tcPr>
          <w:p w14:paraId="6A897266" w14:textId="33E14CF3" w:rsidR="007D6751" w:rsidRPr="007D6751" w:rsidRDefault="007D6751" w:rsidP="00466D83">
            <w:pPr>
              <w:spacing w:line="240" w:lineRule="auto"/>
              <w:jc w:val="both"/>
              <w:rPr>
                <w:rFonts w:ascii="Times New Roman" w:hAnsi="Times New Roman" w:cs="Times New Roman"/>
                <w:sz w:val="24"/>
                <w:szCs w:val="24"/>
              </w:rPr>
            </w:pPr>
            <w:r w:rsidRPr="007D6751">
              <w:rPr>
                <w:rFonts w:ascii="Times New Roman" w:hAnsi="Times New Roman" w:cs="Times New Roman"/>
                <w:sz w:val="24"/>
                <w:szCs w:val="24"/>
              </w:rPr>
              <w:t>Nav</w:t>
            </w:r>
          </w:p>
        </w:tc>
      </w:tr>
    </w:tbl>
    <w:p w14:paraId="1195D01E" w14:textId="77777777" w:rsidR="00B6105A" w:rsidRPr="002D457C" w:rsidRDefault="00B6105A" w:rsidP="00466D83">
      <w:pPr>
        <w:spacing w:before="120" w:after="120" w:line="240" w:lineRule="auto"/>
        <w:rPr>
          <w:rFonts w:ascii="Times New Roman" w:hAnsi="Times New Roman" w:cs="Times New Roman"/>
          <w:sz w:val="24"/>
          <w:szCs w:val="24"/>
        </w:rPr>
      </w:pPr>
    </w:p>
    <w:p w14:paraId="0B309586" w14:textId="77777777" w:rsidR="007067A9" w:rsidRDefault="007067A9" w:rsidP="007067A9">
      <w:pPr>
        <w:spacing w:after="0" w:line="240" w:lineRule="auto"/>
        <w:jc w:val="both"/>
        <w:rPr>
          <w:rFonts w:ascii="Times New Roman" w:eastAsia="Times New Roman" w:hAnsi="Times New Roman" w:cs="Times New Roman"/>
          <w:color w:val="333333"/>
          <w:sz w:val="28"/>
          <w:szCs w:val="20"/>
          <w:lang w:eastAsia="en-GB"/>
        </w:rPr>
      </w:pPr>
    </w:p>
    <w:p w14:paraId="014E414A" w14:textId="60225127" w:rsidR="001924CB" w:rsidRPr="002D457C" w:rsidRDefault="00804C76" w:rsidP="007067A9">
      <w:pPr>
        <w:spacing w:after="0" w:line="240" w:lineRule="auto"/>
        <w:rPr>
          <w:rFonts w:ascii="Times New Roman" w:hAnsi="Times New Roman" w:cs="Times New Roman"/>
          <w:sz w:val="26"/>
          <w:szCs w:val="26"/>
        </w:rPr>
      </w:pPr>
      <w:r>
        <w:rPr>
          <w:rFonts w:ascii="Times New Roman" w:hAnsi="Times New Roman" w:cs="Times New Roman"/>
          <w:sz w:val="26"/>
          <w:szCs w:val="26"/>
        </w:rPr>
        <w:t>Ekonomikas ministrs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4" w:name="_GoBack"/>
      <w:bookmarkEnd w:id="4"/>
      <w:r>
        <w:rPr>
          <w:rFonts w:ascii="Times New Roman" w:hAnsi="Times New Roman" w:cs="Times New Roman"/>
          <w:sz w:val="26"/>
          <w:szCs w:val="26"/>
        </w:rPr>
        <w:t>J.Vitenbergs</w:t>
      </w:r>
    </w:p>
    <w:sectPr w:rsidR="001924CB" w:rsidRPr="002D457C" w:rsidSect="0040519B">
      <w:head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AD487" w14:textId="77777777" w:rsidR="00C83824" w:rsidRDefault="00C83824" w:rsidP="00C15CEE">
      <w:pPr>
        <w:spacing w:after="0" w:line="240" w:lineRule="auto"/>
      </w:pPr>
      <w:r>
        <w:separator/>
      </w:r>
    </w:p>
  </w:endnote>
  <w:endnote w:type="continuationSeparator" w:id="0">
    <w:p w14:paraId="620DD36D" w14:textId="77777777" w:rsidR="00C83824" w:rsidRDefault="00C83824" w:rsidP="00C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3BFF" w14:textId="01EAB0EF" w:rsidR="00EC7DA9" w:rsidRPr="001C67BA" w:rsidRDefault="00EC7DA9">
    <w:pPr>
      <w:pStyle w:val="Footer"/>
      <w:rPr>
        <w:rFonts w:ascii="Times New Roman" w:hAnsi="Times New Roman" w:cs="Times New Roman"/>
        <w:sz w:val="20"/>
        <w:szCs w:val="20"/>
      </w:rPr>
    </w:pPr>
  </w:p>
  <w:p w14:paraId="0B86B414" w14:textId="66041CFE" w:rsidR="00EC7DA9" w:rsidRDefault="00EC7DA9">
    <w:pPr>
      <w:pStyle w:val="Footer"/>
    </w:pPr>
  </w:p>
  <w:p w14:paraId="46D92F83" w14:textId="77777777" w:rsidR="00EC7DA9" w:rsidRDefault="00EC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1A26" w14:textId="77777777" w:rsidR="00C83824" w:rsidRDefault="00C83824" w:rsidP="00C15CEE">
      <w:pPr>
        <w:spacing w:after="0" w:line="240" w:lineRule="auto"/>
      </w:pPr>
      <w:r>
        <w:separator/>
      </w:r>
    </w:p>
  </w:footnote>
  <w:footnote w:type="continuationSeparator" w:id="0">
    <w:p w14:paraId="19E43556" w14:textId="77777777" w:rsidR="00C83824" w:rsidRDefault="00C83824" w:rsidP="00C1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94496"/>
      <w:docPartObj>
        <w:docPartGallery w:val="Page Numbers (Top of Page)"/>
        <w:docPartUnique/>
      </w:docPartObj>
    </w:sdtPr>
    <w:sdtEndPr>
      <w:rPr>
        <w:noProof/>
      </w:rPr>
    </w:sdtEndPr>
    <w:sdtContent>
      <w:p w14:paraId="20D6F91A" w14:textId="2E966F30" w:rsidR="00EC7DA9" w:rsidRDefault="00EC7DA9">
        <w:pPr>
          <w:pStyle w:val="Header"/>
          <w:jc w:val="center"/>
        </w:pPr>
        <w:r>
          <w:fldChar w:fldCharType="begin"/>
        </w:r>
        <w:r>
          <w:instrText xml:space="preserve"> PAGE   \* MERGEFORMAT </w:instrText>
        </w:r>
        <w:r>
          <w:fldChar w:fldCharType="separate"/>
        </w:r>
        <w:r w:rsidR="00804C76">
          <w:rPr>
            <w:noProof/>
          </w:rPr>
          <w:t>12</w:t>
        </w:r>
        <w:r>
          <w:rPr>
            <w:noProof/>
          </w:rPr>
          <w:fldChar w:fldCharType="end"/>
        </w:r>
      </w:p>
    </w:sdtContent>
  </w:sdt>
  <w:p w14:paraId="008CF0EA" w14:textId="77777777" w:rsidR="00EC7DA9" w:rsidRDefault="00EC7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2C631C"/>
    <w:lvl w:ilvl="0">
      <w:numFmt w:val="bullet"/>
      <w:lvlText w:val="*"/>
      <w:lvlJc w:val="left"/>
    </w:lvl>
  </w:abstractNum>
  <w:abstractNum w:abstractNumId="1" w15:restartNumberingAfterBreak="0">
    <w:nsid w:val="22653D4D"/>
    <w:multiLevelType w:val="hybridMultilevel"/>
    <w:tmpl w:val="46BE40CC"/>
    <w:lvl w:ilvl="0" w:tplc="8AE01DD8">
      <w:numFmt w:val="bullet"/>
      <w:lvlText w:val="-"/>
      <w:lvlJc w:val="left"/>
      <w:pPr>
        <w:ind w:left="720" w:hanging="360"/>
      </w:pPr>
      <w:rPr>
        <w:rFonts w:ascii="Times New Roman" w:eastAsiaTheme="minorHAnsi" w:hAnsi="Times New Roman" w:cs="Times New Roman" w:hint="default"/>
        <w:color w:val="000000" w:themeColor="text1"/>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3C12FD"/>
    <w:multiLevelType w:val="hybridMultilevel"/>
    <w:tmpl w:val="23A0F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7F0001"/>
    <w:multiLevelType w:val="hybridMultilevel"/>
    <w:tmpl w:val="FD1E2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94656E"/>
    <w:multiLevelType w:val="hybridMultilevel"/>
    <w:tmpl w:val="49AA5402"/>
    <w:lvl w:ilvl="0" w:tplc="62D4E1D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4"/>
    <w:rsid w:val="00007A9D"/>
    <w:rsid w:val="00012B61"/>
    <w:rsid w:val="00014036"/>
    <w:rsid w:val="00014735"/>
    <w:rsid w:val="00020D55"/>
    <w:rsid w:val="0002732F"/>
    <w:rsid w:val="00034BEF"/>
    <w:rsid w:val="00045842"/>
    <w:rsid w:val="000504EC"/>
    <w:rsid w:val="0005248C"/>
    <w:rsid w:val="00054A38"/>
    <w:rsid w:val="000618C8"/>
    <w:rsid w:val="00064B37"/>
    <w:rsid w:val="00071810"/>
    <w:rsid w:val="000835DB"/>
    <w:rsid w:val="00092284"/>
    <w:rsid w:val="000923C8"/>
    <w:rsid w:val="0009359D"/>
    <w:rsid w:val="00097CB1"/>
    <w:rsid w:val="000A3742"/>
    <w:rsid w:val="000A3DF8"/>
    <w:rsid w:val="000B37E4"/>
    <w:rsid w:val="000C0112"/>
    <w:rsid w:val="000C1E21"/>
    <w:rsid w:val="000C30BE"/>
    <w:rsid w:val="000D145E"/>
    <w:rsid w:val="000D17E1"/>
    <w:rsid w:val="000D376D"/>
    <w:rsid w:val="000D4B64"/>
    <w:rsid w:val="000D5A02"/>
    <w:rsid w:val="000E3FAB"/>
    <w:rsid w:val="000F014C"/>
    <w:rsid w:val="000F1E78"/>
    <w:rsid w:val="00102DC6"/>
    <w:rsid w:val="001116F0"/>
    <w:rsid w:val="00113414"/>
    <w:rsid w:val="00113FE4"/>
    <w:rsid w:val="00123EA5"/>
    <w:rsid w:val="00125B81"/>
    <w:rsid w:val="00126A64"/>
    <w:rsid w:val="00156EB3"/>
    <w:rsid w:val="00162775"/>
    <w:rsid w:val="00172DEC"/>
    <w:rsid w:val="00174B01"/>
    <w:rsid w:val="00177630"/>
    <w:rsid w:val="001924CB"/>
    <w:rsid w:val="001A4027"/>
    <w:rsid w:val="001A45C6"/>
    <w:rsid w:val="001A528E"/>
    <w:rsid w:val="001A77D9"/>
    <w:rsid w:val="001B45E6"/>
    <w:rsid w:val="001B5800"/>
    <w:rsid w:val="001C14D9"/>
    <w:rsid w:val="001C4455"/>
    <w:rsid w:val="001C67BA"/>
    <w:rsid w:val="001C68AE"/>
    <w:rsid w:val="001C7793"/>
    <w:rsid w:val="001E205A"/>
    <w:rsid w:val="001E4661"/>
    <w:rsid w:val="001E6C74"/>
    <w:rsid w:val="001F2BF3"/>
    <w:rsid w:val="0020083D"/>
    <w:rsid w:val="0020292D"/>
    <w:rsid w:val="002029F5"/>
    <w:rsid w:val="00202FFE"/>
    <w:rsid w:val="00204815"/>
    <w:rsid w:val="00204B58"/>
    <w:rsid w:val="0021213D"/>
    <w:rsid w:val="002153C9"/>
    <w:rsid w:val="00222982"/>
    <w:rsid w:val="00232BE6"/>
    <w:rsid w:val="00233435"/>
    <w:rsid w:val="00235E37"/>
    <w:rsid w:val="00240AAE"/>
    <w:rsid w:val="0024268E"/>
    <w:rsid w:val="00244A93"/>
    <w:rsid w:val="00244B73"/>
    <w:rsid w:val="0024781F"/>
    <w:rsid w:val="00261601"/>
    <w:rsid w:val="00271A4F"/>
    <w:rsid w:val="00275474"/>
    <w:rsid w:val="00285840"/>
    <w:rsid w:val="00291992"/>
    <w:rsid w:val="00294E3E"/>
    <w:rsid w:val="00297BB9"/>
    <w:rsid w:val="002B0C14"/>
    <w:rsid w:val="002B2B42"/>
    <w:rsid w:val="002B3537"/>
    <w:rsid w:val="002B6663"/>
    <w:rsid w:val="002C3398"/>
    <w:rsid w:val="002C7D4C"/>
    <w:rsid w:val="002D1949"/>
    <w:rsid w:val="002D2A6A"/>
    <w:rsid w:val="002D457C"/>
    <w:rsid w:val="002E0353"/>
    <w:rsid w:val="002E6903"/>
    <w:rsid w:val="002E6CA7"/>
    <w:rsid w:val="002F1C50"/>
    <w:rsid w:val="002F1EDD"/>
    <w:rsid w:val="002F227D"/>
    <w:rsid w:val="002F2D3D"/>
    <w:rsid w:val="002F67FA"/>
    <w:rsid w:val="002F7AD6"/>
    <w:rsid w:val="00303738"/>
    <w:rsid w:val="00312D7D"/>
    <w:rsid w:val="0031412A"/>
    <w:rsid w:val="003160A2"/>
    <w:rsid w:val="003164E4"/>
    <w:rsid w:val="00316E0D"/>
    <w:rsid w:val="00324577"/>
    <w:rsid w:val="00325C9D"/>
    <w:rsid w:val="00331A60"/>
    <w:rsid w:val="00333BFE"/>
    <w:rsid w:val="003353B7"/>
    <w:rsid w:val="0034092C"/>
    <w:rsid w:val="00340A9E"/>
    <w:rsid w:val="00341F49"/>
    <w:rsid w:val="00345837"/>
    <w:rsid w:val="00355EAD"/>
    <w:rsid w:val="003627A7"/>
    <w:rsid w:val="0036773A"/>
    <w:rsid w:val="00370CBA"/>
    <w:rsid w:val="00381CC0"/>
    <w:rsid w:val="00385617"/>
    <w:rsid w:val="0039171F"/>
    <w:rsid w:val="00391986"/>
    <w:rsid w:val="00391D48"/>
    <w:rsid w:val="003928EB"/>
    <w:rsid w:val="00397466"/>
    <w:rsid w:val="003A1871"/>
    <w:rsid w:val="003A3A2A"/>
    <w:rsid w:val="003A5EB8"/>
    <w:rsid w:val="003B3584"/>
    <w:rsid w:val="003C0EC2"/>
    <w:rsid w:val="003C610A"/>
    <w:rsid w:val="003D379C"/>
    <w:rsid w:val="003D6FCA"/>
    <w:rsid w:val="003E3F5D"/>
    <w:rsid w:val="003E590C"/>
    <w:rsid w:val="003E5A3D"/>
    <w:rsid w:val="003F178B"/>
    <w:rsid w:val="003F22A9"/>
    <w:rsid w:val="00401C92"/>
    <w:rsid w:val="00402DA0"/>
    <w:rsid w:val="004044CA"/>
    <w:rsid w:val="0040519B"/>
    <w:rsid w:val="00407416"/>
    <w:rsid w:val="0041064D"/>
    <w:rsid w:val="00411E23"/>
    <w:rsid w:val="004145E3"/>
    <w:rsid w:val="004213FE"/>
    <w:rsid w:val="00421AF0"/>
    <w:rsid w:val="00422F3E"/>
    <w:rsid w:val="0042647B"/>
    <w:rsid w:val="00430392"/>
    <w:rsid w:val="00440339"/>
    <w:rsid w:val="004439AA"/>
    <w:rsid w:val="00450CE5"/>
    <w:rsid w:val="00451499"/>
    <w:rsid w:val="00461FEE"/>
    <w:rsid w:val="00466D83"/>
    <w:rsid w:val="004716D1"/>
    <w:rsid w:val="00471D81"/>
    <w:rsid w:val="004727E9"/>
    <w:rsid w:val="004728D5"/>
    <w:rsid w:val="004735A9"/>
    <w:rsid w:val="004812ED"/>
    <w:rsid w:val="00484C53"/>
    <w:rsid w:val="004919EC"/>
    <w:rsid w:val="0049482D"/>
    <w:rsid w:val="004A7DC7"/>
    <w:rsid w:val="004B136F"/>
    <w:rsid w:val="004B20E2"/>
    <w:rsid w:val="004B449D"/>
    <w:rsid w:val="004C6AE8"/>
    <w:rsid w:val="004D1BA6"/>
    <w:rsid w:val="004D5920"/>
    <w:rsid w:val="004D5939"/>
    <w:rsid w:val="004E22CE"/>
    <w:rsid w:val="004E5A2B"/>
    <w:rsid w:val="004F02C8"/>
    <w:rsid w:val="004F660C"/>
    <w:rsid w:val="00500633"/>
    <w:rsid w:val="00503E46"/>
    <w:rsid w:val="005044E8"/>
    <w:rsid w:val="005069C7"/>
    <w:rsid w:val="00514226"/>
    <w:rsid w:val="00523DFA"/>
    <w:rsid w:val="005314D8"/>
    <w:rsid w:val="00534CF0"/>
    <w:rsid w:val="0055264D"/>
    <w:rsid w:val="0055528B"/>
    <w:rsid w:val="00555707"/>
    <w:rsid w:val="00563846"/>
    <w:rsid w:val="00566A04"/>
    <w:rsid w:val="0057347A"/>
    <w:rsid w:val="005861DF"/>
    <w:rsid w:val="0058779F"/>
    <w:rsid w:val="00597119"/>
    <w:rsid w:val="00597143"/>
    <w:rsid w:val="005A4CAE"/>
    <w:rsid w:val="005A68C5"/>
    <w:rsid w:val="005D053D"/>
    <w:rsid w:val="005D54CD"/>
    <w:rsid w:val="005D6191"/>
    <w:rsid w:val="005D7442"/>
    <w:rsid w:val="005E1BFF"/>
    <w:rsid w:val="005E5C8E"/>
    <w:rsid w:val="005E64E3"/>
    <w:rsid w:val="005F3786"/>
    <w:rsid w:val="005F464C"/>
    <w:rsid w:val="00602D7B"/>
    <w:rsid w:val="0060678D"/>
    <w:rsid w:val="006345B0"/>
    <w:rsid w:val="00647B6C"/>
    <w:rsid w:val="00650FB4"/>
    <w:rsid w:val="00660B1B"/>
    <w:rsid w:val="00661D73"/>
    <w:rsid w:val="006656E4"/>
    <w:rsid w:val="0067101C"/>
    <w:rsid w:val="00674F47"/>
    <w:rsid w:val="00680EF7"/>
    <w:rsid w:val="00686B7B"/>
    <w:rsid w:val="00693E8E"/>
    <w:rsid w:val="00697DFA"/>
    <w:rsid w:val="006A44E0"/>
    <w:rsid w:val="006A5B1D"/>
    <w:rsid w:val="006A6E44"/>
    <w:rsid w:val="006B2327"/>
    <w:rsid w:val="006B43FA"/>
    <w:rsid w:val="006B5EC0"/>
    <w:rsid w:val="006C10D0"/>
    <w:rsid w:val="006C1EF7"/>
    <w:rsid w:val="006D398D"/>
    <w:rsid w:val="006D6232"/>
    <w:rsid w:val="006E5015"/>
    <w:rsid w:val="0070679C"/>
    <w:rsid w:val="007067A9"/>
    <w:rsid w:val="00707123"/>
    <w:rsid w:val="00707E80"/>
    <w:rsid w:val="00716037"/>
    <w:rsid w:val="007175DB"/>
    <w:rsid w:val="00731B54"/>
    <w:rsid w:val="00732E45"/>
    <w:rsid w:val="0073410C"/>
    <w:rsid w:val="00736107"/>
    <w:rsid w:val="0073694D"/>
    <w:rsid w:val="00741A4F"/>
    <w:rsid w:val="00742AA7"/>
    <w:rsid w:val="007479FF"/>
    <w:rsid w:val="00755BDE"/>
    <w:rsid w:val="00767E8C"/>
    <w:rsid w:val="00777034"/>
    <w:rsid w:val="007805D0"/>
    <w:rsid w:val="00782302"/>
    <w:rsid w:val="007830E8"/>
    <w:rsid w:val="00783EB8"/>
    <w:rsid w:val="0079213C"/>
    <w:rsid w:val="007972DD"/>
    <w:rsid w:val="007978C7"/>
    <w:rsid w:val="00797AB6"/>
    <w:rsid w:val="007A4695"/>
    <w:rsid w:val="007A6118"/>
    <w:rsid w:val="007B1440"/>
    <w:rsid w:val="007B55E6"/>
    <w:rsid w:val="007B7070"/>
    <w:rsid w:val="007C04D2"/>
    <w:rsid w:val="007C24DB"/>
    <w:rsid w:val="007D00F4"/>
    <w:rsid w:val="007D1D68"/>
    <w:rsid w:val="007D3C09"/>
    <w:rsid w:val="007D6747"/>
    <w:rsid w:val="007D6751"/>
    <w:rsid w:val="007E62FA"/>
    <w:rsid w:val="007F09AC"/>
    <w:rsid w:val="007F2520"/>
    <w:rsid w:val="00804C76"/>
    <w:rsid w:val="00807F42"/>
    <w:rsid w:val="0081078F"/>
    <w:rsid w:val="00810AD7"/>
    <w:rsid w:val="0081128A"/>
    <w:rsid w:val="00811E48"/>
    <w:rsid w:val="0082222A"/>
    <w:rsid w:val="0082272E"/>
    <w:rsid w:val="008255F8"/>
    <w:rsid w:val="00831CF0"/>
    <w:rsid w:val="008324B7"/>
    <w:rsid w:val="0084018B"/>
    <w:rsid w:val="00840744"/>
    <w:rsid w:val="00840B90"/>
    <w:rsid w:val="0084248C"/>
    <w:rsid w:val="008424F9"/>
    <w:rsid w:val="00846F05"/>
    <w:rsid w:val="00851426"/>
    <w:rsid w:val="00854C66"/>
    <w:rsid w:val="00861358"/>
    <w:rsid w:val="008617C8"/>
    <w:rsid w:val="00861D83"/>
    <w:rsid w:val="00865347"/>
    <w:rsid w:val="008749D0"/>
    <w:rsid w:val="00876264"/>
    <w:rsid w:val="00896CBF"/>
    <w:rsid w:val="008A1358"/>
    <w:rsid w:val="008A6032"/>
    <w:rsid w:val="008B05CC"/>
    <w:rsid w:val="008B63B6"/>
    <w:rsid w:val="008C560E"/>
    <w:rsid w:val="008D1BB6"/>
    <w:rsid w:val="008D201C"/>
    <w:rsid w:val="008D7A7A"/>
    <w:rsid w:val="008E12AC"/>
    <w:rsid w:val="008E67A2"/>
    <w:rsid w:val="008E6EDD"/>
    <w:rsid w:val="008E7CAF"/>
    <w:rsid w:val="008F2193"/>
    <w:rsid w:val="008F4430"/>
    <w:rsid w:val="008F5B79"/>
    <w:rsid w:val="008F5E87"/>
    <w:rsid w:val="009049DB"/>
    <w:rsid w:val="009172E2"/>
    <w:rsid w:val="009204A6"/>
    <w:rsid w:val="0092157E"/>
    <w:rsid w:val="00926083"/>
    <w:rsid w:val="00933C8C"/>
    <w:rsid w:val="00934A18"/>
    <w:rsid w:val="009406E7"/>
    <w:rsid w:val="00953BCD"/>
    <w:rsid w:val="00954577"/>
    <w:rsid w:val="00965329"/>
    <w:rsid w:val="00966E1C"/>
    <w:rsid w:val="009735D0"/>
    <w:rsid w:val="00987784"/>
    <w:rsid w:val="00990F57"/>
    <w:rsid w:val="00995904"/>
    <w:rsid w:val="009A075D"/>
    <w:rsid w:val="009A2B0D"/>
    <w:rsid w:val="009A7D5A"/>
    <w:rsid w:val="009A7FB9"/>
    <w:rsid w:val="009C07B4"/>
    <w:rsid w:val="009C3944"/>
    <w:rsid w:val="009C4125"/>
    <w:rsid w:val="009D0CB7"/>
    <w:rsid w:val="009D5937"/>
    <w:rsid w:val="009E074E"/>
    <w:rsid w:val="009E3121"/>
    <w:rsid w:val="009E3719"/>
    <w:rsid w:val="009E576F"/>
    <w:rsid w:val="009E67D4"/>
    <w:rsid w:val="009F4964"/>
    <w:rsid w:val="00A1091C"/>
    <w:rsid w:val="00A125A7"/>
    <w:rsid w:val="00A13FF4"/>
    <w:rsid w:val="00A174AE"/>
    <w:rsid w:val="00A23F3B"/>
    <w:rsid w:val="00A243C1"/>
    <w:rsid w:val="00A32B4F"/>
    <w:rsid w:val="00A35C82"/>
    <w:rsid w:val="00A411D8"/>
    <w:rsid w:val="00A44C1A"/>
    <w:rsid w:val="00A621A1"/>
    <w:rsid w:val="00A631CF"/>
    <w:rsid w:val="00A66630"/>
    <w:rsid w:val="00A71A5A"/>
    <w:rsid w:val="00A7595C"/>
    <w:rsid w:val="00A801A0"/>
    <w:rsid w:val="00A96422"/>
    <w:rsid w:val="00A96C9B"/>
    <w:rsid w:val="00AA02C4"/>
    <w:rsid w:val="00AA0324"/>
    <w:rsid w:val="00AA543A"/>
    <w:rsid w:val="00AA6BDA"/>
    <w:rsid w:val="00AB130B"/>
    <w:rsid w:val="00AB20C5"/>
    <w:rsid w:val="00AC69B4"/>
    <w:rsid w:val="00AD2593"/>
    <w:rsid w:val="00AD400D"/>
    <w:rsid w:val="00AD689D"/>
    <w:rsid w:val="00AE08CE"/>
    <w:rsid w:val="00AE228D"/>
    <w:rsid w:val="00AE656E"/>
    <w:rsid w:val="00AF26FB"/>
    <w:rsid w:val="00AF39C0"/>
    <w:rsid w:val="00B03654"/>
    <w:rsid w:val="00B06107"/>
    <w:rsid w:val="00B223DC"/>
    <w:rsid w:val="00B30C2A"/>
    <w:rsid w:val="00B313C1"/>
    <w:rsid w:val="00B43133"/>
    <w:rsid w:val="00B44611"/>
    <w:rsid w:val="00B6105A"/>
    <w:rsid w:val="00BA1BB2"/>
    <w:rsid w:val="00BA66A7"/>
    <w:rsid w:val="00BB0D0F"/>
    <w:rsid w:val="00BB4E7F"/>
    <w:rsid w:val="00BB6697"/>
    <w:rsid w:val="00BC4BFB"/>
    <w:rsid w:val="00BC5734"/>
    <w:rsid w:val="00BD6FC2"/>
    <w:rsid w:val="00BD7D6F"/>
    <w:rsid w:val="00BE1785"/>
    <w:rsid w:val="00BE5A8F"/>
    <w:rsid w:val="00BE7DF7"/>
    <w:rsid w:val="00BF1674"/>
    <w:rsid w:val="00BF27D6"/>
    <w:rsid w:val="00C024FE"/>
    <w:rsid w:val="00C035B9"/>
    <w:rsid w:val="00C11796"/>
    <w:rsid w:val="00C14386"/>
    <w:rsid w:val="00C15CEE"/>
    <w:rsid w:val="00C21120"/>
    <w:rsid w:val="00C3158B"/>
    <w:rsid w:val="00C31E01"/>
    <w:rsid w:val="00C51CC4"/>
    <w:rsid w:val="00C56F19"/>
    <w:rsid w:val="00C57CF5"/>
    <w:rsid w:val="00C647F9"/>
    <w:rsid w:val="00C72F10"/>
    <w:rsid w:val="00C72FAD"/>
    <w:rsid w:val="00C764FD"/>
    <w:rsid w:val="00C768BD"/>
    <w:rsid w:val="00C82BAB"/>
    <w:rsid w:val="00C83824"/>
    <w:rsid w:val="00C83E0A"/>
    <w:rsid w:val="00C84426"/>
    <w:rsid w:val="00CA152D"/>
    <w:rsid w:val="00CA66CD"/>
    <w:rsid w:val="00CD1862"/>
    <w:rsid w:val="00CE1108"/>
    <w:rsid w:val="00CE30A1"/>
    <w:rsid w:val="00CF4A16"/>
    <w:rsid w:val="00CF4BDB"/>
    <w:rsid w:val="00CF6658"/>
    <w:rsid w:val="00CF6B7A"/>
    <w:rsid w:val="00D003CB"/>
    <w:rsid w:val="00D02947"/>
    <w:rsid w:val="00D10116"/>
    <w:rsid w:val="00D173D3"/>
    <w:rsid w:val="00D23022"/>
    <w:rsid w:val="00D306DF"/>
    <w:rsid w:val="00D309A6"/>
    <w:rsid w:val="00D37526"/>
    <w:rsid w:val="00D405C7"/>
    <w:rsid w:val="00D4321B"/>
    <w:rsid w:val="00D466B6"/>
    <w:rsid w:val="00D52677"/>
    <w:rsid w:val="00D542A9"/>
    <w:rsid w:val="00D610F3"/>
    <w:rsid w:val="00D663E6"/>
    <w:rsid w:val="00D863F1"/>
    <w:rsid w:val="00DA3BFD"/>
    <w:rsid w:val="00DA7869"/>
    <w:rsid w:val="00DB334D"/>
    <w:rsid w:val="00DC6915"/>
    <w:rsid w:val="00DD6F0E"/>
    <w:rsid w:val="00DE6559"/>
    <w:rsid w:val="00DF0747"/>
    <w:rsid w:val="00DF190E"/>
    <w:rsid w:val="00DF2937"/>
    <w:rsid w:val="00DF5C39"/>
    <w:rsid w:val="00DF630A"/>
    <w:rsid w:val="00DF7045"/>
    <w:rsid w:val="00DF71C8"/>
    <w:rsid w:val="00E0008B"/>
    <w:rsid w:val="00E00A7C"/>
    <w:rsid w:val="00E03D4D"/>
    <w:rsid w:val="00E056C6"/>
    <w:rsid w:val="00E06132"/>
    <w:rsid w:val="00E10828"/>
    <w:rsid w:val="00E10DFC"/>
    <w:rsid w:val="00E1252E"/>
    <w:rsid w:val="00E13CCB"/>
    <w:rsid w:val="00E1556E"/>
    <w:rsid w:val="00E2159A"/>
    <w:rsid w:val="00E24946"/>
    <w:rsid w:val="00E32CC7"/>
    <w:rsid w:val="00E3522B"/>
    <w:rsid w:val="00E43822"/>
    <w:rsid w:val="00E43995"/>
    <w:rsid w:val="00E513EB"/>
    <w:rsid w:val="00E524A5"/>
    <w:rsid w:val="00E53FCD"/>
    <w:rsid w:val="00E61F85"/>
    <w:rsid w:val="00E63D39"/>
    <w:rsid w:val="00E63FEA"/>
    <w:rsid w:val="00E66891"/>
    <w:rsid w:val="00E67C79"/>
    <w:rsid w:val="00E77E22"/>
    <w:rsid w:val="00E80ADB"/>
    <w:rsid w:val="00E835DC"/>
    <w:rsid w:val="00E868BB"/>
    <w:rsid w:val="00E9541E"/>
    <w:rsid w:val="00E95DB7"/>
    <w:rsid w:val="00EA776E"/>
    <w:rsid w:val="00EB482E"/>
    <w:rsid w:val="00EB5600"/>
    <w:rsid w:val="00EB5AD7"/>
    <w:rsid w:val="00EB5D86"/>
    <w:rsid w:val="00EC61F5"/>
    <w:rsid w:val="00EC7DA9"/>
    <w:rsid w:val="00ED36CE"/>
    <w:rsid w:val="00EE6343"/>
    <w:rsid w:val="00EF44AD"/>
    <w:rsid w:val="00EF4885"/>
    <w:rsid w:val="00EF6291"/>
    <w:rsid w:val="00F041A7"/>
    <w:rsid w:val="00F04C7F"/>
    <w:rsid w:val="00F05FC8"/>
    <w:rsid w:val="00F079BA"/>
    <w:rsid w:val="00F16256"/>
    <w:rsid w:val="00F2066B"/>
    <w:rsid w:val="00F27D9C"/>
    <w:rsid w:val="00F35F9A"/>
    <w:rsid w:val="00F37768"/>
    <w:rsid w:val="00F42CBE"/>
    <w:rsid w:val="00F43379"/>
    <w:rsid w:val="00F44322"/>
    <w:rsid w:val="00F44F14"/>
    <w:rsid w:val="00F477DA"/>
    <w:rsid w:val="00F53B5F"/>
    <w:rsid w:val="00F55D08"/>
    <w:rsid w:val="00F6105E"/>
    <w:rsid w:val="00F722E6"/>
    <w:rsid w:val="00F80436"/>
    <w:rsid w:val="00FA38B9"/>
    <w:rsid w:val="00FA57B8"/>
    <w:rsid w:val="00FC6F77"/>
    <w:rsid w:val="00FD2BD4"/>
    <w:rsid w:val="00FD6123"/>
    <w:rsid w:val="00FE0C31"/>
    <w:rsid w:val="00FE1B00"/>
    <w:rsid w:val="00FE71E5"/>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ED64C"/>
  <w15:chartTrackingRefBased/>
  <w15:docId w15:val="{435A76B0-0B0A-4D57-9E1C-71B819C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2B0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78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8778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A13FF4"/>
    <w:rPr>
      <w:sz w:val="16"/>
      <w:szCs w:val="16"/>
    </w:rPr>
  </w:style>
  <w:style w:type="paragraph" w:styleId="CommentText">
    <w:name w:val="annotation text"/>
    <w:basedOn w:val="Normal"/>
    <w:link w:val="CommentTextChar"/>
    <w:uiPriority w:val="99"/>
    <w:unhideWhenUsed/>
    <w:rsid w:val="00A13FF4"/>
    <w:pPr>
      <w:spacing w:line="240" w:lineRule="auto"/>
    </w:pPr>
    <w:rPr>
      <w:sz w:val="20"/>
      <w:szCs w:val="20"/>
    </w:rPr>
  </w:style>
  <w:style w:type="character" w:customStyle="1" w:styleId="CommentTextChar">
    <w:name w:val="Comment Text Char"/>
    <w:basedOn w:val="DefaultParagraphFont"/>
    <w:link w:val="CommentText"/>
    <w:uiPriority w:val="99"/>
    <w:rsid w:val="00A13FF4"/>
    <w:rPr>
      <w:sz w:val="20"/>
      <w:szCs w:val="20"/>
    </w:rPr>
  </w:style>
  <w:style w:type="paragraph" w:styleId="CommentSubject">
    <w:name w:val="annotation subject"/>
    <w:basedOn w:val="CommentText"/>
    <w:next w:val="CommentText"/>
    <w:link w:val="CommentSubjectChar"/>
    <w:uiPriority w:val="99"/>
    <w:semiHidden/>
    <w:unhideWhenUsed/>
    <w:rsid w:val="00A13FF4"/>
    <w:rPr>
      <w:b/>
      <w:bCs/>
    </w:rPr>
  </w:style>
  <w:style w:type="character" w:customStyle="1" w:styleId="CommentSubjectChar">
    <w:name w:val="Comment Subject Char"/>
    <w:basedOn w:val="CommentTextChar"/>
    <w:link w:val="CommentSubject"/>
    <w:uiPriority w:val="99"/>
    <w:semiHidden/>
    <w:rsid w:val="00A13FF4"/>
    <w:rPr>
      <w:b/>
      <w:bCs/>
      <w:sz w:val="20"/>
      <w:szCs w:val="20"/>
    </w:rPr>
  </w:style>
  <w:style w:type="paragraph" w:styleId="BalloonText">
    <w:name w:val="Balloon Text"/>
    <w:basedOn w:val="Normal"/>
    <w:link w:val="BalloonTextChar"/>
    <w:uiPriority w:val="99"/>
    <w:semiHidden/>
    <w:unhideWhenUsed/>
    <w:rsid w:val="00A1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F4"/>
    <w:rPr>
      <w:rFonts w:ascii="Segoe UI" w:hAnsi="Segoe UI" w:cs="Segoe UI"/>
      <w:sz w:val="18"/>
      <w:szCs w:val="18"/>
    </w:rPr>
  </w:style>
  <w:style w:type="character" w:styleId="Hyperlink">
    <w:name w:val="Hyperlink"/>
    <w:basedOn w:val="DefaultParagraphFont"/>
    <w:uiPriority w:val="99"/>
    <w:unhideWhenUsed/>
    <w:rsid w:val="00953BCD"/>
    <w:rPr>
      <w:color w:val="0563C1" w:themeColor="hyperlink"/>
      <w:u w:val="single"/>
    </w:rPr>
  </w:style>
  <w:style w:type="paragraph" w:styleId="Header">
    <w:name w:val="header"/>
    <w:basedOn w:val="Normal"/>
    <w:link w:val="HeaderChar"/>
    <w:uiPriority w:val="99"/>
    <w:unhideWhenUsed/>
    <w:rsid w:val="00C15C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CEE"/>
  </w:style>
  <w:style w:type="paragraph" w:styleId="Footer">
    <w:name w:val="footer"/>
    <w:basedOn w:val="Normal"/>
    <w:link w:val="FooterChar"/>
    <w:uiPriority w:val="99"/>
    <w:unhideWhenUsed/>
    <w:rsid w:val="00C15C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CEE"/>
  </w:style>
  <w:style w:type="paragraph" w:styleId="ListParagraph">
    <w:name w:val="List Paragraph"/>
    <w:basedOn w:val="Normal"/>
    <w:uiPriority w:val="34"/>
    <w:qFormat/>
    <w:rsid w:val="009C3944"/>
    <w:pPr>
      <w:ind w:left="720"/>
      <w:contextualSpacing/>
    </w:pPr>
  </w:style>
  <w:style w:type="paragraph" w:styleId="Revision">
    <w:name w:val="Revision"/>
    <w:hidden/>
    <w:uiPriority w:val="99"/>
    <w:semiHidden/>
    <w:rsid w:val="00731B54"/>
    <w:pPr>
      <w:spacing w:after="0" w:line="240" w:lineRule="auto"/>
    </w:pPr>
  </w:style>
  <w:style w:type="character" w:customStyle="1" w:styleId="UnresolvedMention1">
    <w:name w:val="Unresolved Mention1"/>
    <w:basedOn w:val="DefaultParagraphFont"/>
    <w:uiPriority w:val="99"/>
    <w:semiHidden/>
    <w:unhideWhenUsed/>
    <w:rsid w:val="0005248C"/>
    <w:rPr>
      <w:color w:val="605E5C"/>
      <w:shd w:val="clear" w:color="auto" w:fill="E1DFDD"/>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BF27D6"/>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BF27D6"/>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BF27D6"/>
    <w:rPr>
      <w:vertAlign w:val="superscript"/>
    </w:rPr>
  </w:style>
  <w:style w:type="paragraph" w:customStyle="1" w:styleId="Char2">
    <w:name w:val="Char2"/>
    <w:aliases w:val="Char Char Char Char"/>
    <w:basedOn w:val="Normal"/>
    <w:next w:val="Normal"/>
    <w:link w:val="FootnoteReference"/>
    <w:uiPriority w:val="99"/>
    <w:rsid w:val="00BF27D6"/>
    <w:pPr>
      <w:spacing w:line="240" w:lineRule="exact"/>
      <w:jc w:val="both"/>
      <w:textAlignment w:val="baseline"/>
    </w:pPr>
    <w:rPr>
      <w:vertAlign w:val="superscript"/>
    </w:rPr>
  </w:style>
  <w:style w:type="paragraph" w:customStyle="1" w:styleId="tvhtml">
    <w:name w:val="tv_html"/>
    <w:basedOn w:val="Normal"/>
    <w:rsid w:val="003C0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86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B20E2"/>
    <w:rPr>
      <w:color w:val="954F72" w:themeColor="followedHyperlink"/>
      <w:u w:val="single"/>
    </w:rPr>
  </w:style>
  <w:style w:type="paragraph" w:customStyle="1" w:styleId="Normal1">
    <w:name w:val="Normal1"/>
    <w:basedOn w:val="Normal"/>
    <w:rsid w:val="007B70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7070"/>
  </w:style>
  <w:style w:type="table" w:styleId="TableGrid">
    <w:name w:val="Table Grid"/>
    <w:basedOn w:val="TableNormal"/>
    <w:uiPriority w:val="39"/>
    <w:rsid w:val="0040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2B0D"/>
    <w:rPr>
      <w:rFonts w:ascii="Times New Roman" w:eastAsia="Times New Roman" w:hAnsi="Times New Roman" w:cs="Times New Roman"/>
      <w:b/>
      <w:bCs/>
      <w:sz w:val="27"/>
      <w:szCs w:val="27"/>
      <w:lang w:eastAsia="lv-LV"/>
    </w:rPr>
  </w:style>
  <w:style w:type="table" w:customStyle="1" w:styleId="Reatabula1">
    <w:name w:val="Režģa tabula1"/>
    <w:basedOn w:val="TableNormal"/>
    <w:uiPriority w:val="59"/>
    <w:qFormat/>
    <w:rsid w:val="007067A9"/>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436">
      <w:bodyDiv w:val="1"/>
      <w:marLeft w:val="0"/>
      <w:marRight w:val="0"/>
      <w:marTop w:val="0"/>
      <w:marBottom w:val="0"/>
      <w:divBdr>
        <w:top w:val="none" w:sz="0" w:space="0" w:color="auto"/>
        <w:left w:val="none" w:sz="0" w:space="0" w:color="auto"/>
        <w:bottom w:val="none" w:sz="0" w:space="0" w:color="auto"/>
        <w:right w:val="none" w:sz="0" w:space="0" w:color="auto"/>
      </w:divBdr>
    </w:div>
    <w:div w:id="188568362">
      <w:bodyDiv w:val="1"/>
      <w:marLeft w:val="0"/>
      <w:marRight w:val="0"/>
      <w:marTop w:val="0"/>
      <w:marBottom w:val="0"/>
      <w:divBdr>
        <w:top w:val="none" w:sz="0" w:space="0" w:color="auto"/>
        <w:left w:val="none" w:sz="0" w:space="0" w:color="auto"/>
        <w:bottom w:val="none" w:sz="0" w:space="0" w:color="auto"/>
        <w:right w:val="none" w:sz="0" w:space="0" w:color="auto"/>
      </w:divBdr>
    </w:div>
    <w:div w:id="260769829">
      <w:bodyDiv w:val="1"/>
      <w:marLeft w:val="0"/>
      <w:marRight w:val="0"/>
      <w:marTop w:val="0"/>
      <w:marBottom w:val="0"/>
      <w:divBdr>
        <w:top w:val="none" w:sz="0" w:space="0" w:color="auto"/>
        <w:left w:val="none" w:sz="0" w:space="0" w:color="auto"/>
        <w:bottom w:val="none" w:sz="0" w:space="0" w:color="auto"/>
        <w:right w:val="none" w:sz="0" w:space="0" w:color="auto"/>
      </w:divBdr>
    </w:div>
    <w:div w:id="311101850">
      <w:bodyDiv w:val="1"/>
      <w:marLeft w:val="0"/>
      <w:marRight w:val="0"/>
      <w:marTop w:val="0"/>
      <w:marBottom w:val="0"/>
      <w:divBdr>
        <w:top w:val="none" w:sz="0" w:space="0" w:color="auto"/>
        <w:left w:val="none" w:sz="0" w:space="0" w:color="auto"/>
        <w:bottom w:val="none" w:sz="0" w:space="0" w:color="auto"/>
        <w:right w:val="none" w:sz="0" w:space="0" w:color="auto"/>
      </w:divBdr>
      <w:divsChild>
        <w:div w:id="461730911">
          <w:marLeft w:val="0"/>
          <w:marRight w:val="0"/>
          <w:marTop w:val="0"/>
          <w:marBottom w:val="0"/>
          <w:divBdr>
            <w:top w:val="none" w:sz="0" w:space="0" w:color="auto"/>
            <w:left w:val="none" w:sz="0" w:space="0" w:color="auto"/>
            <w:bottom w:val="none" w:sz="0" w:space="0" w:color="auto"/>
            <w:right w:val="none" w:sz="0" w:space="0" w:color="auto"/>
          </w:divBdr>
          <w:divsChild>
            <w:div w:id="110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286">
      <w:bodyDiv w:val="1"/>
      <w:marLeft w:val="0"/>
      <w:marRight w:val="0"/>
      <w:marTop w:val="0"/>
      <w:marBottom w:val="0"/>
      <w:divBdr>
        <w:top w:val="none" w:sz="0" w:space="0" w:color="auto"/>
        <w:left w:val="none" w:sz="0" w:space="0" w:color="auto"/>
        <w:bottom w:val="none" w:sz="0" w:space="0" w:color="auto"/>
        <w:right w:val="none" w:sz="0" w:space="0" w:color="auto"/>
      </w:divBdr>
    </w:div>
    <w:div w:id="1201818663">
      <w:bodyDiv w:val="1"/>
      <w:marLeft w:val="0"/>
      <w:marRight w:val="0"/>
      <w:marTop w:val="0"/>
      <w:marBottom w:val="0"/>
      <w:divBdr>
        <w:top w:val="none" w:sz="0" w:space="0" w:color="auto"/>
        <w:left w:val="none" w:sz="0" w:space="0" w:color="auto"/>
        <w:bottom w:val="none" w:sz="0" w:space="0" w:color="auto"/>
        <w:right w:val="none" w:sz="0" w:space="0" w:color="auto"/>
      </w:divBdr>
    </w:div>
    <w:div w:id="1452355738">
      <w:bodyDiv w:val="1"/>
      <w:marLeft w:val="0"/>
      <w:marRight w:val="0"/>
      <w:marTop w:val="0"/>
      <w:marBottom w:val="0"/>
      <w:divBdr>
        <w:top w:val="none" w:sz="0" w:space="0" w:color="auto"/>
        <w:left w:val="none" w:sz="0" w:space="0" w:color="auto"/>
        <w:bottom w:val="none" w:sz="0" w:space="0" w:color="auto"/>
        <w:right w:val="none" w:sz="0" w:space="0" w:color="auto"/>
      </w:divBdr>
    </w:div>
    <w:div w:id="1505703810">
      <w:bodyDiv w:val="1"/>
      <w:marLeft w:val="0"/>
      <w:marRight w:val="0"/>
      <w:marTop w:val="0"/>
      <w:marBottom w:val="0"/>
      <w:divBdr>
        <w:top w:val="none" w:sz="0" w:space="0" w:color="auto"/>
        <w:left w:val="none" w:sz="0" w:space="0" w:color="auto"/>
        <w:bottom w:val="none" w:sz="0" w:space="0" w:color="auto"/>
        <w:right w:val="none" w:sz="0" w:space="0" w:color="auto"/>
      </w:divBdr>
    </w:div>
    <w:div w:id="1655067377">
      <w:bodyDiv w:val="1"/>
      <w:marLeft w:val="0"/>
      <w:marRight w:val="0"/>
      <w:marTop w:val="0"/>
      <w:marBottom w:val="0"/>
      <w:divBdr>
        <w:top w:val="none" w:sz="0" w:space="0" w:color="auto"/>
        <w:left w:val="none" w:sz="0" w:space="0" w:color="auto"/>
        <w:bottom w:val="none" w:sz="0" w:space="0" w:color="auto"/>
        <w:right w:val="none" w:sz="0" w:space="0" w:color="auto"/>
      </w:divBdr>
    </w:div>
    <w:div w:id="1829058950">
      <w:bodyDiv w:val="1"/>
      <w:marLeft w:val="0"/>
      <w:marRight w:val="0"/>
      <w:marTop w:val="0"/>
      <w:marBottom w:val="0"/>
      <w:divBdr>
        <w:top w:val="none" w:sz="0" w:space="0" w:color="auto"/>
        <w:left w:val="none" w:sz="0" w:space="0" w:color="auto"/>
        <w:bottom w:val="none" w:sz="0" w:space="0" w:color="auto"/>
        <w:right w:val="none" w:sz="0" w:space="0" w:color="auto"/>
      </w:divBdr>
    </w:div>
    <w:div w:id="1852837677">
      <w:bodyDiv w:val="1"/>
      <w:marLeft w:val="0"/>
      <w:marRight w:val="0"/>
      <w:marTop w:val="0"/>
      <w:marBottom w:val="0"/>
      <w:divBdr>
        <w:top w:val="none" w:sz="0" w:space="0" w:color="auto"/>
        <w:left w:val="none" w:sz="0" w:space="0" w:color="auto"/>
        <w:bottom w:val="none" w:sz="0" w:space="0" w:color="auto"/>
        <w:right w:val="none" w:sz="0" w:space="0" w:color="auto"/>
      </w:divBdr>
    </w:div>
    <w:div w:id="1861703119">
      <w:bodyDiv w:val="1"/>
      <w:marLeft w:val="0"/>
      <w:marRight w:val="0"/>
      <w:marTop w:val="0"/>
      <w:marBottom w:val="0"/>
      <w:divBdr>
        <w:top w:val="none" w:sz="0" w:space="0" w:color="auto"/>
        <w:left w:val="none" w:sz="0" w:space="0" w:color="auto"/>
        <w:bottom w:val="none" w:sz="0" w:space="0" w:color="auto"/>
        <w:right w:val="none" w:sz="0" w:space="0" w:color="auto"/>
      </w:divBdr>
    </w:div>
    <w:div w:id="19942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s://www.em.gov.lv/lv/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3982-67D8-4961-BFBC-037647BD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14311</Words>
  <Characters>8158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vt:lpstr>
    </vt:vector>
  </TitlesOfParts>
  <Company>Ekonomikas ministrija</Company>
  <LinksUpToDate>false</LinksUpToDate>
  <CharactersWithSpaces>22425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dc:title>
  <dc:subject>Likumprojekts</dc:subject>
  <dc:creator>Jānis Rozītis</dc:creator>
  <cp:keywords/>
  <dc:description>67013272, janis.rozitis@em.gov.lv</dc:description>
  <cp:lastModifiedBy>Anita Jurševica</cp:lastModifiedBy>
  <cp:revision>13</cp:revision>
  <dcterms:created xsi:type="dcterms:W3CDTF">2021-08-25T09:18:00Z</dcterms:created>
  <dcterms:modified xsi:type="dcterms:W3CDTF">2021-11-03T13:03:00Z</dcterms:modified>
</cp:coreProperties>
</file>