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izglītības satura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nosaka pasākuma mērķi, norādot, ka tiks veicināta starpinstitūciju sadarbība un izglītojamā vecāku (personu, kas realizē aizgādību) iesaiste izglītības procesā. Ņemot vērā minēto, nav skaidrs, vai vecāku (personu, kas realizē aizgādību) iesaiste izglītības procesā nozīmē arī viņu personas datu apstrādi pasākuma ietvaros. Ja pasākuma ietvaros vecāku (personu, kas realizē aizgādību) dati tiks apstrādāti, tad lūdzam papildināt noteikumu projektu ar informāciju par vākto personas datu apjomu atbilstoši Vispārīgās datu aizsardzības regulas 5. panta 1. punkta (a) apakšpunktā minētajam principam "likumīgums, godprātība un pārredzamība".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risinājuma apraksts (1.3.sadaļa) un horizontālo ietekmju (8.1.13.sadaļa) apraksts ar informāciju par 4.2.3.1.pasākuma mērķa grupas izglītojamo vecāku (personu, kas realizē aizgādību) un citu ģimenes locekļu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izglītojamā vecāki (personas, kas realizē aizgādību) un citi izglītojamā ģimenes locekļi nav 4.2.3.1.pasākuma tiešā mērķa grupa, tomēr 4.2.3.1.pasākumā ir paredzēta viņu personas datu apstrāde izglītojamiem identificēto sociālās atstumtības un priekšlaicīgas mācību pārtraukšanas risku aprakstu ietvaros, kā arī lai nodrošinātu vecāku (personu, kas realizē aizgādību) un citu ģimenes locekļu iesaisti pasākumos (izglītības iestāžu partnerības projektos, skolas - kopienas iniciatīvu projektos, mērķsadarbības un izglītošanas pasākumos, kā arī izglītojamo lasītprasmes veicināšanas pasākumos u.c.), kas tiks rīkoti 4.2.3.1.pasākuma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izglītības satura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mērķa aprakstu. Pašreizējā redakcijā mērķa redakcija ir sašaurināta, ņemot vērā, ka pasākuma nosaukumā ir  plašāks mērķa grupu tvērums, proti,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w:t>
            </w:r>
            <w:r w:rsidR="00000000" w:rsidRPr="00000000" w:rsidDel="00000000">
              <w:rPr>
                <w:u w:val="single"/>
                <w:rtl w:val="0"/>
              </w:rPr>
              <w:t xml:space="preserve">atvieglot piekļūstamības iespējas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ir 4.2.3.specifiskā atbalsta mērķa nosaukums, kurā ir plānoti kopumā četri pasākumi. Viens no tiem ir 4.2.3.1.pasākums "Integrēta "skola - kopiena" sadarbības programma atstumtības riska mazināšanai izglītības iestādēs". Izglītojamie ar invaliditāti, kuri atbilst 4.2.3.1.pasākuma mērķa grupai, varēs saņemt atbalstu pasākuma atbalstāmo darbību ietvaros. Invaliditāte ir viens no priekšlaicīgas mācību pārtraukšanas riskiem, kā arī saskaņā ar Ministru kabineta 2018.gada 27.marta noteikumu Nr.173 "Noteikumi par sociālās atstumtības riskam pakļauto iedzīvotāju grupām un sociālā uzņēmuma statusa piešķiršanas, reģistrēšanas un uzraudzības kārtību" 2.1.apakšpunktu personas ar invaliditāti ir sociālās atstumtības riskam pakļauta iedzīvotāju grupa. 4.2.3.1.pasākumam ir netieša ietekme uz horizontālo principu "Vienlīdzība, iekļaušana, nediskriminācija un pamattiesību ievērošana".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ir noteikta pasākuma mērķa grupa. No minētā ir secināms, ka pasākuma ietvaros tiks apstrādāti izglītojamo dati, t.sk. izglītojamo ar invaliditāti veselības dati. Ievērojot minēto, nav saprotams, cik ilgi tiks apstrādāti personas (t.sk. veselības) dati.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Vispārīgās datu aizsardzības regulas 5. panta 1. punkta (e) apakšpunktā minētajam glabāšanas ierobežojuma principam, Datu valsts inspekcija lūdz noteikumu projektu papildināt ar informāciju par glabāšanas termiņu. Ja iepriekš minētais ir noteikts citā tiesību aktā, tad lūdzam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papildinot to ar 33.6.apakšpunktu, un anotācijas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dati par 4.2.3.1.pasākumā iesaistītajiem mērķa grupas izglītojamiem tiks uzglabāti tādu laika periodu, kādu nosaka finansējuma saņēmēja un sadarbības iestādes noslēgtā vienošanās par projekta īstenošanu. Iestājoties vienošanās par projekta īstenošanu noteiktajam datu uzglabāšanas termiņam, dati tiks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profesionālās tālākizglītības un profesionālās augstākās izglītības programmu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Pasākumam plānotais kopējais attiecināmais finansējums ir 23 490 000 </w:t>
            </w:r>
            <w:r w:rsidR="00000000" w:rsidRPr="00000000" w:rsidDel="00000000">
              <w:rPr>
                <w:i w:val="1"/>
                <w:rtl w:val="0"/>
              </w:rPr>
              <w:t xml:space="preserve">euro</w:t>
            </w:r>
            <w:r w:rsidR="00000000" w:rsidRPr="00000000" w:rsidDel="00000000">
              <w:rPr>
                <w:rtl w:val="0"/>
              </w:rPr>
              <w:t xml:space="preserve"> (tai skaitā elastības finansējums – 7 538 111 </w:t>
            </w:r>
            <w:r w:rsidR="00000000" w:rsidRPr="00000000" w:rsidDel="00000000">
              <w:rPr>
                <w:i w:val="1"/>
                <w:rtl w:val="0"/>
              </w:rPr>
              <w:t xml:space="preserve">euro</w:t>
            </w:r>
            <w:r w:rsidR="00000000" w:rsidRPr="00000000" w:rsidDel="00000000">
              <w:rPr>
                <w:rtl w:val="0"/>
              </w:rPr>
              <w:t xml:space="preserve">), tai skaitā Eiropas Sociālā fonda Plus finansējums – 19 966 500 </w:t>
            </w:r>
            <w:r w:rsidR="00000000" w:rsidRPr="00000000" w:rsidDel="00000000">
              <w:rPr>
                <w:i w:val="1"/>
                <w:rtl w:val="0"/>
              </w:rPr>
              <w:t xml:space="preserve">euro</w:t>
            </w:r>
            <w:r w:rsidR="00000000" w:rsidRPr="00000000" w:rsidDel="00000000">
              <w:rPr>
                <w:rtl w:val="0"/>
              </w:rPr>
              <w:t xml:space="preserve"> (tai skaitā elastības finansējums –  6 407 394 </w:t>
            </w:r>
            <w:r w:rsidR="00000000" w:rsidRPr="00000000" w:rsidDel="00000000">
              <w:rPr>
                <w:i w:val="1"/>
                <w:rtl w:val="0"/>
              </w:rPr>
              <w:t xml:space="preserve">euro</w:t>
            </w:r>
            <w:r w:rsidR="00000000" w:rsidRPr="00000000" w:rsidDel="00000000">
              <w:rPr>
                <w:rtl w:val="0"/>
              </w:rPr>
              <w:t xml:space="preserve">) un valsts budžeta finansējums – 3 523 500 </w:t>
            </w:r>
            <w:r w:rsidR="00000000" w:rsidRPr="00000000" w:rsidDel="00000000">
              <w:rPr>
                <w:i w:val="1"/>
                <w:rtl w:val="0"/>
              </w:rPr>
              <w:t xml:space="preserve">euro</w:t>
            </w:r>
            <w:r w:rsidR="00000000" w:rsidRPr="00000000" w:rsidDel="00000000">
              <w:rPr>
                <w:rtl w:val="0"/>
              </w:rPr>
              <w:t xml:space="preserve"> (tai skaitā elastības finansējums – 1 130 717 </w:t>
            </w:r>
            <w:r w:rsidR="00000000" w:rsidRPr="00000000" w:rsidDel="00000000">
              <w:rPr>
                <w:i w:val="1"/>
                <w:rtl w:val="0"/>
              </w:rPr>
              <w:t xml:space="preserve">euro</w:t>
            </w:r>
            <w:r w:rsidR="00000000" w:rsidRPr="00000000" w:rsidDel="00000000">
              <w:rPr>
                <w:rtl w:val="0"/>
              </w:rPr>
              <w:t xml:space="preserve">). Pasākumam pieejamais kopējais attiecināmais finansējums ir 15 951 889 </w:t>
            </w:r>
            <w:r w:rsidR="00000000" w:rsidRPr="00000000" w:rsidDel="00000000">
              <w:rPr>
                <w:i w:val="1"/>
                <w:rtl w:val="0"/>
              </w:rPr>
              <w:t xml:space="preserve">euro</w:t>
            </w:r>
            <w:r w:rsidR="00000000" w:rsidRPr="00000000" w:rsidDel="00000000">
              <w:rPr>
                <w:rtl w:val="0"/>
              </w:rPr>
              <w:t xml:space="preserve">, tai skaitā Eiropas Sociālā fonda Plus finansējums – 13 559 106 </w:t>
            </w:r>
            <w:r w:rsidR="00000000" w:rsidRPr="00000000" w:rsidDel="00000000">
              <w:rPr>
                <w:i w:val="1"/>
                <w:rtl w:val="0"/>
              </w:rPr>
              <w:t xml:space="preserve">euro</w:t>
            </w:r>
            <w:r w:rsidR="00000000" w:rsidRPr="00000000" w:rsidDel="00000000">
              <w:rPr>
                <w:rtl w:val="0"/>
              </w:rPr>
              <w:t xml:space="preserve"> un valsts budžeta finansējums – 2 392 783 </w:t>
            </w:r>
            <w:r w:rsidR="00000000" w:rsidRPr="00000000" w:rsidDel="00000000">
              <w:rPr>
                <w:i w:val="1"/>
                <w:rtl w:val="0"/>
              </w:rPr>
              <w:t xml:space="preserve">euro</w:t>
            </w:r>
            <w:r w:rsidR="00000000" w:rsidRPr="00000000" w:rsidDel="00000000">
              <w:rPr>
                <w:rtl w:val="0"/>
              </w:rPr>
              <w:t xml:space="preserve">. Maksimālais attiecināmais Eiropas Sociālā fonda Plus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8.punktā minētā finansējuma apmēru saskaņā ar  Eiropas Savienības kohēzijas politikas programmas 2021.-2027.gadam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plānotais kopējais attiecināmais finansējums ir 23 490 000 euro (tai skaitā elastības finansējums – 7 538 110 euro), tai skaitā Eiropas Sociālā fonda Plus finansējums – 19 966 500 euro (tai skaitā elastības finansējums –  6 407 394 euro) un valsts budžeta finansējums – 3 523 500 euro (tai skaitā elastības finansējums – 1 130 716 euro). Pasākumam pieejamais kopējais attiecināmais finansējums ir 15 951 890 euro, tai skaitā Eiropas Sociālā fonda Plus finansējums – 13 559 106 euro un valsts budžeta finansējums – 2 392 784 euro. Maksimālais attiecināmais Eiropas Sociālā fonda Plus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atbilstoši piedāvātajai redakcijai. Pēdējais teikums noformēts kā atsevišķs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23 490 000 </w:t>
            </w:r>
            <w:r w:rsidR="00000000" w:rsidRPr="00000000" w:rsidDel="00000000">
              <w:rPr>
                <w:i w:val="1"/>
                <w:rtl w:val="0"/>
              </w:rPr>
              <w:t xml:space="preserve">euro</w:t>
            </w:r>
            <w:r w:rsidR="00000000" w:rsidRPr="00000000" w:rsidDel="00000000">
              <w:rPr>
                <w:rtl w:val="0"/>
              </w:rPr>
              <w:t xml:space="preserve"> (no tā elastības finansējums – 7 538 110 </w:t>
            </w:r>
            <w:r w:rsidR="00000000" w:rsidRPr="00000000" w:rsidDel="00000000">
              <w:rPr>
                <w:i w:val="1"/>
                <w:rtl w:val="0"/>
              </w:rPr>
              <w:t xml:space="preserve">euro</w:t>
            </w:r>
            <w:r w:rsidR="00000000" w:rsidRPr="00000000" w:rsidDel="00000000">
              <w:rPr>
                <w:rtl w:val="0"/>
              </w:rPr>
              <w:t xml:space="preserve">), tai skaitā ESF+ finansējums – 19 966 500 </w:t>
            </w:r>
            <w:r w:rsidR="00000000" w:rsidRPr="00000000" w:rsidDel="00000000">
              <w:rPr>
                <w:i w:val="1"/>
                <w:rtl w:val="0"/>
              </w:rPr>
              <w:t xml:space="preserve">euro</w:t>
            </w:r>
            <w:r w:rsidR="00000000" w:rsidRPr="00000000" w:rsidDel="00000000">
              <w:rPr>
                <w:rtl w:val="0"/>
              </w:rPr>
              <w:t xml:space="preserve"> (no tā elastības finansējums – 6 407 394 </w:t>
            </w:r>
            <w:r w:rsidR="00000000" w:rsidRPr="00000000" w:rsidDel="00000000">
              <w:rPr>
                <w:i w:val="1"/>
                <w:rtl w:val="0"/>
              </w:rPr>
              <w:t xml:space="preserve">euro</w:t>
            </w:r>
            <w:r w:rsidR="00000000" w:rsidRPr="00000000" w:rsidDel="00000000">
              <w:rPr>
                <w:rtl w:val="0"/>
              </w:rPr>
              <w:t xml:space="preserve">) un valsts budžeta līdzfinansējums – 3 523 500 </w:t>
            </w:r>
            <w:r w:rsidR="00000000" w:rsidRPr="00000000" w:rsidDel="00000000">
              <w:rPr>
                <w:i w:val="1"/>
                <w:rtl w:val="0"/>
              </w:rPr>
              <w:t xml:space="preserve">euro</w:t>
            </w:r>
            <w:r w:rsidR="00000000" w:rsidRPr="00000000" w:rsidDel="00000000">
              <w:rPr>
                <w:rtl w:val="0"/>
              </w:rPr>
              <w:t xml:space="preserve"> (no tā elastības finansējums – 1 130 716 </w:t>
            </w:r>
            <w:r w:rsidR="00000000" w:rsidRPr="00000000" w:rsidDel="00000000">
              <w:rPr>
                <w:i w:val="1"/>
                <w:rtl w:val="0"/>
              </w:rPr>
              <w:t xml:space="preserve">euro</w:t>
            </w:r>
            <w:r w:rsidR="00000000" w:rsidRPr="00000000" w:rsidDel="00000000">
              <w:rPr>
                <w:rtl w:val="0"/>
              </w:rPr>
              <w:t xml:space="preserve">). Projekta iesniegumā pasākumam pieejamo finansējumu plāno ne vairāk kā 15 951 890 </w:t>
            </w:r>
            <w:r w:rsidR="00000000" w:rsidRPr="00000000" w:rsidDel="00000000">
              <w:rPr>
                <w:i w:val="1"/>
                <w:rtl w:val="0"/>
              </w:rPr>
              <w:t xml:space="preserve">euro</w:t>
            </w:r>
            <w:r w:rsidR="00000000" w:rsidRPr="00000000" w:rsidDel="00000000">
              <w:rPr>
                <w:rtl w:val="0"/>
              </w:rPr>
              <w:t xml:space="preserve"> apmērā, tai skaitā ESF+ finansējumu 13 559 106 </w:t>
            </w:r>
            <w:r w:rsidR="00000000" w:rsidRPr="00000000" w:rsidDel="00000000">
              <w:rPr>
                <w:i w:val="1"/>
                <w:rtl w:val="0"/>
              </w:rPr>
              <w:t xml:space="preserve">euro</w:t>
            </w:r>
            <w:r w:rsidR="00000000" w:rsidRPr="00000000" w:rsidDel="00000000">
              <w:rPr>
                <w:rtl w:val="0"/>
              </w:rPr>
              <w:t xml:space="preserve"> apmērā un valsts budžeta līdzfinansējumu 2 392 784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minimālā attiecināmo izmaksu kopsumma nav ierobežota. Maksimālais projekta īstenošanai pieejamais finansējums nedrīkst pārsniegt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noteikto pasākumam pieejamo kopējo attiecināmo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uz ko attiecināms nosacījumus "projekta minimālā attiecināmo izmaksu kopsumma nav ierobežota", - uz projektu, ko īsteno Izglītības kvalitātes valsts dienests, vai projektu, ko īsteno pašvaldības noteikumu projekta 23.5. punktā minētās atbalstāmās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Maksimālais attiecināmais ESF+ finansējuma apmērs nepārsniedz 85 procentus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šādiem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no sadarbības partneru loka ir izslēgtas privātās izglītības iestādes. Izsakām bažas, ka šāds regulējums pirmšķietami varētu būt diskriminējos attiecībā pret minētajām privātajām izglītības iestādēm. Vēršam uzmanību, ka saskaņā ar Latvijas Republikas Satversmes 91.  pantu visi cilvēki Latvijā ir vienlīdzīgi likuma un tiesas priekšā. Cilvēka tiesības tiek īstenotas bez jebkādas diskriminācijas. Kā atzinusi Satversmes tiesa (lietā Nr. 2003–04–02), ierobežojumiem ir jābūt ar leģitīmu mērķi un samērīgiem. Atšķirīga attieksme ir pieļaujama to pamatojot ar leģitīma mērķa sasniegšanu (lietā Nr.  2005-08-01). Attiecīgi lūdzam izvērtēt šāda regulējuma atbilstību tiesiskās vienlīdzības un diskriminācijas aizlieguma principa prasībām un veikt atbilstošus precizējumus noteikumu projektā vai tā anotācijā sniegt izvērstu pamatojumu, kāpēc noteikumu projektā kā iespējamie sadarbības partneri ir noteiktas tikai valsts un valsts augstskolu dibinātas profesionālās un vispārējās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risinājuma apraksts (1.3.sadaļa) papildināts ar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un zinātnes ministrija ir veikusi atbalsta tvēruma izvērtējumu un tās pārziņā esošo Eiropas Savienības struktūrfondu finansējumu 4.2.3.1.pasākumā plāno publiskajiem pakalpojuma sniedzējiem valsts un pašvaldību izglītības sistēmas ietvaros vispārējās izglītības satura apguves veicināšanai. Izglītības likuma 59.panta otrajā daļā ir noteikts: "Privātās izglītības iestādes finansē to dibinātāji. 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Valsts piedalās akreditētajās privātajās profesionālās ievirzes izglītības iestādēs īstenotajās profesionālās ievirzes izglītības programmās nodarbināto pedagogu darba samaksas finansēšanā. Pašvaldības var piedalīties privāto izglītības iestāžu pedagogu darba samaksas finansēšanā." Nenoliedzam, ka privātās pirmsskolas izglītības iestādes ir iesaistītas izglītības pakalpojuma sniegšanā. Lūdzam ņemt vērā, ka privātās izglītības iestādes dibinātājs atbilstoši privāto izglītības iestāžu statusam var noteikt maksu par saviem pakalpojumiem, tas ir, var gūt peļņu no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šādiem sadarbības partneriem: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Sadarbības partneris atbalsta sniegšanā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mērķa grupas izglītojamiem var iesaistīt valsts un pašvaldību institūcijas (tai skaitā pašvaldību vispārējās un profesionālās izglītības iestādes, pašvaldību dienestus, policiju), biedrības, nodibinājumus, jauniešu centrus, sociālos partnerus u. c. iestādes vai organizācijas, lai kopīgi apzinātu mērķa grupas izglītojamos, kuri ir reģistrēti izglītības iestādē, bet neattaisnoti kavē mācības un izglītības iestādi neapmeklē, vai lai sadarbotos mērķa grupas izglītojamo atbalsta pasākumu īstenošanā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2023. gada 13. jūlija noteikumu Nr. 408 "Kārtība, kādā Eiropas Savienības fondu vadībā iesaistītās institūcijas nodrošina šo fondu ieviešanu 2021.–2027. gada plānošanas periodā" 4. punktu sadarbības partneris nav tiesīgs ar projekta īstenošanu saistītās tiesības un pienākumus nodot citai personai. Ievērojot minēto, lūdzam papildināt anotāciju ar atbilstošu skaidrojumu, ka tiks ievērota attiecīgā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15.punkts un papildināts 18.punkts par sadarbības līgumā ietveramo informāciju. Anotācijā papildināts risinājuma apraksts (1.3.sadaļa), tai skaitā skaidrojot, kā tiks ievērota prasība, kas nosaka, ka sadarbības partneris nav tiesīgs ar projekta īstenošanu saistītās tiesības un pienākumus nodot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Sadarbības partneris atbalsta sniegšanā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mērķa grupas izglītojamiem var iesaistīt valsts un pašvaldību institūcijas (tai skaitā pašvaldību vispārējās un profesionālās izglītības iestādes, pašvaldību dienestus, policiju), biedrības, nodibinājumus, jauniešu centrus, sociālos partnerus u. c. iestādes vai organizācijas, lai kopīgi apzinātu mērķa grupas izglītojamos, kuri ir reģistrēti izglītības iestādē, bet neattaisnoti kavē mācības un izglītības iestādi neapmeklē, vai lai sadarbotos mērķa grupas izglītojamo atbalsta pasākumu īstenošanā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tekstu ar pirmsskolas izglītības iestādēm, jo atbalsts plānots arī pirmsskolas izglītības iestāžu izglītojamiem.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skaidrojums anotācijas risinājuma aprakstā, papildinot tekstu ar pašvaldību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noteikumu projekta 18.1.2.1.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Finansējuma saņēmējs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minētos sadarbības partnerus var iesaistīt projektā visā projekta īstenošanas laikā, slēdzot ar sadarbības partneri sadarbības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tiek interpretēts “var iesaistīt projektā visā projekta īstenošanas laikā”, vienlaikus norādot konkrētas prasības attiecībā uz </w:t>
            </w:r>
            <w:r w:rsidR="00000000" w:rsidRPr="00000000" w:rsidDel="00000000">
              <w:rPr>
                <w:b w:val="1"/>
                <w:rtl w:val="0"/>
              </w:rPr>
              <w:t xml:space="preserve">projekta iesniegumā </w:t>
            </w:r>
            <w:r w:rsidR="00000000" w:rsidRPr="00000000" w:rsidDel="00000000">
              <w:rPr>
                <w:rtl w:val="0"/>
              </w:rPr>
              <w:t xml:space="preserve">(tas ir - projekta plānošanas brīdī) norādāmo informāciju par sadarbības partneru iesaisti, ņemot vērā, ka pasākuma projekta iesniegumam ir piedāvāts un tiek virzīts specifiskais atbilstības kritērijs, kas saistīts ar sadarbības partneru iesaisti.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risinājuma apraksts (1.3.sadaļa)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sadarbības partnerus var iesaistīt projektā visā projekta īstenošanas laikā, t. i., ne tikai projekta plānošanas brīdī (paredzot sadarbības partneru iesaisti projekta iesniegumā), bet arī vēlāk – projekta īstenošanas gaitā. Lai nodrošinātu noteikumu projekta 5.1. apakšpunktā noteiktā nacionālā rādītāja sasniegšanu un noteikumu projekta 23.4.2. apakšpunktā minēto izglītības programmu izstrādi, licencēšanu un īstenošanas uzsākšanu, Izglītības kvalitātes valsts dienests kā projekta iesniedzējs projekta iesniegumā paredz projekta īstenošanā iesaistīt ne mazāk kā 35 pašvaldības, vismaz 3 valsts un valsts augstskolu dibinātas profesionālās izglītības iestādes, kā arī plāno projekta īstenošanā iesaistīt valsts un valsts augstskolu dibinātas vispārējās izglītības iestādes.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minētos sadarbības partnerus var iesaistīt projektā visā projekta īstenošanas laikā, pēc projekta iesnieguma apstiprināšanas slēdzot ar katru sadarbības partneri sadarbības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pienākumu sadarbības partneriem nodrošināt projekta ietvaros īstenoto atbalstāmo darbību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notikumu projektu un anotāciju, ievērojot, ka Centrālajai finanšu un līgumu aģentūrai (CFLA ) kā sadarbības iestādei nav līgumsaistību ar sadarbības partneriem. Par projekta īstenošanas laikā sasniegto rezultātu ilgtspēju ir atbildīgs finansējuma saņēmējs. Ja pēc projekta īstenošanas beigām  ilgtspējas nodrošināšanai ir nepieciešams pēcuzraudzības periods, lūdzam šo pienākumu finansējuma saņēmējam un perioda ilgumu paredzēt MK noteikumos, savukārt, anotācijā precīzi definēt iesaistīto pušu darbības, to ilgumu, kā arī rīcības, kas veicamas, ja ilgtspēja netiek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(18.9.apakšpunkts dzēsts)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līgumā iekļauj informāciju saskaņā ar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projektu ar punktu, kas skaidri nosaka sadarbības partnera veicamās darbības, resursus, ar kādiem tas iesaistās projektā, kā arī atbildību, ņemot vērā, ka noteikumu projekta 23.5. punktā minētās atbalstāmās darbības tiek ieviestas daudzpakāpju projekta ieviešanas shēmas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18.punkts un anotācijas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Sadarbības līgumā iekļauj informāciju saskaņā ar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pienākumu sadarbības partneriem nodrošināt projekta ietvaros īstenoto atbalstāmo darbību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un novērstu interpretācijas iespējas, lūdzam veikt atbilstošus precizējumus Ministru kabineta noteikumu projekta anotācijā, sniedzot detalizētāku skaidrojumu par 19.6. apakšpunktā norādīto pienākumu sadarbības partnerim (pašvaldībai), t.i., nodrošināt projekta ietvaros īstenoto atbalstāmo darbību rezultātu ilgtspēju,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ilgtspējas periods, kurā sadarbības partnerim (pašvaldībai) ir jānodrošina rezultātu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darbību/pienākumu kopums, kas jānodrošina sadarbības partnerim (pašvaldībai)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kādu  finansiālo slogu rezultātu ilgtspējas nodrošināšana varētu radīt pašvaldības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detalizētāks skaidrojums, tomēr precizējoši nosacījumi tiks iekļauti finansējuma saņēmēja sadarbības līgumā ar sadarbības partneri, ņemot vērā apstiprinātajā investīcijas projektā plānotos atbalstāmo darbību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nosaka projekta īstenošanai nepieciešamos fizisku personu datus un to apstrādes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pienākumu sadarbības partneriem nodrošināt projekta ietvaros īstenoto atbalstāmo darbību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un novērstu interpretācijas iespējas, lūdzam veikt atbilstošus precizējumus Ministru kabineta noteikumu projekta anotācijā, sniedzot detalizētāku skaidrojumu par 19.6. apakšpunktā norādīto pienākumu sadarbības partnerim (pašvaldībai), t.i., nodrošināt projekta ietvaros īstenoto atbalstāmo darbību rezultātu </w:t>
            </w:r>
            <w:r w:rsidR="00000000" w:rsidRPr="00000000" w:rsidDel="00000000">
              <w:rPr>
                <w:b w:val="1"/>
                <w:rtl w:val="0"/>
              </w:rPr>
              <w:t xml:space="preserve">ilgtspēju</w:t>
            </w:r>
            <w:r w:rsidR="00000000" w:rsidRPr="00000000" w:rsidDel="00000000">
              <w:rPr>
                <w:rtl w:val="0"/>
              </w:rPr>
              <w:t xml:space="preserve">,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w:t>
            </w:r>
            <w:r w:rsidR="00000000" w:rsidRPr="00000000" w:rsidDel="00000000">
              <w:rPr>
                <w:b w:val="1"/>
                <w:rtl w:val="0"/>
              </w:rPr>
              <w:t xml:space="preserve">ilgtspējas periods</w:t>
            </w:r>
            <w:r w:rsidR="00000000" w:rsidRPr="00000000" w:rsidDel="00000000">
              <w:rPr>
                <w:rtl w:val="0"/>
              </w:rPr>
              <w:t xml:space="preserve">, kurā sadarbības partnerim (pašvaldībai) ir jānodrošina rezultātu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w:t>
            </w:r>
            <w:r w:rsidR="00000000" w:rsidRPr="00000000" w:rsidDel="00000000">
              <w:rPr>
                <w:b w:val="1"/>
                <w:rtl w:val="0"/>
              </w:rPr>
              <w:t xml:space="preserve">darbību/pienākumu kopums</w:t>
            </w:r>
            <w:r w:rsidR="00000000" w:rsidRPr="00000000" w:rsidDel="00000000">
              <w:rPr>
                <w:rtl w:val="0"/>
              </w:rPr>
              <w:t xml:space="preserve">, kas jānodrošina sadarbības partnerim (pašvaldībai)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kādu  finansiālo slogu rezultātu ilgtspējas nodrošināšana varētu radīt pašvaldības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detalizētāks skaidrojums, tomēr precizējoši nosacījumi tiks iekļauti finansējuma saņēmēja sadarbības līgumā ar sadarbības partneri, ņemot vērā apstiprinātajā investīcijas projektā plānotos atbalstāmo darbību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nosaka projekta īstenošanai nepieciešamos fizisku personu datus un to apstrādes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pienākumu sadarbības partneriem nodrošināt projekta ietvaros īstenoto atbalstāmo darbību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kādu sadarbības partneru īstenoto darbību rezultātu ilgtspēju iet runa.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detalizētāks skaidrojums, tomēr precizējoši nosacījumi tiks iekļauti finansējuma saņēmēja sadarbības līgumā ar sadarbības partneri, ņemot vērā apstiprinātajā investīcijas projektā plānotos atbalstāmo darbību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nosaka projekta īstenošanai nepieciešamos fizisku personu datus un to apstrādes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23.4.2. arodizglītības programmu un profesionālās pamatizglītības programmu izstrāde, licencēšana un īstenošana akreditētās valsts, valsts augstskolu un pašvaldību profesionālās izglītības iestādēs, paredzot izglītības iespējas izglītojamiem ar nepabeigtu pamatizglītību;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izglītības ieguves procesu reglamentējošo normatīvo aktu prasības, kā arī to, ka risinājumus pamatizglītību neieguvušo izglītojamo atbalstam, atbilstoši Izglītības un zinātnes ministrijas iepriekš sniegtajai informācijai, paredzēts izstrādāt un izvērtēt tikai 2024.gada pavasarī Profesionālās izglītības un nodarbinātības trīspusējās sadarbības apakšpadomē. Šādas darbības īstenošanas uzsākšana rada risku gan tās tiesiskai atbilstībai, gan finansiālai ilgtspējai un LDDK, izvērtējot iespējamos riskus, ko šāda pieeja rada izglītības sistēmas ilgtspējai un prognozējamībai, aicina vispirms veikt piedāvāto risinājumu sabiedrisko apspriešanu un veidot tiesiski un finansiāli ilgtspējīgu risinājumu, jau pēc tā apstiprināšanas veicot nepieciešamo programmu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anotācijā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līdzdalības process attiecībā uz 4.2.3.1.pasākumā plānoto atbalstu ir organizēts tiesību akta projekta saskaņošanas ietvaros. Vienlaikus veikts precizējums, atbalsta ieviešanas apjoms un termiņš ir norādīts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arī turpmāk izglītojamiem ar nepabeigtu pamatizglītību tiks saglabāta iespēja atkārtoti mācīties 9.klasē, apgūstot vispārējās izglītības saturu. Plānotais jaunais atbalsta piedāvājums paplašinās, nevis sašaurinās izglītojamo turpmākās izglītības un karjeras iespējas, tāpat paredzēs, ka izglītojamais pilnveido zināšanas un iemaņas mācību priekšmetos (plānots – matemātikā, latviešu valodā, svešvalodā, dabaszinībās, sportā), kuros ir  saņemts nepietiekams vērtējums, un iegūst apliecību par pamatizglītību. Bet papildus izglītojamie apgūs arī pielāgotu profesionālās izglītības saturu (ņemot vērā profesionālās izglītības iestāžu iespējas un piedāvājumu), tādējādi gatavojot jaunus speciālistus darba tirgum.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iniciatīvu projektu un partnerības projektu īstenošana, tostarp nodrošinot darbu ar reemigrantiem, imigrantiem un mazākumtautībām: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Revīzijas iestādes projektā Nr. 8.3.4.0/16/I/001 veiktās revīzijas ietvaros konstatēto potenciālo interešu konflikta risku attiecībā uz jaunatnes iniciatīvu projektu atlases procesu, lūdzam ņemt vērā Revīzijas iestādes izteiktās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mazinātu interešu konflikta risku, būtu jāapsver strukturālas izmaiņas un/vai jāievieš risku mazinošos pasākumus jaunatnes iniciatīvu projektu atlases procesā (piemēram: neatkarīgu, ar pašvaldību nesaistītu ekspertu piesaiste, IKVD aktīva iesaiste atlases procesā), ja šāda veida aktivitātes tiek turpinātas.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ka interešu konflikta riska pārbaudes ir dokumentētas arī finansējuma saņēmēja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35.6.3., 35.6.4. un 35.9. apakšpunktu un 36.punktu un anotācijā precizēts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iniciatīvu projektu un partnerības projektu īstenošana, tostarp nodrošinot darbu ar reemigrantiem, imigrantiem un mazākumtautībām: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interaktīvā rīka attīstīšana, izveidojot ar Valsts izglītības informācijas sistēmu savienotu interaktīvu atbalsta platformu sociālās atstumtības un priekšlaicīgas mācību pārtraukšanas riska novērtēšanai un vadīšanai;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interaktīvā rīka attīstīšanas nepieciešamību un ilgtspēju, saderību ar esošajiem IT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interaktīvā rīka attīstīšanas nepieciešamība tiek pamatota ar to, ka interaktīvais rīks ir jaunāks risinājums salīdzinājumā ar projektā "Pumpurs" lietoto projekta datu operatīvās uzskaites sistēmu (APUIS). Turpinot lietot APUIS, arī šajā sistēmā būtu jāiegulda līdzekļi tās funkcionalitātes uzlabošanai. Gan APUIS, gan interaktīvā rīka izveide ir noteikta MK 12.07.2016. noteikumos Nr.460 "Darbības programmas "Izaugsme un nodarbinātība" 8.3.4. specifiskā atbalsta mērķa "Samazināt priekšlaicīgu mācību pārtraukšanu, īstenojot preventīvus un intervences pasākumus" īstenošanas noteikumi", bet nākotnē būtu nepieciešams optimizēt resursus un turpināt attīstīt tikai vienu risinājumu, kas nodrošinātu gan projekta datu un sniegtā atbalsta uzskaiti, gan ļautu koordinēt atbalsta īstenošanas procesu un kalpotu arī kā metodisko un citu materiālu vienota krātuve. APUIS pamata funkcionalitāte ir datu uzskaite. Interaktīvā rīka, kuru attīstot, tiktu izveidota interaktīvā atbalsta platforma, mērķis ir sadarbības sistēmas veidošana. Vienlaikus pilnīga atteikšanās no APUIS var notikt tikai pēc interaktīvās atbalsta platformas darbības veiksmīgas uzsākšanas, pārliecinoties par tās veiktspēju daudzu, iespējams, vienlaicīgu pieslēgumu gadījumā un nodrošinot augstu drošības līmeni, kas garantētu datu aizsardzību. Ņemot vērā, ka 4.2.3.1. pasākuma īstenošanā ir paredzēts iesaistīt ne mazāk kā 35 pašvaldības, interaktīvās atbalsta platformas darbības principus un iespējas apgūs plašs lietotāju loks. Pēc projekta īstenošanas beigām interaktīvo atbalsta platformu varēs turpināt izmantot izglītības procesa koordinēšanai pašvaldībās un izglītības iestādēs. Interaktīvās atbalsta platformas darbībai primāri ir nepieciešams nodrošināt sasaisti ar Valsts izglītības informācijas sistēmu un papildus var tikt vērtēta sasaistes nepieciešamība ar izglītības kvalitātes monitoringa sistēmas rīkiem. Interaktīvās atbalsta platformas saderība ar citiem esošiem informācijas tehnoloģiju risinājumiem, kas nav Izglītības un zinātnes ministrijas resorā, var tikt vērtēta atbilstoši saskaņošanas procesā iegūtai informācijai, izsludinot 4.2.3.1.pasākuma noteikumu projektu Tiesību aktu projektu publiskajā portālā.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interaktīvā rīka attīstīšana, izveidojot ar Valsts izglītības informācijas sistēmu savienotu interaktīvu atbalsta platformu sociālās atstumtības un priekšlaicīgas mācību pārtraukšanas riska novērtēšanai un vadīšanai;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Pasākumā ir attiecināmas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finansējums tiek jēgpilni novirzīts mērķa grupai, lūdzam noteikt procentuālo apmēru no kopējā attiecināmā finansējuma, ko plānots novirzīt mērķa grupai MK noteikumu projekta 23.3.apakšpunktā minēto atbalstāmo darbību nodrošināšanai un secīgi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finansējuma saņēmējs noteikumu projekta 23.3.apakšpunktā minēto atbalstāmo darbību nodrošināšanai plāno finansējumu ne mazāk kā 25% apmērā no 4.2.3.1.pasākumam pieejamā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mērķa grupas izglītojamie tiks iesaistīti arī skolas – kopienas iniciatīvu projektos un izglītības iestāžu partnerības projektos, kā arī izglītojamie ar nepabeigtu pamatizglītību tiks iesaistīti arodizglītības programmās un profesionālās pamatizglītības programmās, kas kopumā nodrošinās vēl lielāka finansējuma novirzīšanu mērķa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Pasākumā ir attiecināmas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informāciju no anotācijas par to, kurām izmaksām un kādas tiks piemērotas vienkāršotās izmaksas un atrunāt, kā šīs izmaksas tiks attiecinātas līdz attiecīgās metodikas apstiprināšanai (t.sk., lūdzam norādīt, ka metodikas tiks saskaņotas ar vadošo iestādi).Vienlaikus 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25.punkts un anotācijā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25.4.1. konsultantu un ekspertu konsultāciju izmaksas šo noteikumu </w:t>
            </w:r>
            <w:r w:rsidR="00000000" w:rsidRPr="00000000" w:rsidDel="00000000">
              <w:rPr>
                <w:rtl w:val="0"/>
              </w:rPr>
              <w:t xml:space="preserve">23.1.4.1. </w:t>
            </w:r>
            <w:r w:rsidR="00000000" w:rsidRPr="00000000" w:rsidDel="00000000">
              <w:rPr>
                <w:rtl w:val="0"/>
              </w:rPr>
              <w:t xml:space="preserve">apakšpunkta</w:t>
            </w:r>
            <w:r w:rsidR="00000000" w:rsidRPr="00000000" w:rsidDel="00000000">
              <w:rPr>
                <w:rtl w:val="0"/>
              </w:rPr>
              <w:t xml:space="preserve">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funkcijas un kā plānots attiecināt izmaksas par noteikumu projekta 25.4.1.punktā minētajiem konsultantiem un ekspertiem. Vai šīs izmaksas nav uzskatāmas par personāla īstenošanas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23.1.4.1.apakšpunktā minētos konsultantus un ekspertus ir plānots piesaistīt ārpakalpojuma iegādes rezultātā, šīs konsultācijas nenodrošinās 4.2.3.1.pasākuma investīcijas projekta personāls, attiecīgi tās nav uzskatāmas par projekta īstenošanas personāla izmaksām. Noteikumu projekta 23.1.4.1.apakšpunktā minētie konsultanti un eksperti plānoti, lai sniegtu atbalstu sadarbības partneriem 4.2.3.1.pasākuma ietvaros noteikumu projekta 23.1.3.apakšpunktā minēto sadarbības un informācijas procedūru aprobēšanā un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konsultantu un ekspertu konsultāciju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25.4.3. mācību pasākumu organizēšanas izmaksas šo noteikumu </w:t>
            </w:r>
            <w:r w:rsidR="00000000" w:rsidRPr="00000000" w:rsidDel="00000000">
              <w:rPr>
                <w:rtl w:val="0"/>
              </w:rPr>
              <w:t xml:space="preserve">23.1.4.3.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mācību pasākumiem izmantot EK izstrādātās ES līmeņa likmes attiecībā uz apmācībām, kas noteiktas Eiropas Komisijas regulā 2023/1676 (2023. gada 7. jūlijs), ar ko Eiropas Parlamenta un Padomes Regulu (ES) 2021/1060 papildina attiecībā uz vienību izmaksu, fiksētas summas maksājumu un vienotu likmju, kā arī finansējuma, kas nav saistīts ar izmaksām, noteikšanu saistībā ar izdevumiem, ko Komisija atmaksā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23.1.4.3.apakšpunktā minētās mācības ir plānots iegādāties kā ārpakalpojumu. Pirms atbalsta uzsākšanas tiks izvērtēta iespēja piemērot EK līmeņa likmes attiecībā uz apmācībām.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25.2.3. mācību pasākumu organizēšanas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sadarbības partneru projekta īstenošanas personāla izmaksas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minēto atbalstāmo darbību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25.11. apakšpunktā ir uzskaitītas projekta vadības un īstenošanas personāla izmaksas, lūdzam ņemt vērā, ka sadarbības partnerim, piemērojot faktiskās personāla izmaksas, nosakāmi tādi paši nosacījumi kā finansējuma saņēmējam attiecībā uz izmaksu attiecināšanu daļlaika noslodzes gadījumā, proti, noslodzei projektā jābūt ne mazāk kā 30%, kā arī vēršam uzmanību, ka kopumā vienādām izmaksām jānodrošina vienāda pieeja to attiecināšanā.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25.10. apakšpunkts (mainījusies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 sadarbības partneriem šo noteikumu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īstenošanai saskaņā ar finansējuma saņēmēja izstrādāto finansējuma sadales kārtību šo noteikumu </w:t>
            </w:r>
            <w:r w:rsidR="00000000" w:rsidRPr="00000000" w:rsidDel="00000000">
              <w:rPr>
                <w:rtl w:val="0"/>
              </w:rPr>
              <w:t xml:space="preserve">35.5. </w:t>
            </w:r>
            <w:r w:rsidR="00000000" w:rsidRPr="00000000" w:rsidDel="00000000">
              <w:rPr>
                <w:rtl w:val="0"/>
              </w:rPr>
              <w:t xml:space="preserve">apakšpunkta</w:t>
            </w:r>
            <w:r w:rsidR="00000000" w:rsidRPr="00000000" w:rsidDel="00000000">
              <w:rPr>
                <w:rtl w:val="0"/>
              </w:rPr>
              <w:t xml:space="preserve">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tikai MK noteikumu projekta 25.11.2.apakšpunktā minētajām sadarbības partneru izmaksām tiks piešķirts finansējums saskaņā ar finansējuma saņēmēja izstrādāto finansējuma sadales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25.8.2. sadarbības partneriem šo noteikumu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īstenošanai saskaņā ar 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minēto finansējuma sadales kārtību un finansējuma kvotu;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25.12.1. projekta vadības personāla atlīdzības izmaksas (izņemot virsstundas) šo noteikumu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primāri izvērtēt iespēju piemērot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tiks pieņemts lēmums izstrādāt metodiku, lūdzam noteikumu projekta 25.12.1. un 25.12.2.punktu papildināt ar nosacījumu, ka līdz brīdim kamēr tiks apstiprināta vienkāršoto izmaksu metodika projekta tiešajās attiecināmajās personāla izmaksās var iekļaut to darbinieku atlīdzības izmaksas, kuri ne mazāk kā 30% no normālā darba laika veic pienākumus, kas saistīti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 nosacījumu, ka attiecīgā metodika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25.punkts un anotācijā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normālo darba laiku uz darba līguma pamata. Ja projekta vadības vai īstenošanas personāls ir nodarbināts nepilnu darba laiku vai daļlaiku, jaunradītas darba vietas aprīkojuma iegādes vai nomas izmaksas ir attiecināmas proporcionāli darba slodzes procentuālajam sadalījumam;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25.13.apakšpunktā norādītās izmaksas attiecas uz finansējuma saņēmēju un/vai sadarbības partneri. Vēršam uzmanību, ka esošajā 25.13.apakšpunkta redakcijā izmaksas par darba vietas aprīkojumu ir attiecināmas tikai personālam ar kuru noslēgts darba līgums, bet nav attiecināmas personālam, kas pieņemts uz rīkojuma pamata (ierēdnim).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normālo darba laiku uz darba līguma vai rīkojuma pamata. Ja finansējuma saņēmēja projekta vadības vai īstenošanas personāls ir nodarbināts nepilnu darba laiku, darba vietas aprīkojuma iegādes vai nomas izmaksas ir attiecināmas proporcionāli darba slodzes procentuālajam sadalījumam. Ja finansējuma saņēmēja projekta vadības vai īstenošanas personāls ir nodarbināts daļlaiku, darba vietas aprīkojuma iegādes vai nomas izmaksas ir attiecināmas proporcionāli darba slodzes procentuālajam sadalījumam un ņemot vērā darbinieka iesaistes periodu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normālo darba laiku uz darba līguma vai rīkojuma pamata. Ja finansējuma saņēmēja projekta vadības vai īstenošanas personāls ir nodarbināts nepilnu darba laiku, darba vietas aprīkojuma iegādes vai nomas izmaksas ir attiecināmas proporcionāli darba slodzes procentuālajam sadalījumam. Ja finansējuma saņēmēja projekta vadības vai īstenošanas personāls ir nodarbināts daļlaiku, darba vietas aprīkojuma iegādes vai nomas izmaksas ir attiecināmas proporcionāli darba slodzes procentuālajam sadalījumam un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normālo darba laiku uz darba līguma pamata. Ja projekta vadības vai īstenošanas personāls ir nodarbināts nepilnu darba laiku vai daļlaiku, jaunradītas darba vietas aprīkojuma iegādes vai nomas izmaksas ir attiecināmas proporcionāli darba slodzes procentuālajam sadalījumam;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2021.-2027.gada plānošanas periodā" 33.punktu,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projekta vadības vai īstenošanas personāls ir nodarbināts projektā normālo darba laiku uz darba līguma pamata. Ja projekta vadības vai īstenošanas personāls ir nodarbināts nepilnu darba laiku, darba vietas aprīkojuma iegādes vai nomas izmaksas ir attiecināmas proporcionāli darba slodzes procentuālajam sadalījumam. Ja projekta vadības vai īstenošanas personāls ir nodarbināts daļlaiku, darba vietas aprīkojuma iegādes vai nomas izmaksas ir attiecināmas proporcionāli darba slodzes procentuālajam sadalījumam un, ņemot vērā darbinieka iesaistes periodam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normālo darba laiku uz darba līguma vai rīkojuma pamata. Ja finansējuma saņēmēja projekta vadības vai īstenošanas personāls ir nodarbināts nepilnu darba laiku, darba vietas aprīkojuma iegādes vai nomas izmaksas ir attiecināmas proporcionāli darba slodzes procentuālajam sadalījumam. Ja finansējuma saņēmēja projekta vadības vai īstenošanas personāls ir nodarbināts daļlaiku, darba vietas aprīkojuma iegādes vai nomas izmaksas ir attiecināmas proporcionāli darba slodzes procentuālajam sadalījumam un ņemot vērā darbinieka iesaistes periodu projektā pret projekta kopējo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normālo darba laiku uz darba līguma vai rīkojuma pamata. Ja finansējuma saņēmēja projekta vadības vai īstenošanas personāls ir nodarbināts nepilnu darba laiku, darba vietas aprīkojuma iegādes vai nomas izmaksas ir attiecināmas proporcionāli darba slodzes procentuālajam sadalījumam. Ja finansējuma saņēmēja projekta vadības vai īstenošanas personāls ir nodarbināts daļlaiku, darba vietas aprīkojuma iegādes vai nomas izmaksas ir attiecināmas proporcionāli darba slodzes procentuālajam sadalījumam un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25.13.2. projekta īstenošanas personāla izmaksas, ieskaitot piemaksas, pabalstus un citas darbinieku atlīdzības izmaksas (izņemot virsstundas), šo noteikumu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un ar vadošo iestādi saskaņotās vienkāršoto izmaksu metodikas apstiprināšanai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25.13.2.apakšpunktā noteikt, ka projekta īstenošanas personāla izmaksas attiecas uz finansējuma saņēmēja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veselības apdrošināšanas izmaksas finansējuma saņēmēja projekta vadības un īstenošanas personālam, ja veselības apdrošināšana paredzēta finansējuma saņēmēja iestādē, kas līdz atbildīgās iestādes izstrādātās vienkāršoto izmaksu metodikas personāla izmaksām apstiprināšanai ir attiecināmas kā faktiskās izmaksas. Ja personāls ir nodarbināts normālo darba laiku, veselības apdrošināšanas izmaksas ir attiecināmas 100 procentu apmērā. Ja personāls ir nodarbināts nepilnu darba laiku, veselības apdrošināšanas izmaksas nosakāmas atbilstoši nepilnā darba 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tekstu, ka izmaksas ir attiecināmas arī personālam, kas nodarbināts daļlaiku.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apdrošināšanas izmaksas finansējuma saņēmēja projekta vadības un īstenošanas personālam, ja veselības apdrošināšana paredzēta finansējuma saņēmēja iestādē, kas līdz atbildīgās iestādes izstrādātās vienkāršoto izmaksu metodikas personāla izmaksām apstiprināšanai ir attiecināmas kā faktiskās izmaksas. Ja personāls ir nodarbināts normālo darba laiku, veselības apdrošināšanas izmaksas ir attiecināmas 100 procentu apmērā. Ja personāls ir nodarbināts nepilnu darba laiku, veselības apdrošināšanas izmaksas nosakāmas atbilstoši nepilnā darba laika noslodzei. Veselības apdrošināšanas izmaksas ir attiecināmas tikai laikposmā, kad personāls ir nodarbināts projektā, un ir attiecināmas arī personālam, kas ir nodarbināts daļlaiku;"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25.17. ārvalstu komandējumu izmaksas atbilstoši normatīvajiem aktiem, kas nosaka kārtību, kādā atlīdzināmi ar komandējumiem saistītie izdevumi, finansējuma saņēmēja projekta vadītājam un projekta īstenošanas personālam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īstenošanai, ja tās ir tieši saistītas ar projekta mērķi un ar projekta rezultāta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norādīt kuru 23.punkta apakšpunktos norādīto darbību ietvaros plānoti ārvalstu komandējumi.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plānotās atbalstāmās darbības un izmaksas, kā arī ņemot vērā to, ka projekta īstenošanas vieta ir Latvijas Republikas teritorija, ārvalstu komandējumu izmaksas no 4.2.3.1.pasākuma attiecināmajām izmaksām ir izkļautas. Skaidrojam, ka ārvalstu komandējumu izmaksas tika iekļautas attiecināmajās izmaksās, pamatojoties uz apsvērumu, ka 4.2.3.1.pasākumā paredzētās darbības var sniegt ieguldījumu Eiropas Savienības stratēģijas Baltijas jūras reģionam (ESSBJR) Izglītības politikas jomas īstenošanā, jo ir vērstas uz priekšlaicīgas mācību pārtraukšanas riska samazināšanu.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pakalpojumu un preču piegādes izmaksas finansējuma saņēmējam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tai skaitā projektā īstenoto atbalstāmo darbību ieviešanas efektivitātes izvērtējumu izmaksas šo noteikumu </w:t>
            </w:r>
            <w:r w:rsidR="00000000" w:rsidRPr="00000000" w:rsidDel="00000000">
              <w:rPr>
                <w:rtl w:val="0"/>
              </w:rPr>
              <w:t xml:space="preserve">23.9.</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ietvaros, tulkošanas izmaksas šo noteikumu </w:t>
            </w:r>
            <w:r w:rsidR="00000000" w:rsidRPr="00000000" w:rsidDel="00000000">
              <w:rPr>
                <w:rtl w:val="0"/>
              </w:rPr>
              <w:t xml:space="preserve">23.7.1.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w:t>
            </w:r>
            <w:r w:rsidR="00000000" w:rsidRPr="00000000" w:rsidDel="00000000">
              <w:rPr>
                <w:rtl w:val="0"/>
              </w:rPr>
              <w:t xml:space="preserve">23.7.1.</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īstenošanā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skaidrot tulkošanas izdevumu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attiecināmas noteikumu projekta 25.21. apakšpunktā minētās tulkošanas izmaksas. Tulkošanas izmaksas finansējuma saņēmējam var rasties, piemēram, uzaicinot piedalīties ārvalstu ekspertus finansējuma saņēmēja rīkotās, ar 4.2.3.1.pasākuma mērķi un tematiku saistītās konferencēs vai komunicējot projekta rezultātus, piemēram, Eiropas Komisijas vizīšu laikā. 4.2.3.1.pasākuma ietvaros var tikt attiecinātas mutvārdu un rakstveida tulkošanas izmaksas Eiropas Savienības oficiālajās valodās.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25.15. pakalpojumu un preču piegādes izmaksas finansējuma saņēmējam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tai skaitā projektā īstenoto atbalstāmo darbību ieviešanas efektivitātes izvērtējumu izmaksas šo noteikumu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ietvaros, tulkošanas izmaksas šo noteikumu </w:t>
            </w:r>
            <w:r w:rsidR="00000000" w:rsidRPr="00000000" w:rsidDel="00000000">
              <w:rPr>
                <w:rtl w:val="0"/>
              </w:rPr>
              <w:t xml:space="preserve">23.7.1.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īstenošanā pēc nepieciešamības.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pakalpojumu un preču piegādes izmaksas finansējuma saņēmējam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tai skaitā projektā īstenoto atbalstāmo darbību ieviešanas efektivitātes izvērtējumu izmaksas šo noteikumu </w:t>
            </w:r>
            <w:r w:rsidR="00000000" w:rsidRPr="00000000" w:rsidDel="00000000">
              <w:rPr>
                <w:rtl w:val="0"/>
              </w:rPr>
              <w:t xml:space="preserve">23.9.</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ietvaros, tulkošanas izmaksas šo noteikumu </w:t>
            </w:r>
            <w:r w:rsidR="00000000" w:rsidRPr="00000000" w:rsidDel="00000000">
              <w:rPr>
                <w:rtl w:val="0"/>
              </w:rPr>
              <w:t xml:space="preserve">23.7.1.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w:t>
            </w:r>
            <w:r w:rsidR="00000000" w:rsidRPr="00000000" w:rsidDel="00000000">
              <w:rPr>
                <w:rtl w:val="0"/>
              </w:rPr>
              <w:t xml:space="preserve">23.7.1.</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īstenošanā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teikuma daļu: "pakalpojumu izmaksas horizontālā principa "Vienlīdzība, iekļaušana, nediskriminācija un pamattiesību ievērošana" darbību īstenošanai, tai skaitā ekspertu konsultācijas, zīmju valodas tulka, reāllaika transkripcijas, subtitru nodrošināšana šo noteikumu 23.7.1. un 23.8. apakšpunktā minēto atbalstāmo darbību īstenošanā pēc nepieciešamības" ar atsauci uz 23.7.2. apakšpunktā minēto darbību. Proti, arī izglītojamo vecākiem var būt funkcionālie traucējumi, tāpēc minēto atbalstus ir jāparedz arī šai mērķa grupai.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pakalpojumu un preču piegādes izmaksas finansējuma saņēmējam šo noteikumu 23. punktā minēto atbalstāmo darbību nodrošināšanai, tai skaitā projektā īstenoto atbalstāmo darbību ieviešanas efektivitātes izvērtējumu izmaksas šo noteikumu 23.9. un 23.10. apakšpunktā minēto atbalstāmo darbību ietvaros, tulkošanas izmaksas šo noteikumu 23.7.1., 23.8. un 23.10. apakšpunktā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23.7.1., </w:t>
            </w:r>
            <w:r w:rsidR="00000000" w:rsidRPr="00000000" w:rsidDel="00000000">
              <w:rPr>
                <w:b w:val="1"/>
                <w:rtl w:val="0"/>
              </w:rPr>
              <w:t xml:space="preserve">23.7.2.</w:t>
            </w:r>
            <w:r w:rsidR="00000000" w:rsidRPr="00000000" w:rsidDel="00000000">
              <w:rPr>
                <w:rtl w:val="0"/>
              </w:rPr>
              <w:t xml:space="preserve"> un 23.8. apakšpunktā minēto atbalstāmo darbību īstenošanā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pakalpojumu izmaksas horizontālā principa "Vienlīdzība, iekļaušana, nediskriminācija un pamattiesību ievērošana" īstenošanai attiecinot uz visu noteikumu projekta 23.7.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25.15. pakalpojumu un preču piegādes izmaksas finansējuma saņēmējam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tai skaitā projektā īstenoto atbalstāmo darbību ieviešanas efektivitātes izvērtējumu izmaksas šo noteikumu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ietvaros, tulkošanas izmaksas šo noteikumu </w:t>
            </w:r>
            <w:r w:rsidR="00000000" w:rsidRPr="00000000" w:rsidDel="00000000">
              <w:rPr>
                <w:rtl w:val="0"/>
              </w:rPr>
              <w:t xml:space="preserve">23.7.1.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īstenošanā pēc nepieciešamības.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Pievienotās vērtības nodoklis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pasākumā ir plānoti projekti ar kopējām attiecināmajām izmaksām, sākot ar 5 milj. EUR (t.sk. PVN), lai trešajai pusei būtu izsekojami, aicinām pie noteikumu projekta attiecīgā punkta papildināt ar skaidru nosacījumu, ka gadījumos, ja projekta kopējās attiecināmās izmaksas ir vismaz 5 milj. EUR (ieskaitot PVN), tās ir attiecināmas, ja vien nav atgūstamas saskaņā ar valsts normatīvajiem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projekta kopējās attiecināmās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tās ir attiecināmas, ja vien nav atgūstamas saskaņā ar valsts normatīvajiem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informācijas un publicitātes pasākumus saskaņā ar Regulas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33.1.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informācijas un publicitātes pasākumus saskaņā ar Regulas Nr. 2021/1060 47. un 50. pantu un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risinājuma apraksts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nodrošina komunikācijas un vizuālās identitātes prasības saskaņā ar regulas Nr. 2021/1060 47. un 50. pantu un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Īstenojot projektu, finansējuma saņēmējs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uzdod finansējuma saņēmējam un/vai sadarbības partnerim uzkrāt informāciju par mērķa grupas dalībniekiem saskaņā ar Eiropas Parlamenta un Padomes 2021. gada 24. jūnija Regulas (ES) Nr. 2021/1057, ar ko izveido Eiropas Sociālo fondu Plus (ESF+) un atceļ Regulu (ES) Nr. 1296/2013, I pielikumu, un Ministru kabineta 2023. gada 21. marta noteikumu Nr. 135 "Eiropas Savienības fondu projektu pārbaužu veikšanas kārtība 2021.–2027. gada plānošanas periodā" 1.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(33.5.apakšpunkts).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datus atbilstoši Regulas Nr.2021/1057 un MK noteikumu Nr.135 1.pielikumam plānots uzkrāt par mērķa grupas izglītojamiem ar nepabeigtu pamatizglītību, kuri ir iesaistījušies noteikumu projekta 23.4.2.apakšpunktā minētajās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interaktīvajā atbalsta platformā tiks uzkrāti dati arī par citiem 4.2.3.1.pasākuma mērķa grupas izglītojamiem. Tā kā 4.2.3.1.pasākuma mērķa grupa ir izglītojamie (kuri ir reģistrēti izglītības iestādē), MK noteikumu Nr.135 1.pielikumā vairākas sadaļas (piemēram, “Statuss darba tirgū” u.c.) neatbilst visas mērķa grupas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Īstenojot projektu, finansējuma saņēmējs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35.6.1. izstrādā vienotu projektu atklāto konkursu nolikumu, tostarp vienotus vērtēšanas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ar informāciju, kurš pieņem lēmumu par atklātā konkursa projektu apstiprināšanu- vai tas būs sadarbības partneris vai finansējuma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Veršam uzmanību, ka, ja noteikumu projekts paredz, ka tiek sniegts atbalsts gala labuma guvējam, institūcijai (ja tā ir publiska persona), kas pieņem lēmumu par atklātā konkursa projektu apstiprināšanu, ir saistošas gan Ministru kabineta 2017. gada 17. oktobra noteikumu Nr. 630 “Noteikumi par iekšējās kontroles sistēmas pamatprasībām korupcijas un interešu konflikta riska novēršanai publiskas personas institūcijā”, gan Komisijas regulas Nr. 2018/1046  61. panta prasības attiecībā uz korupcijas un interešu konflikta novēršanu. Lai nodrošinātu nepieciešamo prasību izpildi, lūdzam papildināt noteikumu projektu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sadarbības partnerim ir pienākums līdz projekta iesnieguma iesniegšanai izstrādāt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trauksmes celšanas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procedūru disciplināratbildības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ziņošanas mehānismu kompetentajām iestādēm par potenciāliem administratīviem vai kriminālpārkāpumiem.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anotācijas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gala lēmumu par atklātā konkursa projektu apstiprināšanu pieņem finansējuma saņēmējs. Tomēr faktiski lēmums tiek pieņemts divos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pieņem atklātā konkursa projektu vērtēšanas komisija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lēmumu apstiprina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attiecināta gan uz finansējuma saņēmēju, gan uz sadarbības partneriem (sk. noteikumu projekta 36.punktu).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konkursa projektu vērtēšanu veiks 4.2.3.1.pasākuma finansējuma saņēmēja izveidota neatkarīgu ekspertu komisija vai arī pašvaldības izveidota vērtēšanas komisija. Neatkarīgā ekspertu komisijā varētu tikt uzaicināti piedalīties tai skaitā augstākās izglītības iestāžu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35.6.1. izstrādā vienotu iniciatīvu projektu atklāto konkursu nolikumu, tostarp vienotus vērtēšanas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35.6.3. iniciatīvu projektu iesniegumu vērtēšanai izveido neatkarīgu ekspertu komisiju vai arī organizē sava pārstāvja piedalīšanos novērotāja statusā, ja nepieciešams - izlases kārtībā, pašvaldību izveidotās iniciatīvu projektu iesniegumu vērtēšanas komisijās;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izziņas 15.punktā norādīto iebildumu par potenciālo interešu konflikta risku attiecībā uz jaunatnes iniciatīvu projektu atlases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minētās Revīzijas iestādes rekomendācijas un augsto interešu konflikta risku gadījumā, ja iniciatīvu projektu atlasi un vērtēšanu veic sadarbības partneris - pašvaldība (nelielas kopienas un savstarpēja saistība - NVO/pašvaldība/izglītības iestāde), aicinām pilnībā izslēgt sadarbības partneri - pašvaldību no vērtēšanas procesa, atstājot to tikai finansējuma saņēmēja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nosakot, ka skolas – kopienas iniciatīvu projektu vērtēšanu 4.2.3.1. pasākuma ietvaros veiks ESF+ projekta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35.6.2. organizē iniciatīvu projektu iesniegumu atklātus konkursus, tai skaitā veic iniciatīvu projektu iesniegumu vērtēšanu un apstiprināšanu;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26.lpp ar informāciju, no kāda finansējuma avota tiks nodrošināta projekta ietvaros izstrādātā interaktīvā atbalsta platformas uzturēšana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4.2.3.1. pasākumā izveidotās interaktīvās atbalsta platformas uzturēšanu nodrošinās Valsts izglītības satura centrs esošo funkciju un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w:t>
            </w:r>
            <w:r w:rsidR="00000000" w:rsidRPr="00000000" w:rsidDel="00000000">
              <w:rPr>
                <w:b w:val="1"/>
                <w:u w:val="single"/>
                <w:rtl w:val="0"/>
              </w:rPr>
              <w:t xml:space="preserve">kā tiks nodrošināta demarkācija</w:t>
            </w:r>
            <w:r w:rsidR="00000000" w:rsidRPr="00000000" w:rsidDel="00000000">
              <w:rPr>
                <w:rtl w:val="0"/>
              </w:rPr>
              <w:t xml:space="preserve"> ar 4.3.6. specifiskā atbalsta mērķa "Veicināt nabadzības vai sociālās atstumtības riskam pakļauto cilvēku, tostarp vistrūcīgāko un bērnu, sociālo integrāciju" (turpmāk - 4.3.6.SAM) minētajiem trīs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novērsts dubultā finansējuma risks, sinerģija un demarkācija ar minētajiem 4.3.6. specifiskā atbalsta mērķa (turpmāk – SAM) pasākumiem tiks nodrošināta, atbildīgajām institūcijām regulāri savstarpēji komunicējot par pasākumu ieviešanas praktiskajiem aspektiem. Komunikācija ir nodrošināma un uzraugāma abos virzienos – starp 4.2.3.1. pasākumu un   minētajiem 4.3.6. SAM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šeit un tālāk anotācijā precizēt finansējumu atbilstoši Eiropas Savienības kohēzijas politikas programmas 2021.-2027.gadam  papildinājumam (skat.piedāvāto redakciju pie noteikumu projekta 8.punkta izteiktā 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precizēta informācija par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informāciju par nepieciešamību stiprināt pašvaldības izglītības ekosistēmas pieeju, īpaši attiecībā uz starpresora sadarbību, šobrīd projekta ietvarā plānotās darbības (rekomendāciju izstrāde, vadlīnijas, utt.) ir daudz mazāk efektīvas kā pašas sadarbības kvalitātes stiprināšana esošās pašvaldības ietvarā, ņemot vērā jau tās esošos resursus un to ilgtspēju. Ņemot vērā, ka pašvaldības jau šobrīd ir plānotas kā projekta sadarbības partneri, aicinām aizstāt šobrīd tiesību akta projektā 23.punktā nacionālā mērogā plānotās darbības ar atbalstu pašvaldību starpresora sadarbības pilnveides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gan ir būtiski paredzēt atbalstu pašvaldībām, būtu nepieciešams virzīties uz nacionāla mēroga prevencijas pasākumu nodrošināšanu. Rekomendāciju izstrāde palīdzētu plānot turpmākus atbalsta pasākumus riskam pakļautiem izglītojamiem un izglītojamo labbūtībai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apakšsadaļā "Risinājuma apraksts" detalizēti aprakstīt izglītības iestāžu partnerības projektu organizēšanas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pašlaik vēl turpinās Britu padomes pārstāvniecības Latvijā sadarbībā ar Izglītības un zinātnes ministriju izstrādātā pilotprojekta īstenošana, un ESF+ projektā, kas tiks īstenots 4.2.3.1.pasākuma ietvaros, ieviešot atbalstāmo darbību, tiks ņemti vērā pilotprojekta rezultāti un rekomendācijas 2024.gada 3.ceturksnī, tāpēc liela detalizācijas pakāpe jau MK noteikumu līmenī var apgrūtināt atbalstāmās darbības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"Risinājuma apraksts" 4.punktā pie atbalstāmajās darbības "Mācību programmu izstrāde, licencēšana un īstenošana" ir šāds teksts "Atbalsta īstenošanu pilotprojekta veidā akreditētās valsts, valsts augstskolu un pašvaldību profesionālās izglītības iestādēs plānots uzsākt 2024./ 2025. mācību gada sākumā, ja atbalstāmās darbības īstenošanai tiks rasts nepieciešamais papildu finansējums". Lūdzam skaidrot, ko nozīmē nosacījums, ja atbalstāmās darbības īstenošanai tiks rasts nepieciešamais finansējums? Vēršam uzmanību, ka jaunu programmu izstrāde un licencēšana ir jēgpilna tikai gadījumā, ja tās tiek tālāk aprobētas un īstenotas.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apakšsadaļā "Risinājuma apraksts" skaidrot kāpēc mentora atbalsts paredzēts tikai jauniešiem nevis visai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SAM MK noteikumos ir jāparedz nepieciešamību finansējuma saņēmējam veikt projekta izmaksu un ieguvumu analīzi, ja projekta kopējās izmaksas ir lielākas par 1 miljonu euro,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SAM MK noteikumu projektā netiek plānots veikt izmaksu un ieguvumu analīzi un anotācijā norādītais "ņemot vērā ka izglītības nozares investīciju projektiem, kuros plānotais iznākums ir sociālās atstumtības un priekšlaicīgas mācību pārtraukšanas riskam pakļautu izglītojamo iekļaušana, viņu labizjūtas veicināšana izglītības vidē, nav objektīvi nosakāma vērtība naudas izteiksmē, kas būtu izmantojama izmaksu un ieguvumu analīzes veikšanā" nav pietiekams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Ministru kabineta 2023. gada 13. jūlija sēdes protokollēmumā (prot. Nr. 36 85. § 3. punkts) noteikto aicinām SAM MK noteikumos iekļaut nepieciešamību finansējuma saņēmējam veikt projekta izmaksu un ieguvumu analīzi vai MK noteikumu anotāciju papildināt ar izmaksu un ieguvumu analīzi kurā ar aprēķiniem un datiem pamatot ka sabiedrības sociālekonomiskie ieguvumi ir lielāki par šīm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risinājuma apraksts (1.3.sadaļa, sk. “Vai ir izvērtēti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pieejami dati aprēķiniem, lai korekti veiktu izmaksu un ieguvumu analīzi, tāpēc sniegts skaidrojums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apakšsadaļu "Cita informācija" ar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4.2.3.1.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informācijas atspoguļošanu anotācijas 3.sadaļā, lūdzam pārcelt informāciju no apakšsadaļas "Cita informācija" uz  6.1.punktu - attiecībā uz valsts budžeta ieņēmumos plānoto finansējumu, un 6.2.punktu - attiecībā uz valsts budžeta izdevumos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gadskārtējais valsts budžeta likums tiek plānots pilnos </w:t>
            </w:r>
            <w:r w:rsidR="00000000" w:rsidRPr="00000000" w:rsidDel="00000000">
              <w:rPr>
                <w:i w:val="1"/>
                <w:rtl w:val="0"/>
              </w:rPr>
              <w:t xml:space="preserve">euro</w:t>
            </w:r>
            <w:r w:rsidR="00000000" w:rsidRPr="00000000" w:rsidDel="00000000">
              <w:rPr>
                <w:rtl w:val="0"/>
              </w:rPr>
              <w:t xml:space="preserve">, lūdzam informāciju par 2027.gadu norādīt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informācija par finansējumu precizēta un pārcelta no apakšsadaļas "Cita informācija" uz 6. punktu (kā arī 6.1. un 6.2.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iekļaujot specifiskās un vispārīgās darbības.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tiks īstenotas darbības, kas veicina personu ar invaliditāti vienlīdzīgām iespējas un 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 sadaļa papildināta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pasākuma ietekmes uz dzimumu līdztiesību aprakstu atbilstoši LM/TM vadlīnijām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tiks īstenotas darbības, kas veicina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-stratēģiju, izglītības programmu, metodisko līdzekļu, vadlīniju, mācību līdzekļu (tai skaitā – digitālo) saturā tiks integrēti jautājumi par dzimumu līdztiesību, personu ar invaliditāti vienlīdzīgām iespējām, diskriminācijas novēršanu vecuma, etniskās piederības un citu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sadaļa papildināta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[1]  (turpmāk - HP vadlīnijas)  noteikto, aicinām 8.2. sadaļā sniegt informāciju par projektu iesniegumu vērtēšanas kritērija veidu, kura ietvaros projekta iesniedzējam ir jāsniedz informācija par šī horizontālā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 specifisko un vispārīgo darbību aprakstus pārcelt uz sadaļām 8.1.9 un 8.1.10. (skatīt redakciju priekšlikumus pie attiecīgajām sadaļām), jo tā ir noteikts HP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pasākums tiks īstenots ierobežotas projektu iesniegumu atlases veidā. 4.2.3.1. pasākuma projekta iesnieguma vērtēšanā tiks definēts horizontālā principa “Vienlīdzība, iekļaušana, nediskriminācija un pamattiesību ievērošana” specifiskais atbilstības kritērijs.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8.2.sadaļa.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pasākums tiks īstenots ierobežotas projektu iesniegumu atlases veidā. 4.2.3.1. pasākuma projekta iesnieguma vērtēšanā ir definēts specifiskais atbilstības kritērijs: projektā ir paredzētas darbības, kas veicina  horizontālā principa “Vienlīdzība, iekļaušana, nediskriminācija un pamattiesību ievērošana”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4.2.3.1. pasākuma "Integrēta "skola-kopiena" sadarbības programma atstumtības riska mazināšanai izglītības iestādēs" (turpmāk - 4.2.3.1. pasākums) īstenošanai nepieciešamo finansējumu attiecināmo izmaksu segšanai Valsts izglītības satura centram kā 4.2.3.1. pasākuma plānotajam finansējuma saņēmējam </w:t>
            </w:r>
            <w:r w:rsidR="00000000" w:rsidRPr="00000000" w:rsidDel="00000000">
              <w:rPr>
                <w:b w:val="1"/>
                <w:rtl w:val="0"/>
              </w:rPr>
              <w:t xml:space="preserve">līdz 431 287 </w:t>
            </w:r>
            <w:r w:rsidR="00000000" w:rsidRPr="00000000" w:rsidDel="00000000">
              <w:rPr>
                <w:b w:val="1"/>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w:t>
            </w:r>
            <w:r w:rsidR="00000000" w:rsidRPr="00000000" w:rsidDel="00000000">
              <w:rPr>
                <w:rtl w:val="0"/>
              </w:rPr>
              <w:t xml:space="preserve">norādām, ka Ministru kabineta 2018. gada 17. jūlija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Ņemot vērā minēto, lūdzam papildināt anotāciju ar risku analīzi un detalizētiem aprēķiniem nepieciešamajam finansējumam 431 287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un protokollēmuma projekts, t.sk. precizējot priekšfinansējuma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4.2.3.1. pasākuma "Integrēta "skola-kopiena" sadarbības programma atstumtības riska mazināšanai izglītības iestādēs" (turpmāk – 4.2.3.1. pasākums) īstenošanai 2024. gadā līdz vienošanās noslēgšanai par projekta īstenošanu Valsts izglītības satura centram kā 4.2.3.1. pasākuma plānotajam finansējuma saņēmējam attiecināmo izmaksu segšanai nepieciešamo finansējumu </w:t>
            </w:r>
            <w:r w:rsidR="00000000" w:rsidRPr="00000000" w:rsidDel="00000000">
              <w:rPr>
                <w:b w:val="1"/>
                <w:rtl w:val="0"/>
              </w:rPr>
              <w:t xml:space="preserve">līdz 348</w:t>
            </w:r>
            <w:r w:rsidR="00000000" w:rsidRPr="00000000" w:rsidDel="00000000">
              <w:rPr>
                <w:rtl w:val="0"/>
              </w:rPr>
              <w:t xml:space="preserve"> </w:t>
            </w:r>
            <w:r w:rsidR="00000000" w:rsidRPr="00000000" w:rsidDel="00000000">
              <w:rPr>
                <w:b w:val="1"/>
                <w:rtl w:val="0"/>
              </w:rPr>
              <w:t xml:space="preserve">491 </w:t>
            </w:r>
            <w:r w:rsidR="00000000" w:rsidRPr="00000000" w:rsidDel="00000000">
              <w:rPr>
                <w:b w:val="1"/>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4.2.3.1. pasākuma "Integrēta "skola-kopiena" sadarbības programma atstumtības riska mazināšanai izglītības iestādēs" (turpmāk - 4.2.3.1. pasākums) īstenošanai nepieciešamo finansējumu attiecināmo izmaksu segšanai Valsts izglītības satura centram kā 4.2.3.1. pasākuma plānotajam finansējuma saņēmējam </w:t>
            </w:r>
            <w:r w:rsidR="00000000" w:rsidRPr="00000000" w:rsidDel="00000000">
              <w:rPr>
                <w:b w:val="1"/>
                <w:rtl w:val="0"/>
              </w:rPr>
              <w:t xml:space="preserve">līdz 431 287 </w:t>
            </w:r>
            <w:r w:rsidR="00000000" w:rsidRPr="00000000" w:rsidDel="00000000">
              <w:rPr>
                <w:b w:val="1"/>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2018. gada 17. jūlija Ministru kabineta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Ņemot vērā minēto, lūdzam papildināt anotāciju ar detalizētiem aprēķiniem nepieciešamajam finansējumam 431 287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4.2.3.1. pasākuma "Integrēta "skola-kopiena" sadarbības programma atstumtības riska mazināšanai izglītības iestādēs" (turpmāk – 4.2.3.1. pasākums) īstenošanai 2024. gadā līdz vienošanās noslēgšanai par projekta īstenošanu Valsts izglītības satura centram kā 4.2.3.1. pasākuma plānotajam finansējuma saņēmējam attiecināmo izmaksu segšanai nepieciešamo finansējumu </w:t>
            </w:r>
            <w:r w:rsidR="00000000" w:rsidRPr="00000000" w:rsidDel="00000000">
              <w:rPr>
                <w:b w:val="1"/>
                <w:rtl w:val="0"/>
              </w:rPr>
              <w:t xml:space="preserve">līdz 348</w:t>
            </w:r>
            <w:r w:rsidR="00000000" w:rsidRPr="00000000" w:rsidDel="00000000">
              <w:rPr>
                <w:rtl w:val="0"/>
              </w:rPr>
              <w:t xml:space="preserve"> </w:t>
            </w:r>
            <w:r w:rsidR="00000000" w:rsidRPr="00000000" w:rsidDel="00000000">
              <w:rPr>
                <w:b w:val="1"/>
                <w:rtl w:val="0"/>
              </w:rPr>
              <w:t xml:space="preserve">491 </w:t>
            </w:r>
            <w:r w:rsidR="00000000" w:rsidRPr="00000000" w:rsidDel="00000000">
              <w:rPr>
                <w:b w:val="1"/>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4.2.3.1. pasākuma "Integrēta "skola-kopiena" sadarbības programma atstumtības riska mazināšanai izglītības iestādēs" (turpmāk - 4.2.3.1. pasākums) īstenošanai nepieciešamo finansējumu attiecināmo izmaksu segšanai Izglītības kvalitātes valsts dienestam kā 4.2.3.1. pasākuma plānotajam finansējuma saņēmējam līdz 508 121 </w:t>
            </w:r>
            <w:r w:rsidR="00000000" w:rsidRPr="00000000" w:rsidDel="00000000">
              <w:rPr>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2018. gada 17. jūlija Ministru kabineta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Norādām, ka šobrīd anotācijā nav sniegta informācija, kāpēc pirms projekta apstiprināšanas nepieciešams finansējums 508 121 euro apmērā, kas kavē projekta savlaicīgu sagatavošanu un iesniegšanu sadarbības iestādē pēc noteikumu projekta apstiprināšanas, kādam periodam un kādām izdevumu pozīcijām (pievienojot aprēķinus) minētais finansējums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anotācijā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4.2.3.1. pasākuma "Integrēta "skola-kopiena" sadarbības programma atstumtības riska mazināšanai izglītības iestādēs" (turpmāk – 4.2.3.1. pasākums) īstenošanai 2024. gadā līdz vienošanās noslēgšanai par projekta īstenošanu Valsts izglītības satura centram kā 4.2.3.1. pasākuma plānotajam finansējuma saņēmējam attiecināmo izmaksu segšanai nepieciešamo finansējumu </w:t>
            </w:r>
            <w:r w:rsidR="00000000" w:rsidRPr="00000000" w:rsidDel="00000000">
              <w:rPr>
                <w:b w:val="1"/>
                <w:rtl w:val="0"/>
              </w:rPr>
              <w:t xml:space="preserve">līdz 348</w:t>
            </w:r>
            <w:r w:rsidR="00000000" w:rsidRPr="00000000" w:rsidDel="00000000">
              <w:rPr>
                <w:rtl w:val="0"/>
              </w:rPr>
              <w:t xml:space="preserve"> </w:t>
            </w:r>
            <w:r w:rsidR="00000000" w:rsidRPr="00000000" w:rsidDel="00000000">
              <w:rPr>
                <w:b w:val="1"/>
                <w:rtl w:val="0"/>
              </w:rPr>
              <w:t xml:space="preserve">491 </w:t>
            </w:r>
            <w:r w:rsidR="00000000" w:rsidRPr="00000000" w:rsidDel="00000000">
              <w:rPr>
                <w:b w:val="1"/>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sadarbībā ar Izglītības kvalitātes valsts dienestu un Valsts izglītības satura centru līdz 2024. gada 31. martam izstrādāt atbalsta piedāvājumu, paredzot izglītības iespējas arodizglītības programmās un profesionālās pamatizglītības programmās izglītojamiem ar nepabeigtu pamatizglītību.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23.4.2.punkts paredz, ka viena no pasākuma ietvaros atbalstāmajām darbībām ir mācību programmu izstrāde, licencēšana un īstenošana, t.sk., arodizglītības programmu un profesionālās pamatizglītības programmu izstrāde, licencēšana un īstenošana akreditētās valsts, valsts augstskolu un pašvaldību profesionālās izglītības iestādēs, paredzot izglītības iespējas izglītojamiem ar nepabeigtu pamatizglītību, lūdzam skaidrot, kāpēc Ministru kabineta sēdes protokollēmuma projektā nepieciešams dot atsevišķu uzdevumu, lai nodrošinātu pasākuma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piedāvājuma, kas paredzēts izglītojamiem ar nepabeigtu pamatizglītību, konceptu izstrādā Izglītības un zinātnes ministrija, piedaloties Izglītības kvalitātes valsts dienestam un Valsts izglītības satura centram. 4.2.3.1.pasākumā ir paredzēts atbalsts noteikumu projekta 23.4.2.apakšpunktā minēto programmu izstrādei, licencēšanai un īstenošanai, bet nav paredzēts izstrādāt pašu atbalsta konceptu. Tādēļ Ministru kabineta sēdes protokollēmuma projektā ir dots atsevišķs uzdevums, lai nodrošinātu 4.2.3.1.pasākuma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sadarbībā ar Valsts izglītības satura centru un Izglītības kvalitātes valsts dienestu </w:t>
            </w:r>
            <w:r w:rsidR="00000000" w:rsidRPr="00000000" w:rsidDel="00000000">
              <w:rPr>
                <w:b w:val="1"/>
                <w:rtl w:val="0"/>
              </w:rPr>
              <w:t xml:space="preserve">līdz 2024. gada 31. decembrim</w:t>
            </w:r>
            <w:r w:rsidR="00000000" w:rsidRPr="00000000" w:rsidDel="00000000">
              <w:rPr>
                <w:rtl w:val="0"/>
              </w:rPr>
              <w:t xml:space="preserve"> izstrādāt atbalsta piedāvājumu izglītojamiem, kuri par vispārējās pamatizglītības programmas apguvi ir saņēmuši tikai liecību un atkārtoti mācās 9. klasē vai ir uzņemti profesionālās izglītības iestādē.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3.punktā, vai mērķgrupā ietilpst arī studējošie koledžās, kuras īsteno īsā cikla (1.līmeņa) profesionālo augstāko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3.punkts (mērķa grupa) un anotācija. Skaidrojam, ka 4.2.3.1.pasākuma investīcija ir plānota vispārējās pamatizglītības un vidējās izglītības satura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profesionālās tālākizglītības un profesionālās augstākās izglītības programmu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mērķa grupu šādā redakcijā "profesionālo vidējo izglītības programmu, kuras uzsākamas pēc pamatizglītības ieguves, izglītojamie". Vienlaikus lūdzam iekļaut mērķa grupā profesionālās ievirzes izglītības programmu izglītojamos (kas ietver gan mūzikas un mākslas, gan sporta skolas), lai nodrošinātu, ka izglītojamie, kas saņem atbalstu vispārējās izglītības programmā, atbalstu turpinātu saņemt arī profesionālās ievirzes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4.2.3.1.pasākuma investīcija ir plānota vispārējās pamatizglītības un vidējās izglītības satura apguvei. 4.2.3.1.pasākuma mērķa grupā t.sk. ietilpst arī izglītojamie ar nepietiekamiem mācību rezultātiem 9.klasē pamatizglītības ieguvei (t.i., tie izglītojamie, kuri 9.klasi ir pabeiguši ar liecību, neiegūstot apliecību par vispārējo pamatizglītību, un kuri varēs turpināt izglītību noteikumu projekta 23.5.apakšpunktā minētajās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profesionālās tālākizglītības un profesionālās augstākās izglītības programmu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(RACNA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šajā punktā atrunāt par privātajām izglītības iestādēm - ietilpst vai neietilpst pasākuma mērķa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risinājuma apraksts (1.3.sadaļa) papildināts ar pamatojumu. Lūdzam papildus skatīt Izziņas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profesionālās tālākizglītības un profesionālās augstākās izglītības programmu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5.punkta apakšpunktos, 35.2.punktā sniegto informāciju un anotācijā minēto. Piemēram, projekta iesniedzējs projekta iesniegumā paredz projekta īstenošanā iesaistīt vismaz 3 valsts un valsts augstskolu dibinātas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(t.sk. nacionālie rādītāji), salāgotas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nacionālie rādītāji tiks uzkrāti Kohēzijas politikas fondu vadības informācijas sistēmā, lūdzam 5.2. un 5.3. apakšpunktos norādīto rādītāju nosaukumos neatsaukties uz noteikumu projekta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rādītāju nosaukumos atsauces uz noteikumu projekta punktiem ir dzēstas.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izglītojamo skaits, kuri saņēmuši individualizētu atbalstu – kumulatīva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ir zināmas provizoriskas aplēses tam, cik izglītojamo varētu iesaistīties 4.2.3.1.pasākuma “Integrēta "skola-kopiena" sadarbības programma atstumtības riska mazināšanai izglītības iestādēs” aktivitātēs, it īpaši ņemot vērā Eiropas Savienības struktūrfondu un Kohēzijas fonda 2014.–2020. gada plānošanas perioda Eiropas Sociālā fonda projektā Nr.8.3.4.0/16/I/001 “Atbalsts priekšlaicīgas mācību pārtraukšanas samazināšanai” gūto pieredzi un rezultātus.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izglītojamo skaits, kuri saņēmuši individualizētu atbalstu, – kumulatīva uzskaite;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w:t>
            </w:r>
            <w:r w:rsidR="00000000" w:rsidRPr="00000000" w:rsidDel="00000000">
              <w:rPr>
                <w:rtl w:val="0"/>
              </w:rPr>
              <w:t xml:space="preserve">23.5. </w:t>
            </w:r>
            <w:r w:rsidR="00000000" w:rsidRPr="00000000" w:rsidDel="00000000">
              <w:rPr>
                <w:rtl w:val="0"/>
              </w:rPr>
              <w:t xml:space="preserve">apakšpunkta</w:t>
            </w:r>
            <w:r w:rsidR="00000000" w:rsidRPr="00000000" w:rsidDel="00000000">
              <w:rPr>
                <w:rtl w:val="0"/>
              </w:rPr>
              <w:t xml:space="preserve"> ietvaros īstenoto iniciatīvu projektu un partnerības projektu skaits, tostarp nodrošinot darbu ar reemigrantiem, imigrantiem un mazākumtautībām: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Kohēzijas politikas fondu vadības informācijas sistēmā informāciju par rādītāju iespējams ievadīt tikai vienā līmenī (bez sīkāka iedalījuma), lūgums izvērtēt iespēju nacionālos rādītājus noteikumu projektā definēt vienā numerācijas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rādītāji noteikumu projektā definēti vienā numerācijas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 īsteno kā ierobežotu projekta iesnieguma atlasi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grants ir atbalsta veids, nevis pasākuma īstenošanas veids. Ievērojot minēto, rosinām atsevišķā teikumā vai punktā noteikt, ka plānotais atbalsta veids ir grants.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anotācijā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 īsteno kā ierobežotu projekta iesnieguma atlasi. ESF+ finansējuma veids ir grants.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Pasākumam plānotais kopējais attiecināmais finansējums ir 23 490 000 </w:t>
            </w:r>
            <w:r w:rsidR="00000000" w:rsidRPr="00000000" w:rsidDel="00000000">
              <w:rPr>
                <w:i w:val="1"/>
                <w:rtl w:val="0"/>
              </w:rPr>
              <w:t xml:space="preserve">euro</w:t>
            </w:r>
            <w:r w:rsidR="00000000" w:rsidRPr="00000000" w:rsidDel="00000000">
              <w:rPr>
                <w:rtl w:val="0"/>
              </w:rPr>
              <w:t xml:space="preserve"> (tai skaitā elastības finansējums – 7 538 110 </w:t>
            </w:r>
            <w:r w:rsidR="00000000" w:rsidRPr="00000000" w:rsidDel="00000000">
              <w:rPr>
                <w:i w:val="1"/>
                <w:rtl w:val="0"/>
              </w:rPr>
              <w:t xml:space="preserve">euro</w:t>
            </w:r>
            <w:r w:rsidR="00000000" w:rsidRPr="00000000" w:rsidDel="00000000">
              <w:rPr>
                <w:rtl w:val="0"/>
              </w:rPr>
              <w:t xml:space="preserve">), tai skaitā Eiropas Sociālā fonda Plus finansējums – 19 966 500 </w:t>
            </w:r>
            <w:r w:rsidR="00000000" w:rsidRPr="00000000" w:rsidDel="00000000">
              <w:rPr>
                <w:i w:val="1"/>
                <w:rtl w:val="0"/>
              </w:rPr>
              <w:t xml:space="preserve">euro</w:t>
            </w:r>
            <w:r w:rsidR="00000000" w:rsidRPr="00000000" w:rsidDel="00000000">
              <w:rPr>
                <w:rtl w:val="0"/>
              </w:rPr>
              <w:t xml:space="preserve"> (tai skaitā elastības finansējums –  6 407 394 </w:t>
            </w:r>
            <w:r w:rsidR="00000000" w:rsidRPr="00000000" w:rsidDel="00000000">
              <w:rPr>
                <w:i w:val="1"/>
                <w:rtl w:val="0"/>
              </w:rPr>
              <w:t xml:space="preserve">euro</w:t>
            </w:r>
            <w:r w:rsidR="00000000" w:rsidRPr="00000000" w:rsidDel="00000000">
              <w:rPr>
                <w:rtl w:val="0"/>
              </w:rPr>
              <w:t xml:space="preserve">) un valsts budžeta finansējums – 3 523 500 </w:t>
            </w:r>
            <w:r w:rsidR="00000000" w:rsidRPr="00000000" w:rsidDel="00000000">
              <w:rPr>
                <w:i w:val="1"/>
                <w:rtl w:val="0"/>
              </w:rPr>
              <w:t xml:space="preserve">euro</w:t>
            </w:r>
            <w:r w:rsidR="00000000" w:rsidRPr="00000000" w:rsidDel="00000000">
              <w:rPr>
                <w:rtl w:val="0"/>
              </w:rPr>
              <w:t xml:space="preserve"> (tai skaitā elastības finansējums – 1 130 716 </w:t>
            </w:r>
            <w:r w:rsidR="00000000" w:rsidRPr="00000000" w:rsidDel="00000000">
              <w:rPr>
                <w:i w:val="1"/>
                <w:rtl w:val="0"/>
              </w:rPr>
              <w:t xml:space="preserve">euro</w:t>
            </w:r>
            <w:r w:rsidR="00000000" w:rsidRPr="00000000" w:rsidDel="00000000">
              <w:rPr>
                <w:rtl w:val="0"/>
              </w:rPr>
              <w:t xml:space="preserve">). Pasākumam pieejamais kopējais attiecināmais finansējums ir 15 951 890 </w:t>
            </w:r>
            <w:r w:rsidR="00000000" w:rsidRPr="00000000" w:rsidDel="00000000">
              <w:rPr>
                <w:i w:val="1"/>
                <w:rtl w:val="0"/>
              </w:rPr>
              <w:t xml:space="preserve">euro</w:t>
            </w:r>
            <w:r w:rsidR="00000000" w:rsidRPr="00000000" w:rsidDel="00000000">
              <w:rPr>
                <w:rtl w:val="0"/>
              </w:rPr>
              <w:t xml:space="preserve">, tai skaitā Eiropas Sociālā fonda Plus finansējums – 13 559 106 </w:t>
            </w:r>
            <w:r w:rsidR="00000000" w:rsidRPr="00000000" w:rsidDel="00000000">
              <w:rPr>
                <w:i w:val="1"/>
                <w:rtl w:val="0"/>
              </w:rPr>
              <w:t xml:space="preserve">euro</w:t>
            </w:r>
            <w:r w:rsidR="00000000" w:rsidRPr="00000000" w:rsidDel="00000000">
              <w:rPr>
                <w:rtl w:val="0"/>
              </w:rPr>
              <w:t xml:space="preserve"> un valsts budžeta finansējums – 2 392 784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8.punktu. Attiecīgi lūdzam precizēt arī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23 490 000 euro (</w:t>
            </w:r>
            <w:r w:rsidR="00000000" w:rsidRPr="00000000" w:rsidDel="00000000">
              <w:rPr>
                <w:b w:val="1"/>
                <w:rtl w:val="0"/>
              </w:rPr>
              <w:t xml:space="preserve">no tā</w:t>
            </w:r>
            <w:r w:rsidR="00000000" w:rsidRPr="00000000" w:rsidDel="00000000">
              <w:rPr>
                <w:rtl w:val="0"/>
              </w:rPr>
              <w:t xml:space="preserve"> elastības finansējums – 7 538 110  euro), tai skaitā ESF+ finansējums – 19 966 500 euro (</w:t>
            </w:r>
            <w:r w:rsidR="00000000" w:rsidRPr="00000000" w:rsidDel="00000000">
              <w:rPr>
                <w:b w:val="1"/>
                <w:rtl w:val="0"/>
              </w:rPr>
              <w:t xml:space="preserve">no tā </w:t>
            </w:r>
            <w:r w:rsidR="00000000" w:rsidRPr="00000000" w:rsidDel="00000000">
              <w:rPr>
                <w:rtl w:val="0"/>
              </w:rPr>
              <w:t xml:space="preserve">elastības finansējums – 6 407 394 euro) un valsts budžeta līdzfinansējums – 3 523 500 euro (</w:t>
            </w:r>
            <w:r w:rsidR="00000000" w:rsidRPr="00000000" w:rsidDel="00000000">
              <w:rPr>
                <w:b w:val="1"/>
                <w:rtl w:val="0"/>
              </w:rPr>
              <w:t xml:space="preserve">no tā</w:t>
            </w:r>
            <w:r w:rsidR="00000000" w:rsidRPr="00000000" w:rsidDel="00000000">
              <w:rPr>
                <w:rtl w:val="0"/>
              </w:rPr>
              <w:t xml:space="preserve"> elastības finansējums – 1 130 716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iesniegumā</w:t>
            </w:r>
            <w:r w:rsidR="00000000" w:rsidRPr="00000000" w:rsidDel="00000000">
              <w:rPr>
                <w:rtl w:val="0"/>
              </w:rPr>
              <w:t xml:space="preserve"> pasākumam pieejamo finansējumu plāno ne vairāk kā 15 951 890 euro apmērā, tai skaitā  ESF+ finansējumu 13 559 106 euro apmērā un valsts budžeta līdzfinansējumu 2 392 784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23 490 000 euro (no tā elastības finansējums – 7 538 110  euro), tai skaitā ESF+ finansējums – 19 966 500 euro (no tā elastības finansējums – 6 407 394 euro) un valsts budžeta līdzfinansējums – 3 523 500 euro (no tā elastības finansējums – 1 130 716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pasākumam pieejamo finansējumu plāno ne vairāk kā 15 951 890 euro apmērā, tai skaitā  ESF+ finansējumu 13 559 106 euro apmērā un valsts budžeta līdzfinansējumu 2 392 784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23 490 000 </w:t>
            </w:r>
            <w:r w:rsidR="00000000" w:rsidRPr="00000000" w:rsidDel="00000000">
              <w:rPr>
                <w:i w:val="1"/>
                <w:rtl w:val="0"/>
              </w:rPr>
              <w:t xml:space="preserve">euro</w:t>
            </w:r>
            <w:r w:rsidR="00000000" w:rsidRPr="00000000" w:rsidDel="00000000">
              <w:rPr>
                <w:rtl w:val="0"/>
              </w:rPr>
              <w:t xml:space="preserve"> (no tā elastības finansējums – 7 538 110 </w:t>
            </w:r>
            <w:r w:rsidR="00000000" w:rsidRPr="00000000" w:rsidDel="00000000">
              <w:rPr>
                <w:i w:val="1"/>
                <w:rtl w:val="0"/>
              </w:rPr>
              <w:t xml:space="preserve">euro</w:t>
            </w:r>
            <w:r w:rsidR="00000000" w:rsidRPr="00000000" w:rsidDel="00000000">
              <w:rPr>
                <w:rtl w:val="0"/>
              </w:rPr>
              <w:t xml:space="preserve">), tai skaitā ESF+ finansējums – 19 966 500 </w:t>
            </w:r>
            <w:r w:rsidR="00000000" w:rsidRPr="00000000" w:rsidDel="00000000">
              <w:rPr>
                <w:i w:val="1"/>
                <w:rtl w:val="0"/>
              </w:rPr>
              <w:t xml:space="preserve">euro</w:t>
            </w:r>
            <w:r w:rsidR="00000000" w:rsidRPr="00000000" w:rsidDel="00000000">
              <w:rPr>
                <w:rtl w:val="0"/>
              </w:rPr>
              <w:t xml:space="preserve"> (no tā elastības finansējums – 6 407 394 </w:t>
            </w:r>
            <w:r w:rsidR="00000000" w:rsidRPr="00000000" w:rsidDel="00000000">
              <w:rPr>
                <w:i w:val="1"/>
                <w:rtl w:val="0"/>
              </w:rPr>
              <w:t xml:space="preserve">euro</w:t>
            </w:r>
            <w:r w:rsidR="00000000" w:rsidRPr="00000000" w:rsidDel="00000000">
              <w:rPr>
                <w:rtl w:val="0"/>
              </w:rPr>
              <w:t xml:space="preserve">) un valsts budžeta līdzfinansējums – 3 523 500 </w:t>
            </w:r>
            <w:r w:rsidR="00000000" w:rsidRPr="00000000" w:rsidDel="00000000">
              <w:rPr>
                <w:i w:val="1"/>
                <w:rtl w:val="0"/>
              </w:rPr>
              <w:t xml:space="preserve">euro</w:t>
            </w:r>
            <w:r w:rsidR="00000000" w:rsidRPr="00000000" w:rsidDel="00000000">
              <w:rPr>
                <w:rtl w:val="0"/>
              </w:rPr>
              <w:t xml:space="preserve"> (no tā elastības finansējums – 1 130 716 </w:t>
            </w:r>
            <w:r w:rsidR="00000000" w:rsidRPr="00000000" w:rsidDel="00000000">
              <w:rPr>
                <w:i w:val="1"/>
                <w:rtl w:val="0"/>
              </w:rPr>
              <w:t xml:space="preserve">euro</w:t>
            </w:r>
            <w:r w:rsidR="00000000" w:rsidRPr="00000000" w:rsidDel="00000000">
              <w:rPr>
                <w:rtl w:val="0"/>
              </w:rPr>
              <w:t xml:space="preserve">). Projekta iesniegumā pasākumam pieejamo finansējumu plāno ne vairāk kā 15 951 890 </w:t>
            </w:r>
            <w:r w:rsidR="00000000" w:rsidRPr="00000000" w:rsidDel="00000000">
              <w:rPr>
                <w:i w:val="1"/>
                <w:rtl w:val="0"/>
              </w:rPr>
              <w:t xml:space="preserve">euro</w:t>
            </w:r>
            <w:r w:rsidR="00000000" w:rsidRPr="00000000" w:rsidDel="00000000">
              <w:rPr>
                <w:rtl w:val="0"/>
              </w:rPr>
              <w:t xml:space="preserve"> apmērā, tai skaitā ESF+ finansējumu 13 559 106 </w:t>
            </w:r>
            <w:r w:rsidR="00000000" w:rsidRPr="00000000" w:rsidDel="00000000">
              <w:rPr>
                <w:i w:val="1"/>
                <w:rtl w:val="0"/>
              </w:rPr>
              <w:t xml:space="preserve">euro</w:t>
            </w:r>
            <w:r w:rsidR="00000000" w:rsidRPr="00000000" w:rsidDel="00000000">
              <w:rPr>
                <w:rtl w:val="0"/>
              </w:rPr>
              <w:t xml:space="preserve"> apmērā un valsts budžeta līdzfinansējumu 2 392 784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Valsts izglītības satura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tam, kādēļ pieņemts lēmums mainīt projekta iesniedzēju (kas pēc projekta iesnieguma apstiprināšanas un vienošanās par projekta īstenošanu noslēgšanas ar sadarbības iestādi kļūst par finansējuma saņēmēju) no Izglītības kvalitātes valsts dienests (turpmāk - IKVD) uz Valsts izglītības satura centrs. Līdztekus norādām, ka 2014.–2020.gada plānošanas periodā IKVD bija projekta Nr.8.3.4.0/16/I/001 “Atbalsts priekšlaicīgas mācību pārtraukšanas samazināšanai” (PuMPuRS) īstenotājs un tam ir pieredze īstenojot līdzīgas darbības, kādas plānotas Programmas 2021.–2027.gadam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Valsts izglītības satura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datu apstrādes, glabāšanas un 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18.7. apakšpunkta redakciju, lai projekta piemērotājam būtu nepārprotami saprotams, par kādu datu apstrādi nepieciešams izstrādāt kārtību. No anotācijas saprotams, ka projekta tālākai realizēšanai var tikt apstrādāti fizisko personu dati par personām, kuras var tikt iesaistītas 4.2.3.1. pasākumā, detalizētu datu apstrādes politiku izstrādās finansējuma saņēmējs. Skaidrojam, ka "apstrāde" ir jebkura ar personas datiem vai personas datu kopumiem veikta darbība vai darbību kopums, kas ietver tādas darbības kā vākšanu, glabāšanu, dzēšanu, nosūtīšanu u.tt. Ņemot vērā, ka no projekta 18.7. apakšpunkta redakcijas nav viennozīmīgi skaidrs, par ko un kāda kārtība būtu izstrādājama, aicinām precizēt to, norādot, ka nepieciešams noteikt 4.2.3.1. pasākuma īstenošanai nepieciešamos fizisko personu datus un to apstrādes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nosaka projekta īstenošanai nepieciešamos fizisku personu datus un to apstrādes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pienākumu sadarbības partneriem nodrošināt projekta ietvaros īstenoto atbalstāmo darbību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(RACNA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atbalstāmo darbību rezultātu ilgtspējas nosacījumus (vienotus, izmērāmus)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detalizētāks skaidrojums, tomēr precizējoši nosacījumi tiks iekļauti finansējuma saņēmēja sadarbības līgumā ar sadarbības partneri, ņemot vērā apstiprinātajā investīcijas projektā plānotos atbalstāmo darbību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nosaka projekta īstenošanai nepieciešamos fizisku personu datus un to apstrādes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atbalsts starpresoru sadarbības stiprināšanai nacionālā līmenī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sasniegšanai, kā arī starpinstitūciju sadarbības mehānisma izstrādei un aprobācijai pašvaldībās un preventīvajā darbā iesaistīto speciālistu sadarbībai pašvaldības un izglītības iestādes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aicina pārskatīt plānojamās darbības, t.sk., veicot iepriekš veikto investīciju efektivitātes analīzi attiecībā uz centralizēti īstenotu atbalsta materiālu, informatīvo materiālu, vadlīniju u.c. dokumentācijas veidu izstrādi. Vēršam uzmanību, ka esošie rezultāti apliecina, ka maksimāli atbalsts koncetrējams izglītojamo faktiskajam atbalstam. Aicinām izvērtēt un papildināt anotāciju ar argumentiem, kā konkrēto darbību īstenošanas rezultāti būs izmērāmi (KPI (key-performace indicators) konkrēto darbību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(t.sk. atbalstāmās darbības,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atbalsts starpresoru sadarbības stiprināšanai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sasniegšanai, kā arī starpinstitūciju sadarbības mehānisma pilnveidei pašvaldībās un preventīvajā darbā iesaistīto speciālistu sadarbībai pašvaldības un izglītības iestādes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grupu supervīziju īstenošana pedagogiem, atbalsta personālam un šo noteikumu </w:t>
            </w:r>
            <w:r w:rsidR="00000000" w:rsidRPr="00000000" w:rsidDel="00000000">
              <w:rPr>
                <w:rtl w:val="0"/>
              </w:rPr>
              <w:t xml:space="preserve">23.3.3. </w:t>
            </w:r>
            <w:r w:rsidR="00000000" w:rsidRPr="00000000" w:rsidDel="00000000">
              <w:rPr>
                <w:rtl w:val="0"/>
              </w:rPr>
              <w:t xml:space="preserve">apakšpunktā</w:t>
            </w:r>
            <w:r w:rsidR="00000000" w:rsidRPr="00000000" w:rsidDel="00000000">
              <w:rPr>
                <w:rtl w:val="0"/>
              </w:rPr>
              <w:t xml:space="preserve"> minētajiem izglītojamo mentoriem;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supervīziju īstenošanas darbību paredzēt atbalsta personālam (ņemot vērā esošo pedagogu noslodzi, pieejamos atbalsta resursus), t.sk., paredzēt supervīziju īstenošanas iespējas sociālajiem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mentoriem aicinām paredzēt supervīziju īstenošanu tad, ja mentori ir jaunieši, kas iepriekš nav strādājuši ar vienaudžiem.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paredzot iespēju grupu supervīzijās piedalīties arī sociālajiem darbiniekiem. Skaidrojam, ka atbalsta personāla dalība grupu supervīzijās jau ir paredzēta un iespēja tajās piedalīties tiek saglabāta arī pārējiem speciālistiem (pedagogiem, izglītojamo mentoriem), kuri var tikt iesaistīti atbalsta sniegšanā sociālās atstumtības un priekšlaicīgas mācību pārtraukšanas riskam pakļautiem izglītojamiem. Dalība grupu supervīzijās ir iecerēta kā izvēles, nevis obligāts pasākums.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grupu supervīziju īstenošana pedagogiem, atbalsta personālam, sociālajiem darbiniekiem un šo noteikumu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minētajiem izglītojamo mentoriem;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grupu supervīziju īstenošana pedagogiem, atbalsta personālam un šo noteikumu </w:t>
            </w:r>
            <w:r w:rsidR="00000000" w:rsidRPr="00000000" w:rsidDel="00000000">
              <w:rPr>
                <w:rtl w:val="0"/>
              </w:rPr>
              <w:t xml:space="preserve">23.3.3. </w:t>
            </w:r>
            <w:r w:rsidR="00000000" w:rsidRPr="00000000" w:rsidDel="00000000">
              <w:rPr>
                <w:rtl w:val="0"/>
              </w:rPr>
              <w:t xml:space="preserve">apakšpunktā</w:t>
            </w:r>
            <w:r w:rsidR="00000000" w:rsidRPr="00000000" w:rsidDel="00000000">
              <w:rPr>
                <w:rtl w:val="0"/>
              </w:rPr>
              <w:t xml:space="preserve"> minētajiem izglītojamo mentoriem;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pedagogiem, atbalsta personālam un izglītojamo mentoriem tiek īstenota grupu supervīzija. Lūdzam pamatot, kādēļ netiek paredzēta iespēja izmantot individuālo supervīziju.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4.2.3.1.pasākumā ir paredzēts īstenot grupu supervīzijas, jo salīdzinājumā ar individuālām supervīzijām grupu supervīzijas ir ekonomiskāks atbalsta veids un ļautu sniegt atbalstu plašākam pedagogu un citu speciālistu lokam, kuri var tikt iesaistīti atbalsta sniegšanā sociālās atstumtības un priekšlaicīgas mācību pārtraukšanas riskam pakļautiem izglītojamiem.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grupu supervīziju īstenošana pedagogiem, atbalsta personālam, sociālajiem darbiniekiem un šo noteikumu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minētajiem izglītojamo mentoriem;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23.3.2.1. pedagoga atbalsts izglītojamiem grupās lasītprasmes veicināšanai 1.–3.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projektu un paredzēt pedagoga atbalsts izglītojamiem </w:t>
            </w:r>
            <w:r w:rsidR="00000000" w:rsidRPr="00000000" w:rsidDel="00000000">
              <w:rPr>
                <w:b w:val="1"/>
                <w:rtl w:val="0"/>
              </w:rPr>
              <w:t xml:space="preserve">gan individuāli, gan grupās</w:t>
            </w:r>
            <w:r w:rsidR="00000000" w:rsidRPr="00000000" w:rsidDel="00000000">
              <w:rPr>
                <w:rtl w:val="0"/>
              </w:rPr>
              <w:t xml:space="preserve"> lasītprasmes veicināšanai 1.–3. klasē, ievērojot to, ka skolā nonāk bērni ar dažādām lasīšanas prasmēm. Klasē var būt bērni, kuri lasa jau grāmatas un ir tādi, kas mācās tikai burtot vai velk kopā zilbes, nevis tekoši lasa. Līdz ar to var būt nepieciešamība izglītojamajam sniegt individuālu atbalstu lasītprasmes veicināšanai 1.–3. klasē. Aicinām attiecīgi precizēt arī anotāciju. Gadījumā, ja individuāls atbalsts netiek paredzēts - lūdzam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4.2.3.1. pasākumā tiek paredzēts pedagoga atbalsts izglītojamiem grupās lasītprasmes veicināšanai 1.–3. klasē, lai atbalsts būtu pieejams lielākam izglītojamo skaitam, nekā tas būtu iespējams, īstenojot individuālu pieeju. Skaidrojam, ka, arī nodrošinot atbalstu izglītojamo grupām, šo grupu izveidē var tikt ņemts vērā, cik attīstīta ir izglītojamā lasītprasme, piemēram, grupās apvienojot izglītojamos ar līdzīgi attīstītu lasītprasmi.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23.3.1.1. pedagoga atbalsts izglītojamiem grupās lasītprasmes veicināšanai 1.–3. klasē;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23.3.2.1. pedagoga atbalsts izglītojamiem pirmsskolā lasītprasmes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datiem par izglītojamo skaitu, kuriem ir noteikti lasītprasmes traucējumi pirmsskolas programmas apguvē vai sniegt datos balstītu pamatojumu konkrētā atbalsta ieviešanai (nepieciešamībai). Lūdzam anotāciju papildināt ar informāciju par šāda atbalsta ilgtspēju, ja tas tiek sniegts šobrīd kā īstermiņa risinājums, t.sk., iespējamo fiskālo ietekmi un risinājumiem, kā tiks novērsta iespējama duālā finansēšana kontekstā ar pedagogu mērķdotāciju obligātās izglītības posmā.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t.sk. 4.2.3.1.pasākuma mērķa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23.3.1.1. pedagoga atbalsts izglītojamiem grupās lasītprasmes veicināšanai 1.–3. klasē;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23.3.2.1. pedagoga atbalsts izglītojamiem pirmsskolā lasītprasmes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datiem par izglītojamo skaitu, kuriem ir noteikti lasītprasmes traucējumi pirmsskolas programmas apguvē, kā arī risinājuma ieviešanas aprakstu, jo jau šobrīd izglītības iestādēm ir iespējams piesaistīt pedagogu resursus mācību procesa pilnveidei valsts budžeta mērķdotācijas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4.2.3.1.pasākumā pedagoga atbalstu pirmsskolā lasītprasmes veicināšanai ir paredzēts sniegt sociālās atstumtības un priekšlaicīgas mācību pārtraukšanas riskam pakļautiem bērniem individuāli vai grupās. Tiks nodrošināta sniegtā atbalsta uzskaite (izglītojamā individuālais plāns) un tādējādi būs iespējams nodrošināt finansējuma izsekojamību un demarkāciju ar valsts budžeta mērķdotācijas finansējumu. Ņemot vērā, ka darbs noritēs ar sociālās atstumtības un priekšlaicīgas mācību pārtraukšanas riska grupu, 4.2.3.1.pasākuma ietvaros paredzēta vispārējas bērna lasītprasmes iemaņu veicināšana, attīstīšana, ne tikai traucējumu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23.3.1.1. pedagoga atbalsts izglītojamiem grupās lasītprasmes veicināšanai 1.–3. klasē;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arodizglītības programmu izstrāde, licencēšana un īstenošana akreditētās valsts, valsts augstskolu un pašvaldību profesionālās izglītības iestādēs, paredzot tajās izglītības iespējas izglītojamiem ar nepietiekamiem mācību rezultātiem 9. klasē pamatizglītības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23.5. apakšpunktu, izsakot to,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vai arodizglītības programmu izstrāde būs kā standartprogramma  izglītojamiem ar nepietiekamiem mācību rezultātiem 9. klasi beidzot vai tiks izstrādāta, licencēta un īstenota </w:t>
            </w:r>
            <w:r w:rsidR="00000000" w:rsidRPr="00000000" w:rsidDel="00000000">
              <w:rPr>
                <w:u w:val="single"/>
                <w:rtl w:val="0"/>
              </w:rPr>
              <w:t xml:space="preserve">katrā</w:t>
            </w:r>
            <w:r w:rsidR="00000000" w:rsidRPr="00000000" w:rsidDel="00000000">
              <w:rPr>
                <w:rtl w:val="0"/>
              </w:rPr>
              <w:t xml:space="preserve"> akreditētās valsts, valsts augstskolu un pašvaldību profesionālās</w:t>
            </w:r>
            <w:r w:rsidR="00000000" w:rsidRPr="00000000" w:rsidDel="00000000">
              <w:rPr>
                <w:u w:val="single"/>
                <w:rtl w:val="0"/>
              </w:rPr>
              <w:t xml:space="preserve"> izglītības iestādē individuāli</w:t>
            </w:r>
            <w:r w:rsidR="00000000" w:rsidRPr="00000000" w:rsidDel="00000000">
              <w:rPr>
                <w:rtl w:val="0"/>
              </w:rPr>
              <w:t xml:space="preserve">. Vienlaikus saprotot, ka programmas izstrāde, licencēšana un īstenošana prasa gan laiku, gan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apliecību par pamatizglītību, 9. klases skolēniem jākārto </w:t>
            </w:r>
            <w:r w:rsidR="00000000" w:rsidRPr="00000000" w:rsidDel="00000000">
              <w:rPr>
                <w:u w:val="single"/>
                <w:rtl w:val="0"/>
              </w:rPr>
              <w:t xml:space="preserve">trīs centralizētie eksāmeni</w:t>
            </w:r>
            <w:r w:rsidR="00000000" w:rsidRPr="00000000" w:rsidDel="00000000">
              <w:rPr>
                <w:rtl w:val="0"/>
              </w:rPr>
              <w:t xml:space="preserve">: latviešu valoda, matemātika un svešvaloda. Noteikumu projekts paredz izglītības iespējas pamatizglītības ieguvei izglītojamiem ar nepietiekamiem mācību rezultātiem 9. klasi beidzot, ja izglītojamais nav nokārtojis </w:t>
            </w:r>
            <w:r w:rsidR="00000000" w:rsidRPr="00000000" w:rsidDel="00000000">
              <w:rPr>
                <w:u w:val="single"/>
                <w:rtl w:val="0"/>
              </w:rPr>
              <w:t xml:space="preserve">vienu centralizēto eksāmenu</w:t>
            </w:r>
            <w:r w:rsidR="00000000" w:rsidRPr="00000000" w:rsidDel="00000000">
              <w:rPr>
                <w:rtl w:val="0"/>
              </w:rPr>
              <w:t xml:space="preserve">, bet ir saņēmis sekmīgu vērtējumu pārējos mācību priekšmetos. Attiecīgi aicinām papildināt anotāciju ar statistiku par 9.klases beidzējiem, kas nav nokārtojuši vienu centralizēto eksāmenu un papildinoši, kas nav nokārtojuši divus un/vai nevienu centralizēto eksāmenu.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arodizglītības programmu izstrāde, licencēšana un īstenošana akreditētās valsts, valsts augstskolu un pašvaldību profesionālās izglītības iestādēs, paredzot tajās izglītības iespējas, pamatizglītības ieguvei izglītojamiem ar nepietiekamiem mācību rezultātiem 9.klasi beidzot;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statistiku par izglītojamiem, kuri, beidzot 9. klasi, 2022./ 2023. mācību gadā nenokārtoja vienu vai vairākus centralizētos eksāmenus, precizēts noteikumu projektā lietotais termins šo izglītojamo apzīmēšanai. Vēršam uzmanību, ka izglītojamiem, kuri par vispārējās pamatizglītības apguvi būs saņēmuši tikai liecību, tiks saglabāta līdz šim pieejamā iespēja pamatizglītības ieguvei - atkārtoti mācīties 9. klasē. Vienlaikus noteikumu projekta 23.5.apakšpunkts, kas paredzēja arodizglītības programmu izstrādi, licencēšanu un īstenošanu 4.2.3.1.pasākuma ietvaros, ir dzēsts no noteikumu projekta, jo ir rasta minēto arodizglītības programmu licencēšanas iespēja, veicot grozījumus spēkā esošajā normatīvajā regulējumā un finansējumu programmu licencēšanai rodot valsts budžeta. 4.2.3.1. pasākumā izglītojamiem, kuri par vispārējās pamatizglītības programmas apguvi ir saņēmuši tikai liecību un atkārtoti mācās 9.klasē vai ir uzņemti profesionālās izglītības iestādēs, 4.2.3.1.pasākumā būs pieejams noteikumu projekta 23.3.apakšpunktā minētais individualizētais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skolas – kopienas iniciatīvu projektu īstenošana, lai veicinātu izglītības iestāžu sadarbību ar vietējo kopienu un pašvaldības un izglītības iestāžu vietējo resursu izmantošanu, tostarp paplašinot ārpus formālās izglītības (tai skaitā – interešu izglītības) piedāvājumu izglītības iestādē, nodrošinot darbu ar reemigrantiem, imigrantiem un mazākumtautībām, iesaistot vecākus, ģimenes, citus sabiedrības locekļus, mazinot sociālās atstumtības un priekšlaicīgas mācību pārtraukšanas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informāciju par demarkāciju ar citiem interešu izglītības finansējuma avotiem tiesību akta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risinājuma apraksts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skolas – kopienas iniciatīvu projektu īstenošana, lai veicinātu izglītības iestāžu sadarbību ar vietējo kopienu un pašvaldības un izglītības iestāžu vietējo resursu izmantošanu, tostarp paplašinot ārpus formālās izglītības (tai skaitā – interešu izglītības) piedāvājumu izglītības iestādē, veicinot pilsonisko līdzdalību, nodrošinot darbu ar reemigrantiem, imigrantiem un mazākumtautībām, iesaistot vecākus, ģimenes, citus sabiedrības locekļus, mazinot sociālās atstumtības un priekšlaicīgas mācību pārtraukšanas risku;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23.7.2. nodrošina sadarbības partneri – sadarbības partneru organizēti informēšanas un izglītošanas pasākumi vecākiem (personām, kas realizē aizgādību), kā arī lasītprasmes veicināšanas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anotāciju ar informāciju par demarkāciju ar Kultūras ministrijas un citu iestāžu īstenotajām programmām lasītprasmes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sinerģija un demarkācija ar Kultūras ministrijas un Valsts izglītības satura centra īstenotajām programmām lasītprasmes veicināšanai tiks identificēta un nodrošināta, veidojot savstarpēju dialogu, kā arī tiesību akta projekta saskaņošanas procesā Tiesību aktu projektu publiskajā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23.7.2. sadarbības partneru organizēti mērķsadarbības un izglītojoši pasākumi vecākiem (personām, kas realizē aizgādību), kā arī lasītprasmes veicināšanas pasākumi;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informācijas un publicitātes pasākumi par projekta īstenošanu, tai skaitā lai informētu par projektu kā par stratēģiski svarīgu, kā arī stratēģiski svarīgā projekta komunikācijas plāna, kuru finansējuma saņēmējs iesniedz informācijai atbildīgajā iestādē, izstrāde un īstenošana, kas paredz nodrošināt vismaz viena plašāka mēroga publicitātes pasākumu mediju intereses un sabiedrības uzmanības piesaistīšanai;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punktu, kas nosaka, ka visās stratēģiski svarīgā projekta komunikācijas aktivitātēs (īpaši, plašāka mēroga publicitātes pasākumi, preses relīzes) projekta īstenotājam ir jānodrošina cieša sadarbība ar atbildīgo nozares iestādi un </w:t>
            </w:r>
            <w:r w:rsidR="00000000" w:rsidRPr="00000000" w:rsidDel="00000000">
              <w:rPr>
                <w:u w:val="single"/>
                <w:rtl w:val="0"/>
              </w:rPr>
              <w:t xml:space="preserve">EK pārstāvniecību Latvijā</w:t>
            </w:r>
            <w:r w:rsidR="00000000" w:rsidRPr="00000000" w:rsidDel="00000000">
              <w:rPr>
                <w:rtl w:val="0"/>
              </w:rPr>
              <w:t xml:space="preserve">, saskaņā ar FM vadlīniju Nr. 1.4."Vadlīnijas Ministru kabineta noteikumu par specifiskā atbalsta mērķa īstenošanu izstrādei Eiropas Savienības fondu 2021.—2027. gada plānošanas periodā" 18.2.punktu.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23.8.apakšpunkts un anotācijā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komunikācijas un vizuālās identitātes prasību nodrošināšanas pasākumi par projekta īstenošanu, tai skaitā lai informētu par projektu kā par stratēģiski svarīgu, kā arī stratēģiski svarīgā projekta komunikācijas plāna, kuru finansējuma saņēmējs iesniedz informācijai atbildīgajā iestādē, izstrāde un īstenošana, kas paredz nodrošināt vismaz viena plašāka mēroga publicitātes pasākumu mediju intereses un sabiedrības uzmanības piesaistīšanai. Visās stratēģiski svarīgā projekta komunikācijas aktivitātēs (īpaši, plašāka mēroga publicitātes pasākumi, preses relīzes) finansējuma saņēmējam ir jānodrošina sadarbība ar atbildīgo iestādi un Eiropas Komisijas pārstāvniecību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sadarbības īstenošanas un informācijas apmaiņas procedūru aprakstu pilnveides izmaksas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23.1.3. </w:t>
            </w:r>
            <w:r w:rsidR="00000000" w:rsidRPr="00000000" w:rsidDel="00000000">
              <w:rPr>
                <w:rtl w:val="0"/>
              </w:rPr>
              <w:t xml:space="preserve">apakšpunkta</w:t>
            </w:r>
            <w:r w:rsidR="00000000" w:rsidRPr="00000000" w:rsidDel="00000000">
              <w:rPr>
                <w:rtl w:val="0"/>
              </w:rPr>
              <w:t xml:space="preserve">​​​​​​ ietvaros,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MK noteikumu projekta 25.2.punktā nav jābūt atsaucei uz 23.1.2.apakšpunktā minēto atbalstāmo darbību (nevis 23.1.punktu), ņemot vērā to, ka 25.1. un 25.2.punktā ir minētas atsauces uz 23.1.1. un 23.1.3.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sadarbības īstenošanas un informācijas apmaiņas procedūru aprakstu pilnveides izmaksas šo noteikumu </w:t>
            </w:r>
            <w:r w:rsidR="00000000" w:rsidRPr="00000000" w:rsidDel="00000000">
              <w:rPr>
                <w:rtl w:val="0"/>
              </w:rPr>
              <w:t xml:space="preserve">23.1.2.</w:t>
            </w:r>
            <w:r w:rsidR="00000000" w:rsidRPr="00000000" w:rsidDel="00000000">
              <w:rPr>
                <w:rtl w:val="0"/>
              </w:rPr>
              <w:t xml:space="preserve"> un </w:t>
            </w:r>
            <w:r w:rsidR="00000000" w:rsidRPr="00000000" w:rsidDel="00000000">
              <w:rPr>
                <w:rtl w:val="0"/>
              </w:rPr>
              <w:t xml:space="preserve">23.1.3. </w:t>
            </w:r>
            <w:r w:rsidR="00000000" w:rsidRPr="00000000" w:rsidDel="00000000">
              <w:rPr>
                <w:rtl w:val="0"/>
              </w:rPr>
              <w:t xml:space="preserve">apakšpunkta</w:t>
            </w:r>
            <w:r w:rsidR="00000000" w:rsidRPr="00000000" w:rsidDel="00000000">
              <w:rPr>
                <w:rtl w:val="0"/>
              </w:rPr>
              <w:t xml:space="preserve">​​​​​​ ietvaros,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25.4.1. konsultantu un ekspertu konsultāciju izmaksas šo noteikumu </w:t>
            </w:r>
            <w:r w:rsidR="00000000" w:rsidRPr="00000000" w:rsidDel="00000000">
              <w:rPr>
                <w:rtl w:val="0"/>
              </w:rPr>
              <w:t xml:space="preserve">23.1.4.1. </w:t>
            </w:r>
            <w:r w:rsidR="00000000" w:rsidRPr="00000000" w:rsidDel="00000000">
              <w:rPr>
                <w:rtl w:val="0"/>
              </w:rPr>
              <w:t xml:space="preserve">apakšpunkta</w:t>
            </w:r>
            <w:r w:rsidR="00000000" w:rsidRPr="00000000" w:rsidDel="00000000">
              <w:rPr>
                <w:rtl w:val="0"/>
              </w:rPr>
              <w:t xml:space="preserve">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sniegto skaidrojumu par konsultantu un ekspertu konsultāciju izmaksām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konsultantu un ekspertu konsultāciju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grupu supervīziju īstenošanas izmaksas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izstrādāt vienkāršoto izmaksu metodiku supervīzijas pakalpojuma izmaksām, izmantojot Labklājības ministrijas 30.10.2023. apstiprināto vienības izmaksu standarta likmes aprēķina un piemērošanas metodiku supervīzijas pakalpojuma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25.5.apakšpunkts un anotācijā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grupu supervīziju īstenošanas izmaksas šo noteikumu </w:t>
            </w:r>
            <w:r w:rsidR="00000000" w:rsidRPr="00000000" w:rsidDel="00000000">
              <w:rPr>
                <w:rtl w:val="0"/>
              </w:rPr>
              <w:t xml:space="preserve">23.2. </w:t>
            </w:r>
            <w:r w:rsidR="00000000" w:rsidRPr="00000000" w:rsidDel="00000000">
              <w:rPr>
                <w:rtl w:val="0"/>
              </w:rPr>
              <w:t xml:space="preserve">apakšpunkta</w:t>
            </w:r>
            <w:r w:rsidR="00000000" w:rsidRPr="00000000" w:rsidDel="00000000">
              <w:rPr>
                <w:rtl w:val="0"/>
              </w:rPr>
              <w:t xml:space="preserve"> ietvaros saskaņā ar atbildīgās iestādes izstrādātu un ar vadošo iestādi saskaņotu vienkāršoto izmaksu metodiku;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šo noteikumu </w:t>
            </w:r>
            <w:r w:rsidR="00000000" w:rsidRPr="00000000" w:rsidDel="00000000">
              <w:rPr>
                <w:rtl w:val="0"/>
              </w:rPr>
              <w:t xml:space="preserve">23.4.2. </w:t>
            </w:r>
            <w:r w:rsidR="00000000" w:rsidRPr="00000000" w:rsidDel="00000000">
              <w:rPr>
                <w:rtl w:val="0"/>
              </w:rPr>
              <w:t xml:space="preserve">apakšpunktā</w:t>
            </w:r>
            <w:r w:rsidR="00000000" w:rsidRPr="00000000" w:rsidDel="00000000">
              <w:rPr>
                <w:rtl w:val="0"/>
              </w:rPr>
              <w:t xml:space="preserve"> minēto arodizglītības programmu un profesionālās pamatizglītības programmu izstrādes, licencēšanas un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un novienādojot redakcijas ar citiem punktiem, lūdzam papildināt apakšpunktu ar vārdiem "saskaņā ar šo noteikumu 35.5. apakšpunktā minēto finansējuma sadales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šo noteikumu 23.4.2. apakšpunktā minēto arodizglītības programmu un profesionālās pamatizglītības programmu izstrādes, licencēšanas un īstenošanas izmaksas saskaņā ar šo noteikumu 35.5. apakšpunktā minēto finansējuma sadales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25.13.1. projekta vadības personāla izmaksas, ieskaitot piemaksas, pabalstus un citas darbinieku atlīdzības izmaksas (izņemot virsstundas), šo noteikumu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un ar vadošo iestādi saskaņotās vienkāršoto izmaksu metodikas apstiprināšanai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25.13.1. punkta vārdus "... ieskaitot piemaksas, pabalstus un citas darbinieku atlīdzības izmaksas (izņemot virsstundas),...", jo tas viss ietilpst personāla izmaksās un dubultā uzskaitīt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attiecināms uz noteikumu projekta 25.13.2.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veselības apdrošināšanas izmaksas finansējuma saņēmēja projekta vadības un īstenošanas personālam, ja veselības apdrošināšana paredzēta finansējuma saņēmēja iestādē, kas līdz atbildīgās iestādes izstrādātās vienkāršoto izmaksu metodikas personāla izmaksām apstiprināšanai ir attiecināmas kā faktiskās izmaksas. Ja personāls ir nodarbināts normālo darba laiku, veselības apdrošināšanas izmaksas ir attiecināmas 100 procentu apmērā. Ja personāls ir nodarbināts nepilnu darba laiku, veselības apdrošināšanas izmaksas nosakāmas atbilstoši nepilnā darba laika noslodzei. Veselības apdrošināšanas izmaksas ir attiecināmas tikai laikposmā, kad personāls ir nodarbināts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apdrošināšanas un redzes korekcijas līdzekļu kompensācijas izmaksas ietilpst personāla izmaksās, kas noteiktas noteikumu projekta 25.12.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25.16. veselības apdrošināšanas izmaksas finansējuma saņēmēja projekta vadības un īstenošanas personālam, ja veselības apdrošināšana paredzēta finansējuma saņēmēja iestādē, kas līdz atbildīgās iestādes izstrādātās vienkāršoto izmaksu metodikas personāla izmaksām apstiprināšanai ir attiecināmas kā faktiskās izmaksas. Ja personāls ir nodarbināts normālo darba laiku, veselības apdrošināšanas izmaksas ir attiecināmas 100 procentu apmērā. Ja personāls ir nodarbināts nepilnu darba laiku, veselības apdrošināšanas izmaksas nosakāmas atbilstoši nepilnā darba laika noslodzei. Veselības apdrošināšanas izmaksas ir attiecināmas tikai laikposmā, kad personāls ir nodarbināts projektā, un ir attiecināmas arī personālam, kas ir nodarbināts daļlaiku;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25.16. apakšpunktu, jo veselības apdrošināšanas un redzes korekcijas līdzekļu kompensācijas izmaksas ietilpst personāla izmaksās, kas noteiktas noteikumu projekta 25.13.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transporta pakalpojumu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metodika "Vienas vienības izmaksu standarta likmes aprēķina un piemērošanas metodika 1 km izmaksām darbības programmas "Izaugsme un nodarbinātība" un Eiropas Savienības kohēzijas politikas programmas 2021.–2027. gadam īstenošanai" attiecas uz izmaksām par degvielu un sabiedrisko transportu, lūdzam atsevišķi izdalīt apakšpunktu transporta izmaksām (maksa par degvielu, sabiedriskā transporta izmantošana), kurām piemēros Finanšu ministrijas izstrādāto vienas vienības izmaksu standarta likmi 1 km izmaksām un atsevišku apakšpunktu transporta pakalpojumu izmaksām (transportlīdzekļa noma, transporta pakalpojumu pirkšana).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transporta izmaksas (maksa par degvielu, transporta pakalpojumu pirkšana, maksa par sabiedriskā transporta izmantošanu) finansējuma saņēmēja projekta vadības un īstenošanas personālam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25.19. projekta informācijas un publicitātes pasākumu izmaksas atbilstoši normatīvajiem aktiem, kas nosaka kārtību, kādā Eiropas Savienības fondu vadībā iesaistītās institūcijas nodrošina šo fondu ieviešanu 2021.–2027. gada plānošanas periodā, šo noteikumu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25.19. apakšpunkts dublējas/pārklājas ar 25.11. apakšpunktu. Aicinām pārliecināties, vai kāds no minētajiem punktiem nav jādzēš, vai tie abi jāapvieno, vai 25.11. apakšpunkts nebūtu nosakāms šādā redakcijā: informatīvu un izglītojošu pasākumu organizēšanas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izvērtējumu veic ne retāk kā reizi divos gados un projekta beigās, bet ne vēlāk kā līdz 2029. gada 30. jūnijam. Izvērtējumu par šo noteikumu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arodizglītības programmu un profesionālās pamatizglītības programmu īstenošanu veic ne vēlāk kā līdz 2026. gada 15.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MK noteikumu projekta 23.5.apakšpunktā, lūdzam no MK noteikumu projekta 32.1.apakšpunkta svītrot tekstu "un profesionālās pamatizglītības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izvērtējumu veic ne retāk kā reizi divos gados un projekta beigās, bet ne vēlāk kā līdz 2029. gada 30. jūnijam. Izvērtējumu par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minētā individualizētā atbalsta īstenošanu mērķa grupas izglītojamiem, kuri par vispārējās pamatizglītības programmas apguvi ir saņēmuši tikai liecību un atkārtoti mācās 9. klasē vai ir uzņemti profesionālās izglītības iestādē, veic ne vēlāk kā līdz 2026. gada 15. jūlijam;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Ievērojot minēto, lūdzam, precizēt noteikumu projekta 33.4.apakšpunktu piedāvātajā redakcijā. Vēršam uzmanību, ka dubultā finansējuma neiestāšanās nodrošināma ne tikai attiecībā uz citiem valsts un ārvalstu finanšu atbalsta instrumentiem, bet arī konkrētā projekta īstenošanai piešķirtā finansējuma ietvaros darbības nedrīkst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nodrošina dubultā finansējuma riska novēršanu un lai pasākuma ietvaros plānotais atbalsts nepārklātos ar citiem valsts un ārvalstu finanšu atbalsta instrumentiem, kā arī nodrošina demarkāciju ar citiem līdzīgiem vai saistītiem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nodrošina dubultā finansējuma riska novēršanu un lai pasākuma ietvaros plānotais atbalsts nepārklātos ar citiem valsts un ārvalstu finanšu atbalsta instrumentiem, kā arī nodrošina demarkāciju ar citiem līdzīgiem vai saistītiem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fizisko personu datu apstrādi veic atbilstoši Eiropas Parlamenta un Padomes 2016. gada 27. aprīļa Regulas 2016/679 par fizisku personu aizsardzību attiecībā uz personas datu apstrādi un šādu datu brīvu apriti un ar ko atceļ Direktīvu 95/46/EK (Vispārīgā datu aizsardzības regula) 6. panta 1. punkta "e" apakšpunktu, 9. panta 2. punkta "b" apakšpunktu un Fizisko personu datu apstrādes likuma prasībām. Atbilstoši minētās regulas un Fizisko personu datu apstrādes likuma prasībām tiks ievēroti personas datu apstrādes principi un datu apstrādes likumīgums.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33.7. apakšpunktu. Vēršam uzmanību, ka fizisko personu datu aizsardzību regulējošos normatīvo aktu prasības pārzinim ir jāievēro neatkarīgi no tā, vai tas papildu tiek noteikts speciālajā normatīvajā aktā. Ietverot projektā pārziņa pienākumu ievērot Vispārīgās datu aizsardzības regulas prasības, pēc būtības tiek radīts apdraudējums minētās regulas tiešai piemērošanai, kas ir pretrunā Līguma par Eiropas Savienības darbību 288. pantam. Tāpat norādām, ka fizisko personu datu aizsardzību regulē arī citi normatīvie akti, ne tikai Vispārīgā datu aizsardzības regula un Fizisko personu datu apstrādes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vispārīgas un specifiskas darbības, datu uzkrāšanu un ziņošanu par rādītāju “Specifiskus atbalsta pakalpojumus saņēmušo personu ar invaliditāti skaits (darbavietu pielāgošana, ergoterapeita, surdotulka, mentora, specializētā transporta pakalpojumi, atbalsta personas)” (VINPI_08), kas veicina horizontālā principa "Vienlīdzība, iekļaušana, nediskriminācija un pamattiesību ievērošana"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viennozīmīgai izpratnei papildināt noteikumu projekta 35.2. punktu ar tekstu, kas nosaka, ka finansējuma saņēmējs nodrošina </w:t>
            </w:r>
            <w:r w:rsidR="00000000" w:rsidRPr="00000000" w:rsidDel="00000000">
              <w:rPr>
                <w:u w:val="single"/>
                <w:rtl w:val="0"/>
              </w:rPr>
              <w:t xml:space="preserve">vismaz 3 vispārīgas un 3 specifiskās </w:t>
            </w:r>
            <w:r w:rsidR="00000000" w:rsidRPr="00000000" w:rsidDel="00000000">
              <w:rPr>
                <w:rtl w:val="0"/>
              </w:rPr>
              <w:t xml:space="preserve">horizontālā principa “Vienlīdzība, iekļaušana, nediskriminācija un pamattiesību ievērošana"  darbības, kas risinās identificētās mērķa grupas vajadzības un problēmas un veicinās vienlīdzību, iekļaušanu, nediskrimināciju un pamattiesību ievērošanu, saskaņā ar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norādot vispārīgo un specifisko HP VINPI darbību skaitu, kas jānodrošina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vismaz 3 vispārīgās un 3 specifiskās darbības, datu uzkrāšanu un ziņošanu par rādītāju “Specifiskus atbalsta pakalpojumus saņēmušo personu ar invaliditāti skaits (darbavietu pielāgošana, ergoterapeita, surdotulka, mentora, specializētā transporta pakalpojumi, atbalsta personas)” (VINPI_08), kas veicina horizontālā principa "Vienlīdzība, iekļaušana, nediskriminācija un pamattiesību ievērošana"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īstenošanas, kā arī ar starpinstitūciju sadarbību un ar izglītojamiem paredzētā atbalsta sniegšanu saistīto jautājumu uzraudzībai Izglītības un zinātnes ministrija izveido uzraudzības padomi, kurā uzaicina piedalīties Labklājības ministrijas, Valsts izglītības satura centra un Latvijas Pašvaldību savienības pārstāvjus. Uzraudzības padomes sastāvā ar padomdevēja tiesībām var iekļaut pārstāvjus no Latvijas Pedagogu domes, kā arī no citām biedrībām un nodibinājumiem, kuru darbība ir saistīta ar sociālās atstumtības riska grupu bērniem un jauniešiem. Padomes darbībā novērotāja statusā var piedalīties vadošās iestādes, sadarbības iestādes un atbildīgās iestādes pārstāvji. Projekta uzraudzības padomes darbību nosaka Izglītības un zinātnes ministrijas izstrādāts un apstiprināts nolikums. Pirmo projekta uzraudzības padomes sēdi sasauc ne vēlāk kā trīs mēnešus pēc vienošanās par projekta īstenošanu noslēgšanas.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uz kāda tiesiska pamata projekta īstenošanas, kā arī ar starpinstitūciju sadarbību un ar izglītojamiem paredzētā atbalsta sniegšanu saistīto jautājumu uzraudzību veic Izglītības un zinātnes ministrijas izveidota pasākuma uzraudzības padome. Vēršam uzmanību, ka šādu pārvaldību neparedz Eiropas Savienības fondu 2021.-2027.gada plānošanas perioda vadības likums un tam pakārtotie Ministru kabineta noteikumi. Proti, uzraudzības padomi paredzēts izveidot Izglītības un zinātnes ministrijai, kura neveiks finansējuma saņēmēja funkcijas, un saskaņā ar Eiropas Savienības fondu 2021.—2027. gada plānošanas perioda vadības likuma 12. panta trešās daļas 7. punktu pienākums nodrošināt projektu īstenošanas uzraudzību un kontroli ir noteikts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vadošās iestādes dalību minētajā padomē novērotāja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anotācijā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īstenošanas uzraudzībai Izglītības un zinātnes ministrija kā nozares ministrija izveido projekta uzraudzības padomi, kurā uzaicina piedalīties citu nozaru ministriju, Izglītības kvalitātes valsts dienesta un sociālo partneru pārstāvjus, tai skaitā no Latvijas Pašvaldību savienības, Latvijas Darba devēju konfederācijas un Latvijas Nacionālā kultūras centra. Projekta uzraudzības padomes sastāvā novērotāju statusā var iekļaut pārstāvjus arī no citām organizācijām un institūcijām, tai skaitā no sadarbības iestādes un atbildīgās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Projekta īstenošanas un rādītāju sasniegšanas progresa uzraudzībai un priekšlikumu sniegšanai Izglītības un zinātnes ministrija izveido uzraudzības padomi, kurā uzaicina piedalīties Labklājības ministrijas, Izglītības kvalitātes valsts dienesta un Latvijas Pašvaldību savienības pārstāvjus. Uzraudzības padomes sastāvā ar padomdevēja tiesībām var iekļaut pārstāvjus no Latvijas Pedagogu domes, kā arī no citām biedrībām un nodibinājumiem, kuru darbība ir saistīta ar sociālās atstumtības riska grupu bērniem un jauniešiem. Projekta uzraudzības padomes sastāvā novērotāju statusā var tikt iekļauti pārstāvji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Uzraudzības padomes sastāvā tiek iekļauts Latvijas Nacionālā kultūras centra pārstāvis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Uzraudzības padomes sastāvs.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īstenošanas uzraudzībai Izglītības un zinātnes ministrija kā nozares ministrija izveido projekta uzraudzības padomi, kurā uzaicina piedalīties citu nozaru ministriju, Izglītības kvalitātes valsts dienesta un sociālo partneru pārstāvjus, tai skaitā no Latvijas Pašvaldību savienības, Latvijas Darba devēju konfederācijas un Latvijas Nacionālā kultūras centra. Projekta uzraudzības padomes sastāvā novērotāju statusā var iekļaut pārstāvjus arī no citām organizācijām un institūcijām, tai skaitā no sadarbības iestādes un atbildīgās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Projekta īstenošanas un rādītāju sasniegšanas progresa uzraudzībai un priekšlikumu sniegšanai Izglītības un zinātnes ministrija izveido uzraudzības padomi, kurā uzaicina piedalīties Labklājības ministrijas, Izglītības kvalitātes valsts dienesta un Latvijas Pašvaldību savienības pārstāvjus. Uzraudzības padomes sastāvā ar padomdevēja tiesībām var iekļaut pārstāvjus no Latvijas Pedagogu domes, kā arī no citām biedrībām un nodibinājumiem, kuru darbība ir saistīta ar sociālās atstumtības riska grupu bērniem un jauniešiem. Projekta uzraudzības padomes sastāvā novērotāju statusā var tikt iekļauti pārstāvji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anotācijā, uz kāda tiesiska pamata projekta īstenošanas, kā arī ar starpinstitūciju sadarbību un ar izglītojamiem paredzētā atbalsta sniegšanu saistīto jautājumu uzraudzību veic Izglītības un zinātnes ministrijas izveidota pasākuma uzraudzības padome. Izziņā skaidrots, ka precizēta anotācija, bet nav norādīts tiesiskais pamats minētajai uzraudzības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šādu pārvaldību neparedz Eiropas Savienības fondu 2021.-2027.gada plānošanas perioda vadības likums un tam pakārtotie Ministru kabineta noteikumi. Proti, uzraudzības padomi paredzēts izveidot Izglītības un zinātnes ministrijai, kura neveiks finansējuma saņēmēja funkcijas, un saskaņā ar Eiropas Savienības fondu 2021.—2027. gada plānošanas perioda vadības likuma 12. panta trešās daļas 7. punktu pienākums nodrošināt projektu īstenošanas uzraudzību un kontroli ir noteikts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anotācijā, ka uzraudzības padomi izveido Izglītības un zinātnes ministrija, ņemot vērā, ka projekta iesniedzējs (finansējuma saņēmējs) ir </w:t>
            </w:r>
            <w:r w:rsidR="00000000" w:rsidRPr="00000000" w:rsidDel="00000000">
              <w:rPr>
                <w:u w:val="single"/>
                <w:rtl w:val="0"/>
              </w:rPr>
              <w:t xml:space="preserve">Valsts izglītības satura centrs, kas ir Izglītības un zinātnes ministrijas padotības iestāde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Skaidrojam, ka saskaņā ar Ministru kabineta 2003. gada 16. septembra noteikumu Nr. 528 "Izglītības un zinātnes ministrijas nolikums" 24.8. apakšpunktu finansējuma saņēmējs ir Izglītības un zinātnes ministrijas (turpmāk – IZM) padotībā esoša iestāde – Valsts izglītības satura centrs. Lai uzraudzītu, ka padotības iestāde veic atbilstošu projekta īstenošanu un nodrošina izvirzīto mērķu un rādītāju sasniegšanu, IZM kā nozares ministrija izveido padomi, kas nodrošinās atbalstāmo darbību īstenošanas pārvaldību. Uzraudzības padomes izveidei tiks izstrādāts IZM nolikums un izdots rīkojums. Pirms rīkojuma apstiprināšanas IZM aicinās deleģēt citu nozaru ministriju un sociālo partneru pārstāvjus dalībai uzraudzības padomē, kur finansējuma saņēmējs sniegs regulāru informāciju par projekta progresu, kā arī aktuālākajām problēmām un izaicinājumiem. Ar uzraudzības padomes starpniecību ieinteresētām pusēm – nozaru ministrijām un sabiedrības pārstāvjiem – tiek nodrošināta iespēja sekot līdzi projekta progresam, kā arī izteikt atbalstu vai priekšlikumus uzlabojumiem, tādā veidā līdzdarbojoties izglītības reformu un sistēmisku izmaiņu īstenošanā, veicinot kvalitatīvu projektu īstenošanu un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saskaņā ar Eiropas Savienības fondu 2021.–2027. gada plānošanas perioda vadības likumu finansējuma saņēmējam ir pienākums sniegt informāciju par projekta īstenošanu, atbildīgajai iestādei ir pienākums nodrošināt specifiskā atbalsta mērķa rezultātu sasniegšanu, tostarp iznākuma un rezultātu rādītāju sasniegšanas uzraudzību, sadarbības iestādei ir pienākums 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īstenošanas uzraudzībai Izglītības un zinātnes ministrija kā nozares ministrija izveido projekta uzraudzības padomi, kurā uzaicina piedalīties citu nozaru ministriju, Izglītības kvalitātes valsts dienesta un sociālo partneru pārstāvjus, tai skaitā no Latvijas Pašvaldību savienības, Latvijas Darba devēju konfederācijas un Latvijas Nacionālā kultūras centra. Projekta uzraudzības padomes sastāvā novērotāju statusā var iekļaut pārstāvjus arī no citām organizācijām un institūcijām, tai skaitā no sadarbības iestādes un atbildīgās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anotācijas sadaļā "Risinājuma apraksts" pie atbalstāmās darbības "1. Atbalsts starpresoru sadarbības stiprināšanai noteikumu projekta 2.  punktā minētā mērķa sasniegšanai, kā arī starpinstitūciju sadarbības mehānisma pilnveidei pašvaldībās un preventīvajā darbā iesaistīto speciālistu sadarbībai pašvaldības un izglītības iestādes līmenī"  ir noteikts, ka rekomendāciju izstrādi finansējuma saņēmējs nodrošina līdz 2025.gada 31.decembrim, lūdzam izvērtēt vai nepieciešams attiecīgi papildināt MK noteikumu projektu ar minēto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rekomendāciju izstrādes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precizēt teikumu "</w:t>
            </w:r>
            <w:r w:rsidR="00000000" w:rsidRPr="00000000" w:rsidDel="00000000">
              <w:rPr>
                <w:i w:val="1"/>
                <w:rtl w:val="0"/>
              </w:rPr>
              <w:t xml:space="preserve">Sākotnēji projekta finansējums un sasniedzamie uzraudzības rādītāji tiek plānoti atbilstoši tādai 4.2.3.1. apmērā pasākuma finansējuma daļai, kas neietver elastības finansējumu.</w:t>
            </w:r>
            <w:r w:rsidR="00000000" w:rsidRPr="00000000" w:rsidDel="00000000">
              <w:rPr>
                <w:rtl w:val="0"/>
              </w:rPr>
              <w:t xml:space="preserve">" Vēršam Jūsu uzmanību, ka atbilstoši 4.2.3.SAM rādītāju metodoloģijas aprakstam 4.2.3.1.pasākuma iznākuma un rezultāta rādītāju vērtības ir noteiktas </w:t>
            </w:r>
            <w:r w:rsidR="00000000" w:rsidRPr="00000000" w:rsidDel="00000000">
              <w:rPr>
                <w:u w:val="single"/>
                <w:rtl w:val="0"/>
              </w:rPr>
              <w:t xml:space="preserve">ar </w:t>
            </w:r>
            <w:r w:rsidR="00000000" w:rsidRPr="00000000" w:rsidDel="00000000">
              <w:rPr>
                <w:rtl w:val="0"/>
              </w:rPr>
              <w:t xml:space="preserve">elastības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indikatīvo finansējuma apmēra sadalījumu kāds tiks atvēlēts 4.2.3.1.pasākuma: 1) individuālajam līmenim; 2) izglītības iestādes līmenim; 3) pašvaldības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līmeņa, izglītības līmeņa un pašvaldības līmeņa identificēšana ir problemātiska, jo 4.2.3.1.pasākumā plānotās darbības var ietekmēt vai būt saistītas vienlaikus ar vairākiem vai visiem minētajiem līmeņiem. Vienlaikus vēršam uzmanību, ka noteikumu projekts paredz, ka finansējuma saņēmējs plāno finansējumu ne mazāk kā 25 procentu apmērā no 4.2.3.1.pasākumam pieejamā kopējā attiecināmā finansējuma individualizēta atbalsta nodrošināšanai izglītojamiem noteikumu projekta 23.3. apakšpunkta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w:t>
            </w:r>
            <w:r w:rsidR="00000000" w:rsidRPr="00000000" w:rsidDel="00000000">
              <w:rPr>
                <w:u w:val="single"/>
                <w:rtl w:val="0"/>
              </w:rPr>
              <w:t xml:space="preserve">kā tiks nodrošināta</w:t>
            </w:r>
            <w:r w:rsidR="00000000" w:rsidRPr="00000000" w:rsidDel="00000000">
              <w:rPr>
                <w:rtl w:val="0"/>
              </w:rPr>
              <w:t xml:space="preserve"> demarkācija un dubultā finansējuma riska novēršana, lai novērstu ieguldījumu savstarpēju pārklāšanos un nodrošinātu savstarpēju papildināmību. Vienlaikus lūdzam skaidrot anotācijā, kuras tieši darbības varētu būt tās, kas varētu būt līdzīgas vai papildinošas. Tāpat lūdzam izvērtēt, vai anotācija nebūtu papildināma ar informāciju par demarkācijas un dubulfinansējuma novēršanu attiecībā uz supervīziju nodrošināšana pašvaldību sociālajiem darbiniekiem Labklājības ministrijas īstenotajā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4.3.5.4.pasākumā “Profesionāla un mūsdienīga sociālā darba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Lai novērstu ieguldījumu savstarpēju pārklāšanos un nodrošinātu ieguldījumu savstarpēju papildinātību, 4.2.3.1.pasākuma plānošanā ir izmantota dubultfinansējuma matrica, kā arī tiek ņemta vērā pasākuma tiesību akta projekta TAP saskaņošanas  ietvaros iegūtā informācija. Noteikumu projekts paredz, ka finansējuma saņēmējam ir pienākums izstrādāt ESF+ projekta iekšējās vadības un kontroles sistēmu, t.sk. dubultfinansējuma riska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"Risinājuma apraksts" minēts, ka ātrāk uzsākamo darbību īstenošanai pirms vienošanās noslēgšanas finansējuma saņēmējs plāno nodarbināt reģionālos ekspertus (piecas slodzes) un reģionālos koordinatorus (piecas slodzes). Lūdzam skaidrot minētā personāla un tā skaita nepieciešamību, ņemot vērā to, ka MK noteikumu projekta 23.3.apakšpunktā noteiktā individualizētā atbalsta sniegšana mērķa grupas izglītojamiem paredzēta tikai pēc sadarbības līguma noslēgšanas ar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reģionālie eksperti (piecas slodzes) un reģionālie koordinatori (piecas slodzes) priekšfinansējuma ietvaros plānoti, lai veiktu nepieciešamos darbus ESF+ projekta veiksmīgai uzsākšanai, t.sk. nepieciešams izstrādāt izglītības iestāžu partnerību projektu ieviešanas mehānismu, uzsākt skolas - kopienas iniciatīvu projektu ieviešanas nosacījumu izstrādi, apzināt sadarbības partnerus un plānot to iesaisti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SAM MK noteikumos ir jāparedz nepieciešamību finansējuma saņēmējam veikt projekta izmaksu un ieguvumu analīzi, ja projekta kopējās izmaksas ir lielākas par 1 miljonu euro,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SAM MK noteikumu projektā netiek plānots veikt izmaksu un ieguvumu analīzi un anotācijā norādītais "Lai novērtētu atbalsta pasākumu ietekmi ilgtermiņā, ir nepieciešami dati par atbalstu saņēmušo izglītojamo turpmāko dzīves gājumu (piemēram, mācību turpināšana, iegūta izglītība, iesaistīšanās nodarbinātībā u. c.). Vienlaikus nav iespējams precīzi pierādīt tiešu saistību un ietekmi starp sniegto atbalstu un izglītības turpināšanu (piemēram, ka tieši noteiktā mācību semestrī nodrošināta konsultācija bija izšķirīgs mirklis izglītojamā dzīvē izglītības turpināšanai un iesaistei darba tirgū nākotnē),… " nav pietiekams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norādīts: “Vienlaikus, pasākuma līmenī ir veikta investīcijas lietderīguma novērtēšana, tai skaitā novērtējot, vai attiecīgos politikas rezultātus ir iespējams sasniegt, neveicot Eiropas Sociālā fonda Plus investīcijas. Novērtējuma rezultātā ir secināts, ka investīciju veikšana plānotajā apjomā ir lietderīga”, bet nav pievienots šis novērtējums lai varētu pārliecināties par projekta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Ministru kabineta 2023. gada 13. jūlija sēdes protokollēmumā (prot. Nr. 36 85. § 3. punkts) noteikto aicinām SAM MK noteikumos iekļaut nepieciešamību finansējuma saņēmējam veikt projekta izmaksu un ieguvumu analīzi vai MK noteikumu anotāciju papildināt ar izmaksu un ieguvumu analīzi vai investīcijas lietderīguma novērtējumu, kurā ar aprēķiniem un datiem pamatot, ka sabiedrības sociālekonomiskie ieguvumi ir lielāki par šīm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skaidrojot, ka ka sabiedrības sociālekonomiskie ieguvumi ir lielāki par šīm investīcijām.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projektā paredzēts izmantot SAM 8.3.4. ietvaros izstrādāto  APUIS sistēmu, kurā tika glabāta visa informācija par individuāliem plāniem un jauniešu iniciatīvu projektiem, un ja netiks izmantota APUIS sistēma, tad lūdzam skaidrot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risinājuma apraksts (1.3.sadaļa). Papildus lūdzam skatīt Izziņas 16.punktu.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Nr. 2021/1060 53.panta 2.punktā noteikto, darbības vai projekti, kas ir daļa no darbības, kuri saņem atbalstu no Kohēzijas fonda, Eiropas Reģionālās attīstības fonda vai Eiropas Sociālā  fonda Plus un kuru kopējās izmaksas nepārsniedz 200 000 EUR, visas izmaksas tiek segtas ar vienu vienību, fiksētās summas maksājumu vai vienoto likmju veidā, izņemot darbības, kurām atbalsts kvalificējams kā komercdarbības (izņemot </w:t>
            </w:r>
            <w:r w:rsidR="00000000" w:rsidRPr="00000000" w:rsidDel="00000000">
              <w:rPr>
                <w:i w:val="1"/>
                <w:rtl w:val="0"/>
              </w:rPr>
              <w:t xml:space="preserve">de minimis</w:t>
            </w:r>
            <w:r w:rsidR="00000000" w:rsidRPr="00000000" w:rsidDel="00000000">
              <w:rPr>
                <w:rtl w:val="0"/>
              </w:rPr>
              <w:t xml:space="preserve">) atbalsts, t.sk. arī gadījumos, kad finansējuma saņēmējs sniedz atbalstu gala labuma guvējam, kuru projekti/līgumi ietekmē rādītāju pasē noteikto darbības līmeni un tā iznākuma rādītāju un kopējais finansējums ir līdz 200 000 EUR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projekta minimālā attiecināmo izmaksu kopsumma nav ierobežota, lūdzam skaidrot, vai neizpildās Regulas Nr.2021/1060 53.panta 2.punkta nosacījums par obligātu vienkāršoto izmaksu piemērošanu visām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un 9.punkts un anotācijā risinājuma apraksts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"Sabiedrības grupas, kuras tiesiskais regulējums ietekmē, vai varētu ietekmēt" ar norādi, ka Izglītības un zinātnes ministrija pildīs atbildīgās iestādes funkcijas, savukārt Izglītības kvalitātes valsts dienests pildīs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(sk. "Citas juridiskas personas" un "Ietekmes apraksts") papildināta ar informāciju, ka Izglītības un zinātnes ministrija pildīs atbildīgās iestādes funkcijas un Izglītības kvalitātes valsts dienests pildīs finansējuma saņēmēja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aktualizēt informāciju tabulā, izdevumus norādot ar 2024.gadu (pašlaik tabulā pirmais gads norādīts 2023.gads).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konkretizējot, kādas datu kategorijas tiks apstrādātas projekta ietvaros. Paskaidrojam, lai gan anotācijā tiek norādīts, ka projekta ietvaros tiks veikta datu apstrāde, kas atklāj faktu par mērķa grupas izglītojamo invaliditāti, no turpmākā anotācijas skaidrojuma saprotams, ka minētā informācija tiks apstrādāta ar mērķi, lai nodrošinātu atbalsta pakalpojumus specifiski izglītojamajam, no kā, savukārt saprotams, ka mērķa sasniegšanai tiek plānots apstrādāt informāciju ne tikai par invaliditātes faktu (ir vai nav invaliditāte). Ņemot vērā minētās neatbilstības anotācijā, nepieciešams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datu kategorijas ir minētas anotācijā risinājuma aprakstā (1.3.sadaļa). Tomēr detalizētu datu apstrādes politiku izstrādās finansējuma saņēmējs, jo pirms projekta iesnieguma sagatavošanas un interaktīvās atbalsta platformas darbības nodrošināšanas pilnīgu un precīzu datu kategoriju aprakstu nav iespējams nodrošināt.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4.2.3.1. pasākuma "Integrēta "skola-kopiena" sadarbības programma atstumtības riska mazināšanai izglītības iestādēs" (turpmāk - 4.2.3.1. pasākums) īstenošanai nepieciešamo finansējumu attiecināmo izmaksu segšanai Valsts izglītības satura centram kā 4.2.3.1. pasākuma plānotajam finansējuma saņēmējam </w:t>
            </w:r>
            <w:r w:rsidR="00000000" w:rsidRPr="00000000" w:rsidDel="00000000">
              <w:rPr>
                <w:b w:val="1"/>
                <w:rtl w:val="0"/>
              </w:rPr>
              <w:t xml:space="preserve">līdz 431 287 </w:t>
            </w:r>
            <w:r w:rsidR="00000000" w:rsidRPr="00000000" w:rsidDel="00000000">
              <w:rPr>
                <w:b w:val="1"/>
                <w:i w:val="1"/>
                <w:rtl w:val="0"/>
              </w:rPr>
              <w:t xml:space="preserve">euro</w:t>
            </w:r>
            <w:r w:rsidR="00000000" w:rsidRPr="00000000" w:rsidDel="00000000">
              <w:rPr>
                <w:rtl w:val="0"/>
              </w:rPr>
              <w:t xml:space="preserve">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2.punktu, norādot iestādi, kura normatīvajos aktos noteiktajā kārtībā pieprasīs finansējumu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un precizēts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4.2.3.1. pasākuma "Integrēta "skola-kopiena" sadarbības programma atstumtības riska mazināšanai izglītības iestādēs" (turpmāk – 4.2.3.1. pasākums) īstenošanai 2024. gadā līdz vienošanās noslēgšanai par projekta īstenošanu Valsts izglītības satura centram kā 4.2.3.1. pasākuma plānotajam finansējuma saņēmējam attiecināmo izmaksu segšanai nepieciešamo finansējumu </w:t>
            </w:r>
            <w:r w:rsidR="00000000" w:rsidRPr="00000000" w:rsidDel="00000000">
              <w:rPr>
                <w:b w:val="1"/>
                <w:rtl w:val="0"/>
              </w:rPr>
              <w:t xml:space="preserve">līdz 348</w:t>
            </w:r>
            <w:r w:rsidR="00000000" w:rsidRPr="00000000" w:rsidDel="00000000">
              <w:rPr>
                <w:rtl w:val="0"/>
              </w:rPr>
              <w:t xml:space="preserve"> </w:t>
            </w:r>
            <w:r w:rsidR="00000000" w:rsidRPr="00000000" w:rsidDel="00000000">
              <w:rPr>
                <w:b w:val="1"/>
                <w:rtl w:val="0"/>
              </w:rPr>
              <w:t xml:space="preserve">491 </w:t>
            </w:r>
            <w:r w:rsidR="00000000" w:rsidRPr="00000000" w:rsidDel="00000000">
              <w:rPr>
                <w:b w:val="1"/>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sadarbībā ar Izglītības kvalitātes valsts dienestu un Valsts izglītības satura centru </w:t>
            </w:r>
            <w:r w:rsidR="00000000" w:rsidRPr="00000000" w:rsidDel="00000000">
              <w:rPr>
                <w:b w:val="1"/>
                <w:rtl w:val="0"/>
              </w:rPr>
              <w:t xml:space="preserve">līdz 2024. gada 30. aprīlim</w:t>
            </w:r>
            <w:r w:rsidR="00000000" w:rsidRPr="00000000" w:rsidDel="00000000">
              <w:rPr>
                <w:rtl w:val="0"/>
              </w:rPr>
              <w:t xml:space="preserve"> izstrādāt atbalsta piedāvājumu, paredzot izglītības iespējas arodizglītības programmās un profesionālās pamatizglītības programmās izglītojamiem ar nepabeigtu pamatizglītību.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protokollēmuma projekta 4.punktā minētā uzdevuma izpildes statusu. Vienlaikus aicinām izvērtēt, vai izpildes termiņš (līdz 2024. gada 30. aprīlim) nebūtu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 nosakot atbalsta izstrādes termiņu līdz 2024.gada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sadarbībā ar Valsts izglītības satura centru un Izglītības kvalitātes valsts dienestu </w:t>
            </w:r>
            <w:r w:rsidR="00000000" w:rsidRPr="00000000" w:rsidDel="00000000">
              <w:rPr>
                <w:b w:val="1"/>
                <w:rtl w:val="0"/>
              </w:rPr>
              <w:t xml:space="preserve">līdz 2024. gada 31. decembrim</w:t>
            </w:r>
            <w:r w:rsidR="00000000" w:rsidRPr="00000000" w:rsidDel="00000000">
              <w:rPr>
                <w:rtl w:val="0"/>
              </w:rPr>
              <w:t xml:space="preserve"> izstrādāt atbalsta piedāvājumu izglītojamiem, kuri par vispārējās pamatizglītības programmas apguvi ir saņēmuši tikai liecību un atkārtoti mācās 9. klasē vai ir uzņemti profesionālās izglītības iestādē.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23-TA-1075</w:t>
    </w:r>
    <w:r>
      <w:br/>
    </w:r>
    <w:r w:rsidR="00000000" w:rsidRPr="00000000" w:rsidDel="00000000">
      <w:rPr>
        <w:rtl w:val="0"/>
      </w:rPr>
      <w:t xml:space="preserve">09.07.2024. 10.16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23-TA-1075</w:t>
    </w:r>
    <w:r>
      <w:br/>
    </w:r>
    <w:r w:rsidR="00000000" w:rsidRPr="00000000" w:rsidDel="00000000">
      <w:rPr>
        <w:rtl w:val="0"/>
      </w:rPr>
      <w:t xml:space="preserve">09.07.2024. 10.16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Izziņa_23-TA-1075.docx</dc:title>
</cp:coreProperties>
</file>

<file path=docProps/custom.xml><?xml version="1.0" encoding="utf-8"?>
<Properties xmlns="http://schemas.openxmlformats.org/officeDocument/2006/custom-properties" xmlns:vt="http://schemas.openxmlformats.org/officeDocument/2006/docPropsVTypes"/>
</file>