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24-TA-2276: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sociālo drošību""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“Risinājuma apraksts” norādītos MK noteikumu Nr.857 “Noteikumi par sociālajām garantijām bārenim un bez vecāku gādības palikušajam bērnam, kurš ir ārpusģimenes aprūpē, kā arī pēc ārpusģimenes aprūpes beigšanās” puntktus (31.punktu un 31.1 punktu), jo punkti minētajos noteikumos ir svītroti.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attiecīgie punkti - 24.</w:t>
            </w:r>
            <w:r w:rsidR="00000000" w:rsidRPr="00000000" w:rsidDel="00000000">
              <w:rPr>
                <w:vertAlign w:val="superscript"/>
                <w:rtl w:val="0"/>
              </w:rPr>
              <w:t xml:space="preserve">13 </w:t>
            </w:r>
            <w:r w:rsidR="00000000" w:rsidRPr="00000000" w:rsidDel="00000000">
              <w:rPr>
                <w:rtl w:val="0"/>
              </w:rPr>
              <w:t xml:space="preserve">punktā un 24.</w:t>
            </w:r>
            <w:r w:rsidR="00000000" w:rsidRPr="00000000" w:rsidDel="00000000">
              <w:rPr>
                <w:vertAlign w:val="superscript"/>
                <w:rtl w:val="0"/>
              </w:rPr>
              <w:t xml:space="preserve">14</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tiek norādīts, ka Labklājības ministrija piedāvā minēto 20 procentu slieksni palielināt līdz 22 procentu līmenim. No anotācijā sniegtās informācijas nav saprotams, kāpēc tieši par 2 % procentiem ir izlemts palielināt GMI slieksni, līdz ar to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Lūdzu skat. anotācijas 1.3. 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redakcionālas izmaiņas likuma “Par sociālo drošību” 2.</w:t>
            </w:r>
            <w:r w:rsidR="00000000" w:rsidRPr="00000000" w:rsidDel="00000000">
              <w:rPr>
                <w:vertAlign w:val="superscript"/>
                <w:rtl w:val="0"/>
              </w:rPr>
              <w:t xml:space="preserve">2</w:t>
            </w:r>
            <w:r w:rsidR="00000000" w:rsidRPr="00000000" w:rsidDel="00000000">
              <w:rPr>
                <w:rtl w:val="0"/>
              </w:rPr>
              <w:t xml:space="preserve"> panta trešajā daļā, attiecīgi precizējams anotācijas 1.3.sadaļas punktā norādītais, ka likuma “Par sociālo drošību” 2.</w:t>
            </w:r>
            <w:r w:rsidR="00000000" w:rsidRPr="00000000" w:rsidDel="00000000">
              <w:rPr>
                <w:vertAlign w:val="superscript"/>
                <w:rtl w:val="0"/>
              </w:rPr>
              <w:t xml:space="preserve">2</w:t>
            </w:r>
            <w:r w:rsidR="00000000" w:rsidRPr="00000000" w:rsidDel="00000000">
              <w:rPr>
                <w:rtl w:val="0"/>
              </w:rPr>
              <w:t xml:space="preserve"> panta trešā daļa tiek saglabāta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jo anotācijā norādītā informācija ir korekta.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skaidru izvērtējumu, vai jaunais slieksnis 22% apmērā kompleksi ar citiem pasākumiem apmierinās </w:t>
            </w:r>
            <w:r w:rsidR="00000000" w:rsidRPr="00000000" w:rsidDel="00000000">
              <w:rPr>
                <w:u w:val="single"/>
                <w:rtl w:val="0"/>
              </w:rPr>
              <w:t xml:space="preserve">visas pamatvajadzības</w:t>
            </w:r>
            <w:r w:rsidR="00000000" w:rsidRPr="00000000" w:rsidDel="00000000">
              <w:rPr>
                <w:rtl w:val="0"/>
              </w:rPr>
              <w:t xml:space="preserve">, radot iespēju veidot cilvēka cieņai atbilstošu dzīvi gadījumā, kad pati persona to nespēj.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Lūdzu skat. anotācijas 1.3. 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17.01.2023. noteikumu Nr.15 “Maksimāli pieļaujamā valsts budžeta izdevumu kopapjoma un  katrai ministrijai un citai centrālajai valsts iestādei paredzētā izdevumu kopējā apjoma noteikšanas kārtība vidējam termiņam” 9.9.apakšpunkts nosaka, ka ministrijas, izmantojot Finanšu ministrijas sniegto informāciju, sagatavo un līdz Finanšu ministrijas noteiktajam termiņam iesniedz Finanšu ministrijā informāciju pamatbudžeta bāzes projekta sagatavošanai n+1, n+2 un n+3 gadam, ņemot vērā izmaiņas izdevumos saistībā ar minimālo pensiju un valsts sociālā nodrošinājuma pabalsta apmēru pārskatīšanu, kā arī ar valsts sociālā nodrošinājuma pabalsta un pensiju apmēru pārskatīšanu saistīto pakalpojumu nodrošināšanai, atbalsta pašvaldībām garantētā minimālā ienākuma pabalsta un mājokļa pabalsta nodrošināšanu, ņemot vērā prognozētās izmaiņas saņēmēju skaitā un minimālo ienākumu sliekšņa apmērus, kas n+1 gadam tiek aprēķināti atbilstoši Centrālās statistikas pārvaldes tīmekļvietnē publicētajai aktuālajai minimālo ienākumu mediānai mēnesī un n+2 un n+3 gadam – atbilstoši prognozētajai minimālo ienākumu mediānai mēnesī. Ņemot vērā minēto, precizējama anotācijas 3.sadaļas punkta “Cita informācija” trešajā rindkopā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tiek norādīts, ka kopējā likumprojektos (“Grozījumi Valsts sociālo pabalstu likumā”, “Grozījumi Sociālo pakalpojumu un sociālās palīdzības likumā”) ietverto normu ietekme uz valsts budžeta izdevumiem tiek prognozēta 2025. gadā 2 418 278 euro, 2026. gadā 2 969 508 euro, 2027. gadā 3 221 524 euro un 2028. gadā 3 638 018 euro apmērā, savukārt anotācijas 3.sadaļas punktā “Cita informācija” norādīts, ka MK 19.09.2024. sēdē tika atbalstīts papildu finansējums prioritārajam pasākumam “Atbalsts minimālo ienākumu palielināšanai” 2025. gadā 6 434 876 euro, 2026. gadā 8 047 445 euro, 2027. gadā 8 369 102 euro un 2028. gadā 9 781 391 euro apmērā. Pēc anotācijā sniegtās informācijas nav saprotams, kāpēc minētajos likumprojektos nav ietverts viss finansējums kas tika atbalstīts minētajam prioritārajam pasākumam. Ņemot vērā minēto, nepieciešams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netiek aizpildīts 1 – 5. punkts, lūdzam 6.2.apakšpunktā iekļauto informāciju norādīt anotācijas 3.sadaļas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6.2.punktā minēts, ka lai nodrošinātu likumprojektā ietverto normu īstenošanu, nepieciešams veikt grozījumus arī Sociālo pakalpojumu un sociālās palīdzības likumā. Grozījumi paredz izmaiņas likuma normās, kas nosaka GMI slieksni. Ņemot vērā, ka no pašvaldību budžeta tiek izmaksāti GMI un mājokļa pabalsti, lūdzam norādīt, ka GMI sliekšņa paaugstināšanai no 20% uz 22% ir ietekme arī uz pašvaldību budžetiem, jo būs nepieciešami papildu izdevumi minēto pabalstu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Lūdzu skat. anotācijas 3. sadaļā "Cita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šo lauku, ņemot vērā to, ka projekts tieši skar cilvēktiesības (pamattiesības) un demokrātiskās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Lūdzu skat. anotācijas 8.1.12.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1.pielikumu, norādot plānotos minimālo ienākumu sliekšņus sociālās aizsardzības jomās 2026. – 2028.gadam. Vienlaikus lūdzam noformēt kā pirmo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Lūdzu skat. anotācijas 1.pielikumu.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24-TA-2276</w:t>
    </w:r>
    <w:r>
      <w:br/>
    </w:r>
    <w:r w:rsidR="00000000" w:rsidRPr="00000000" w:rsidDel="00000000">
      <w:rPr>
        <w:rtl w:val="0"/>
      </w:rPr>
      <w:t xml:space="preserve">27.09.2024. 11.22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24-TA-2276</w:t>
    </w:r>
    <w:r>
      <w:br/>
    </w:r>
    <w:r w:rsidR="00000000" w:rsidRPr="00000000" w:rsidDel="00000000">
      <w:rPr>
        <w:rtl w:val="0"/>
      </w:rPr>
      <w:t xml:space="preserve">27.09.2024. 11.22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Izziņa_24-TA-2276.docx</dc:title>
</cp:coreProperties>
</file>

<file path=docProps/custom.xml><?xml version="1.0" encoding="utf-8"?>
<Properties xmlns="http://schemas.openxmlformats.org/officeDocument/2006/custom-properties" xmlns:vt="http://schemas.openxmlformats.org/officeDocument/2006/docPropsVTypes"/>
</file>