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contextualSpacing w:val="0"/>
        <w:spacing w:before="240" w:beforeAutospacing="0"/>
        <w:spacing w:after="240" w:afterAutospacing="0"/>
        <w:spacing w:lineRule="auto" w:line="240"/>
        <w:pBdr/>
        <w:rPr>
          <w:sz w:val="28"/>
          <w:b w:val="1"/>
          <w:rtl w:val="0"/>
        </w:rPr>
      </w:pPr>
      <w:r w:rsidR="00000000" w:rsidRPr="00000000" w:rsidDel="00000000">
        <w:rPr>
          <w:sz w:val="28"/>
          <w:b w:val="1"/>
          <w:rtl w:val="0"/>
        </w:rPr>
        <w:t xml:space="preserve"/>
      </w:r>
      <w:r w:rsidR="00000000" w:rsidRPr="00000000" w:rsidDel="00000000">
        <w:rPr>
          <w:sz w:val="28"/>
          <w:b w:val="1"/>
          <w:rtl w:val="0"/>
        </w:rPr>
        <w:t xml:space="preserve">24-TA-461: Noteikumu projekts (Grozījumi)</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tl w:val="0"/>
        </w:rPr>
        <w:t xml:space="preserve">Grozījumi Ministru kabineta 2011. gada 1. februāra noteikumos Nr. 109 "Kārtība, kādā atsavināma publiskas personas manta"</w:t>
      </w:r>
    </w:p>
    <w:tbl>
      <w:tblPr>
        <w:tblStyle w:val="DefaultTable"/>
        <w:bidiVisual w:val="0"/>
        <w:tblW w:w="14567.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900"/>
        <w:gridCol w:w="3000"/>
        <w:gridCol w:w="3000"/>
        <w:gridCol w:w="3000"/>
        <w:gridCol w:w="3000"/>
        <w:tblGridChange w:id="0">
          <w:tblGrid>
            <w:gridCol w:w="900"/>
            <w:gridCol w:w="3000"/>
            <w:gridCol w:w="3000"/>
            <w:gridCol w:w="3000"/>
            <w:gridCol w:w="30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Saskaņošanai nosūtītā 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Apstrādes informācija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Galīgā redakcija</w:t>
            </w:r>
          </w:p>
        </w:tc>
      </w:tr>
      <w:tr>
        <w:tc>
          <w:tcPr>
            <w:shd w:fill="ffffff"/>
            <w:vAlign w:val="center"/>
            <w:noWrap w:val="true"/>
            <w:gridSpan w:val="5"/>
            <w:tcMar>
              <w:top w:w="75.0" w:type="dxa"/>
              <w:left w:w="75.0" w:type="dxa"/>
              <w:bottom w:w="75.0" w:type="dxa"/>
              <w:right w:w="75.0" w:type="dxa"/>
            </w:tcMar>
            <w:tcBorders>
              <w:left w:val="nil"/>
              <w:right w:val="nil"/>
            </w:tcBorders>
          </w:tcPr>
          <w:p w:rsidP="00000000" w:rsidRDefault="00000000" w:rsidR="00000000" w:rsidRPr="00000000" w:rsidDel="00000000">
            <w:pPr>
              <w:contextualSpacing w:val="0"/>
              <w:spacing w:before="240" w:beforeAutospacing="0"/>
              <w:spacing w:after="240" w:afterAutospacing="0"/>
              <w:spacing w:lineRule="auto" w:line="240"/>
              <w:pBdr/>
              <w:rPr>
                <w:sz w:val="28"/>
                <w:b w:val="1"/>
                <w:rtl w:val="0"/>
              </w:rPr>
            </w:pPr>
            <w:r w:rsidR="00000000" w:rsidRPr="00000000" w:rsidDel="00000000">
              <w:rPr>
                <w:sz w:val="28"/>
                <w:b w:val="1"/>
                <w:rtl w:val="0"/>
              </w:rPr>
              <w:t xml:space="preserve"/>
            </w:r>
            <w:r w:rsidR="00000000" w:rsidRPr="00000000" w:rsidDel="00000000">
              <w:rPr>
                <w:sz w:val="28"/>
                <w:b w:val="1"/>
                <w:rtl w:val="0"/>
              </w:rPr>
              <w:t xml:space="preserve">1.0 Likumi.lv (05.08.2020.)</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(grozījumu)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Grozījumi Ministru kabineta 2011. gada 1. februāra noteikumos Nr. 109 "Kārtība, kādā atsavināma publiskas personas manta"</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(LPS - 09.05.2024.)</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23.⁴ 1. apakšpunkts paredz atbalsta saņēmēja apliecinājumu, kā atsevišķu dokumentu. Projekts nenosaka precīzu minētā dokumenta saturu un formu. LPS aicina papildināt noteikumu projektu ar standartizētu apliecinājuma formu.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Iebildums izvērtēts.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Anotācijā norādīta šāda informācija: "Norādāms, ka Ministru kabineta 2011.gada 1.februāra noteikumos Nr.109 "Kārtība, kādā atsavināma publiskas persona manta" (turpmāk - MKN 109)  23.</w:t>
            </w:r>
            <w:r w:rsidR="00000000" w:rsidRPr="00000000" w:rsidDel="00000000">
              <w:rPr>
                <w:vertAlign w:val="superscript"/>
                <w:rtl w:val="0"/>
              </w:rPr>
              <w:t xml:space="preserve">4</w:t>
            </w:r>
            <w:r w:rsidR="00000000" w:rsidRPr="00000000" w:rsidDel="00000000">
              <w:rPr>
                <w:rtl w:val="0"/>
              </w:rPr>
              <w:t xml:space="preserve"> 1.apakšpunktā minētā piebilde “vai tas atbilst normatīvajos aktos noteiktajiem kritērijiem, lai tam pēc kreditoru pieprasījuma piemērotu maksātnespējas procedūru” tiek pārbaudīta, balstoties uz atbalsta pretendenta iesniegtu apliecinājumu/ informāciju. Tādējādi pirms de minimis atbalsta piešķiršanas atbalsta saņēmējam publiskai personai, kas nodod kustamo mantu, ir jāiesniedz attiecīgu apliecinājumu/ informāciju, ka tas neatbilst kritērijiem, lai tam pēc kreditoru pieprasījuma piemērotu maksātnespējas procedūru. Minētais apliecinājums/ informācija var būt kā atsevišķs punkts citā atbalsta saņēmēja iesniegtā dokumentā (piemēram, punkts pieteikumā). Turklāt, norādāms, ka iepriekš noregulētā kārtība nemaz netiek mainīta, proti, atbalsta pretendents turpina iesniegt publiskai personai, kas nodod kustamo mantu, attiecīgo informāciju/ apliecinājumu par to, ka tas neatbilst kritērijiem, lai tam pēc kreditoru pieprasījuma piemērotu maksātnespējas procedūru."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(grozījumu)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Grozījumi Ministru kabineta 2011. gada 1. februāra noteikumos Nr. 109 "Kārtība, kādā atsavināma publiskas personas manta"</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(LPS - 09.05.2024.)</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Ministru kabineta noteikumu 12.punktu paredzēts izteikt jaunā redakcijā, ievērojot iespējas izmantot Vienotā tiesību aktu projektu izstrādes un saskaņošanas portāla sniegtās iespējas. Attiecīgi, </w:t>
            </w:r>
            <w:r w:rsidR="00000000" w:rsidRPr="00000000" w:rsidDel="00000000">
              <w:rPr>
                <w:u w:val="single"/>
                <w:rtl w:val="0"/>
              </w:rPr>
              <w:t xml:space="preserve">būtu nepieciešams redakcionāli precizēt arī esošo Ministru kabineta noteikumu redakciju 13.punktā, kurā šobrīd tiek saglabāts Valsts sekretāru sanāksmes princips</w:t>
            </w:r>
            <w:r w:rsidR="00000000" w:rsidRPr="00000000" w:rsidDel="00000000">
              <w:rPr>
                <w:rtl w:val="0"/>
              </w:rPr>
              <w:t xml:space="preserve">.</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Iebildums izvērtēts.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 grozījumu) projekts paredz MKN 109 13.punktā veikt redakcionālu precizējumu un vārdi “izsludināts Valsts sekretāru sanāksmē” aizstāts ar vārdiem “izsludina Vienotajā tiesību aktu projektu izstrādes un saskaņošanas portālā” attiecīgajā locījumā.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(grozījumu)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Izdarīt Ministru kabineta 2011. gada 1. februāra noteikumos Nr. 109 "Kārtība, kādā atsavināma publiskas personas manta" (Latvijas Vēstnesis, 2011, 25. nr.; 2013, 208., 250. nr.; 2016, 149. nr.; 2018, 73. nr.; 2019, 240. nr.; 2020, 26., 148. nr.) šādus grozījumus: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(LPS - 09.05.2024.)</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23.³ punkts regulē tikai </w:t>
            </w:r>
            <w:r w:rsidR="00000000" w:rsidRPr="00000000" w:rsidDel="00000000">
              <w:rPr>
                <w:u w:val="single"/>
                <w:rtl w:val="0"/>
              </w:rPr>
              <w:t xml:space="preserve">valsts kustamās mantas nodošanu</w:t>
            </w:r>
            <w:r w:rsidR="00000000" w:rsidRPr="00000000" w:rsidDel="00000000">
              <w:rPr>
                <w:rtl w:val="0"/>
              </w:rPr>
              <w:t xml:space="preserve">, nereglamentējot komercdarbības atbalsta nosacījumus gadījumos, ja mantas devējs ir jebkura cita publiska persona. Tādējādi, veidojas situācija, ka katrai pašvaldībai un atvasinātai personai ir pienākums izdot atsevišķu normatīvo aktu, kas pēc satura nevar atšķirties no 23.³ punkta redakcijas.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Nav 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Iebildums izvērtēts.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Vēršam uzmanību, ka Publiskas personas mantas atsavināšanas likuma (turpmāk – PPMAL) 4.panta 1.</w:t>
            </w:r>
            <w:r w:rsidR="00000000" w:rsidRPr="00000000" w:rsidDel="00000000">
              <w:rPr>
                <w:vertAlign w:val="superscript"/>
                <w:rtl w:val="0"/>
              </w:rPr>
              <w:t xml:space="preserve">1</w:t>
            </w:r>
            <w:r w:rsidR="00000000" w:rsidRPr="00000000" w:rsidDel="00000000">
              <w:rPr>
                <w:rtl w:val="0"/>
              </w:rPr>
              <w:t xml:space="preserve"> daļa nosaka, ka </w:t>
            </w:r>
            <w:r w:rsidR="00000000" w:rsidRPr="00000000" w:rsidDel="00000000">
              <w:rPr>
                <w:u w:val="single"/>
                <w:rtl w:val="0"/>
              </w:rPr>
              <w:t xml:space="preserve">Publiskas personas kustamās mantas atsavināšanu attiecībā uz valsts mantu</w:t>
            </w:r>
            <w:r w:rsidR="00000000" w:rsidRPr="00000000" w:rsidDel="00000000">
              <w:rPr>
                <w:rtl w:val="0"/>
              </w:rPr>
              <w:t xml:space="preserve"> Ministru kabineta noteiktajos gadījumos, bet attiecībā uz </w:t>
            </w:r>
            <w:r w:rsidR="00000000" w:rsidRPr="00000000" w:rsidDel="00000000">
              <w:rPr>
                <w:u w:val="single"/>
                <w:rtl w:val="0"/>
              </w:rPr>
              <w:t xml:space="preserve">atvasinātas publiskas personas mantu — attiecīgās atvasinātās publiskās personas lēmējinstitūcijas noteiktajos gadījumos var ierosināt</w:t>
            </w:r>
            <w:r w:rsidR="00000000" w:rsidRPr="00000000" w:rsidDel="00000000">
              <w:rPr>
                <w:rtl w:val="0"/>
              </w:rPr>
              <w:t xml:space="preserve">, arī nenoskaidrojot publiskas personas vai tās iestāžu vajadzību pēc citai publiskai personai vai tās iestādēm nevajadzīgās kustamās mantas.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PPMAL 6.panta pirmā daļa nosaka, ka  atļauju atsavināt valsts kustamo mantu, kas atrodas ministrijas, tās pakļautībā, pārraudzībā vai pārziņā esošas iestādes vai kapitālsabiedrības valdījumā vai turējumā, dod attiecīgais ministrs. Atļauju atsavināt valsts kustamo mantu Ministru kabineta noteiktajā kārtībā un gadījumos, ņemot vērā mantas veidu un vērtību, dod attiecīgā ministrija. Ja valsts iestāde neatrodas ministrijas pakļautībā, pārraudzībā vai pārziņā, atļauju kustamās mantas atsavināšanai dod iestādes vadītājs. Savukārt, </w:t>
            </w:r>
            <w:r w:rsidR="00000000" w:rsidRPr="00000000" w:rsidDel="00000000">
              <w:rPr>
                <w:u w:val="single"/>
                <w:rtl w:val="0"/>
              </w:rPr>
              <w:t xml:space="preserve">PPMAL 6.panta otrā daļa nosaka, ka atļauju atsavināt atvasinātas publiskas personas kustamo mantu dod attiecīgās atvasinātās publiskās personas lēmējinstitūcija vai tās noteikta institūcija.</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Līdz ar to, MKN 109 23.³ punkts regulē tikai valsts kustamās mantas nodošanu.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9.2. atsavināšanas ierosinātājam ir zemes likumiskās lietošanas maksas parāds vai īres parāds, kas attiecas uz atsavināmo nekustamo īpašumu;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(LLPA - 10.04.2024.)</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noteikumu projekta 2. punkts paredz izdarīt grozījumu MK109 9.2. apakšpunktā, izsakot to jaunā redakcijā: “9.2. atsavināšanas ierosinātājam ir zemes likumiskās lietošanas maksas parāds vai īres parāds, kas attiecas uz atsavināmo nekustamo īpašumu;”.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Likuma “Par atjaunotā Latvijas Republikas 1937. gada Civillikuma ievada, mantojuma tiesību un lietu tiesību daļas spēkā stāšanās laiku un piemērošanas kārtību” 14. panta pirmās daļas 5. punktā (izslēgts no 01.01.2017.) bija noteikta iespēja veidot arī brīvprātīgu dalīto īpašumu, kura ietvaros zemesgabala nomnieks ar īpašnieka piekrišanu uz nomātas zemes varēja celt būves, tostarp dzīvojamās mājas, kā patstāvīgus īpašuma objektus. Atbilstoši Zemesgrāmatu likuma 29.pantam šīm būvēm kā patstāvīgam nekustamam īpašumam tika atklāti atsevišķi nodalījumi (īpašuma tiesība reģistrēta uz zemes nomas laiku). Šādi zemes nomas līgumi joprojām ir spēkā un šo ēku (būvju) nekustamo īpašumu īpašniekiem Publiskas personas mantas atsavināšanas likumā noteiktajā kārtībā ir tiesības ierosināt un iegūt īpašumā nomātos (apbūvētos) zemesgabalus. Tāpēc izteiktajiem grozījumiem nepiekrītam.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“9.2. atsavināšanas ierosinātājam ir zemes likumiskās lietošanas maksas, nomas parāds, īres parāds vai nodokļu parāds, kas attiecas uz atsavināmo nekustamo īpašumu;”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Iebildums izvērtēts.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Skaidrojam, ka piespiedu nomas regulējums ar 2024.gada 1.janvāri ir aizstāts ar likumiskās zemes lietošanas tiesībām par maksu un  Ministru kabineta 2011.gada 1.februāra noteikumos Nr.109 "Kārtība, kādā atsavināma publiskas personas manta" (turpmāk - MKN 109) 9.2.apakšpunktā ietvertais "nomas parāds" ir tieši saistīts MKN 109 9.1. apakšpunktu, kas paredz, ka publiskas personas mantas atsavināšanu atsavināšanas ierosinātājam aptur, ja atsavināšanas ierosinātājam, kuram uz atsavināmā zemesgabala ir īpašumā esošas ēkas, nav noslēdzis atsavināmā zemesgabala nomas līgumu, kas ir attiecināms tikai uz likumiskās lietošanas attiecību gadījumiem un, ņemot vērā likuma “Par atjaunotā Latvijas Republikas 1937.gada Civillikuma ievada, mantojuma tiesību un lietu tiesību daļas spēkā stāšanās laiku un piemērošanas kārtību” regulējumu attiecībā uz likumiskās lietošanas attiecību gadījumiem, arī veicami attiecīgi grozījumi 9.2.apakšpunktā.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Vienlaikus, ņemot vērā Publiskas personas mantas atsavināšanas likuma 4.panta ceturtās daļas 8.punktu, kas paredz, ka publiskas personas mantas atsavināšanu var ierosināt persona, kurai Valsts un pašvaldību īpašuma privatizācijas un privatizācijas sertifikātu izmantošanas pabeigšanas likumā noteiktajā kārtībā ir izbeigtas zemes lietošanas tiesības un ar kuru pašvaldība ir noslēgusi zemes nomas līgumu, ja šī persona vēlas nopirkt zemi, kas bijusi tās lietošanā un par ko ir noslēgts zemes nomas līgums, attiecīgi MKN 109 9.2.apakšpunktā tiek saglabāti vārdi "nomas parāds".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9.2. atsavināšanas ierosinātājam ir zemes likumiskās lietošanas maksas parāds, nomas parāds, īres parāds vai nodokļu parāds, kas attiecas uz atsavināmo nekustamo īpašumu;</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23.</w:t>
            </w:r>
            <w:r w:rsidR="00000000" w:rsidRPr="00000000" w:rsidDel="00000000">
              <w:rPr>
                <w:vertAlign w:val="superscript"/>
                <w:rtl w:val="0"/>
              </w:rPr>
              <w:t xml:space="preserve">4</w:t>
            </w:r>
            <w:r w:rsidR="00000000" w:rsidRPr="00000000" w:rsidDel="00000000">
              <w:rPr>
                <w:rtl w:val="0"/>
              </w:rPr>
              <w:t xml:space="preserve">2. ja atbalstu piešķir saskaņā ar Komisijas regulu Nr. 2023/2831, pirms de minimis atbalsta piešķiršanas pārbauda, vai pēdējo triju gadu periodā, skaitot no de minimis atbalsta piešķiršanas dienas, atbalsta saņēmējam piešķirtais de minimis atbalsta apjoms kopā ar plānoto de minimis atbalstu nepārsniedz Komisijas regulas Nr. 2023/2831  3. panta 2. punktā noteikto maksimālo atbalsta summu vienam vienotam uzņēmumam. Ja atbalstu piešķir saskaņā ar Komisijas regulu Nr. 717/2014 vai Komisijas regulu Nr.  1408/2013, pirms atbalsta piešķiršanas pārbauda, vai fiskālajā gadā un iepriekšējos divos fiskālajos gados atbalsta saņēmējam piešķirtais de minimis atbalsta apjoms nepārsniedz Komisijas regulas Nr. 717/2014 3. panta 2. punktā vai Komisijas regulas Nr.  1408/2013 3. panta 3.a punktā noteikto maksimālo atbalsta summu vienam vienotam uzņēmumam. Viens vienots uzņēmums šo noteikumu izpratnē atbilst Komisijas regulas Nr. 2023/2831 2. panta 2. punktā, Komisijas regulas Nr. 1408/2013 2. panta 2. punktā un Komisijas regulas Nr. 717/2014 2. panta 2. punktā noteiktajai viena vienota uzņēmuma definīcijai;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(ZM - 10.04.2024.)</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Lai nodrošinātu, ka atbalsts tiek piešķirts atbilstoši Komisijas regulas Nr. 717/2014 un Komisijas regulas Nr. 1408/2013  nosacījumiem, nepieciešams precizēt noteikumu projekta 23.</w:t>
            </w:r>
            <w:r w:rsidR="00000000" w:rsidRPr="00000000" w:rsidDel="00000000">
              <w:rPr>
                <w:vertAlign w:val="superscript"/>
                <w:rtl w:val="0"/>
              </w:rPr>
              <w:t xml:space="preserve">4</w:t>
            </w:r>
            <w:r w:rsidR="00000000" w:rsidRPr="00000000" w:rsidDel="00000000">
              <w:rPr>
                <w:rtl w:val="0"/>
              </w:rPr>
              <w:t xml:space="preserve">2. apakšpunkta otro teikumu, ja atbalstu piešķir saskaņā ar Komisijas regulu Nr. 717/2014 vai Komisijas regulu Nr.  1408/2013, pirms atbalsta piešķiršanas pārbauda, vai fiskālajā gadā un iepriekšējos divos fiskālajos gados atbalsta saņēmējam piešķirtais </w:t>
            </w:r>
            <w:r w:rsidR="00000000" w:rsidRPr="00000000" w:rsidDel="00000000">
              <w:rPr>
                <w:i w:val="1"/>
                <w:rtl w:val="0"/>
              </w:rPr>
              <w:t xml:space="preserve">de minimis</w:t>
            </w:r>
            <w:r w:rsidR="00000000" w:rsidRPr="00000000" w:rsidDel="00000000">
              <w:rPr>
                <w:rtl w:val="0"/>
              </w:rPr>
              <w:t xml:space="preserve"> atbalsta apjoms nepārsniedz  attiecīgi Komisijas regulas Nr. 717/2014 3. panta 2.a punktā vai Komisijas regulas Nr.  1408/2013 3. panta 3.a punktā noteikto maksimālo atbalsta summu vienam vienotam uzņēmumam un Komisijas regulas Nr. 717/2014 vai Komisijas regulas Nr. 1408/2013 pielikumos nacionālā līmenī noteikto </w:t>
            </w:r>
            <w:r w:rsidR="00000000" w:rsidRPr="00000000" w:rsidDel="00000000">
              <w:rPr>
                <w:i w:val="1"/>
                <w:rtl w:val="0"/>
              </w:rPr>
              <w:t xml:space="preserve">de minimis </w:t>
            </w:r>
            <w:r w:rsidR="00000000" w:rsidRPr="00000000" w:rsidDel="00000000">
              <w:rPr>
                <w:rtl w:val="0"/>
              </w:rPr>
              <w:t xml:space="preserve">atbalsta slieksni.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Precizēts noteikumu (grozījumu) projekta 23.</w:t>
            </w:r>
            <w:r w:rsidR="00000000" w:rsidRPr="00000000" w:rsidDel="00000000">
              <w:rPr>
                <w:vertAlign w:val="superscript"/>
                <w:rtl w:val="0"/>
              </w:rPr>
              <w:t xml:space="preserve">4</w:t>
            </w:r>
            <w:r w:rsidR="00000000" w:rsidRPr="00000000" w:rsidDel="00000000">
              <w:rPr>
                <w:rtl w:val="0"/>
              </w:rPr>
              <w:t xml:space="preserve">2. apakšpunkta otrais teikums atbilstoši Zemkopības ministrijas izteiktajam iebildumam.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23.</w:t>
            </w:r>
            <w:r w:rsidR="00000000" w:rsidRPr="00000000" w:rsidDel="00000000">
              <w:rPr>
                <w:vertAlign w:val="superscript"/>
                <w:rtl w:val="0"/>
              </w:rPr>
              <w:t xml:space="preserve">4</w:t>
            </w:r>
            <w:r w:rsidR="00000000" w:rsidRPr="00000000" w:rsidDel="00000000">
              <w:rPr>
                <w:rtl w:val="0"/>
              </w:rPr>
              <w:t xml:space="preserve">2. ja atbalstu piešķir saskaņā ar Komisijas regulu Nr. 2023/2831, pirms de minimis atbalsta piešķiršanas pārbauda, vai pēdējo triju gadu periodā, skaitot no de minimis atbalsta piešķiršanas dienas, atbalsta saņēmējam piešķirtais de minimis atbalsta apjoms kopā ar plānoto de minimis atbalstu nepārsniedz Komisijas regulas Nr. 2023/2831  3. panta 2. punktā noteikto maksimālo atbalsta summu vienam vienotam uzņēmumam. Ja atbalstu piešķir saskaņā ar Komisijas regulu Nr. 717/2014 vai Komisijas regulu Nr.  1408/2013, pirms atbalsta piešķiršanas pārbauda, vai fiskālajā gadā un iepriekšējos divos fiskālajos gados atbalsta saņēmējam piešķirtais de minimis atbalsta apjoms nepārsniedz attiecīgi Komisijas regulas Nr. 717/2014 3. panta 2.a punktā vai Komisijas regulas Nr.  1408/2013 3. panta 3.a punktā noteikto maksimālo atbalsta summu vienam vienotam uzņēmumam un Komisijas regulas Nr. 717/2014 vai Komisijas regulas Nr. 1408/2013 pielikumos nacionālā līmenī noteikto de minimis atbalsta slieksni. Viens vienots uzņēmums šo noteikumu izpratnē atbilst Komisijas regulas Nr. 2023/2831 2. panta 2. punktā, Komisijas regulas Nr. 1408/2013 2. panta 2. punktā un Komisijas regulas Nr. 717/2014 2. panta 2. punktā noteiktajai viena vienota uzņēmuma definīcijai;</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23.</w:t>
            </w:r>
            <w:r w:rsidR="00000000" w:rsidRPr="00000000" w:rsidDel="00000000">
              <w:rPr>
                <w:vertAlign w:val="superscript"/>
                <w:rtl w:val="0"/>
              </w:rPr>
              <w:t xml:space="preserve">4</w:t>
            </w:r>
            <w:r w:rsidR="00000000" w:rsidRPr="00000000" w:rsidDel="00000000">
              <w:rPr>
                <w:rtl w:val="0"/>
              </w:rPr>
              <w:t xml:space="preserve">6. šo noteikumu ietvaros piešķirto de minimis atbalstu drīkst kumulēt ar citu de minimis atbalstu līdz Komisijas regulas Nr.2023/2831 3. panta 2. punktā noteiktajam robežlielumam, kā arī drīkst kumulēt ar citu komercdarbības atbalstu, tai skaitā attiecībā uz vienām un tām pašām attiecināmajām izmaksām vai citu komercdarbības atbalstu tam pašam riska finansējuma pasākumam, ja šīs kumulācijas rezultātā netiek pārsniegta attiecīgā maksimālā atbalsta intensitāte vai atbalsta summa, kāda noteikta atbalsta programmā, atbalsta projektā vai Eiropas Komisijas lēmumā, ievērojot Komisijas regulas Nr.​2023/2831 5. panta 1., 2. un 3. punkta nosacījumus. Atbalsta saņēmējam ir jāiesniedz visa informācija par plānoto un piešķirto komercdarbības atbalstu tā paša projekta ietvaros, tai skaitā par tām pašām attiecināmajām izmaksām, norādot atbalsta piešķiršanas datumu, atbalsta sniedzēju, atbalsta pasākumu un plānoto/piešķirto atbalsta summu un atbalsta intensitāti;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(ZM - 10.04.2024.)</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noteikumos noteikt skaidri un nepārprotami vai atbalstu ir paredzēts kumulēt arī ar Komisijas regulu Nr.1408/2013 vai Komisijas regulas Nr. 717/2014, iekļaujot noteikumu projektā nosacījumu,  ka piešķirto de minimis atbalstu drīkst kumulēt ar citu de minimis atbalstu, ko piešķir saskaņā ar Komisijas regulu Nr.1408/2013,  līdz Komisijas regulas Nr.1408/2013 3. panta 3.a punktā noteiktajam attiecīgajam robežlielumam, saskaņā ar Komisijas regulas Nr.1408/2013 5. panta 3. punktu drīkst kumulēt ar citu komercdarbības atbalstu, tai skaitā attiecībā uz vienām un tām pašām attiecināmajām izmaksām vai citu komercdarbības atbalstu tam pašam riska finansējuma pasākumam, ja šīs kumulācijas rezultātā netiek pārsniegta attiecīgā maksimālā atbalsta intensitāte vai atbalsta summa, kāda noteikta atbalsta programmā, atbalsta projektā vai Eiropas Komisijas lēmumā. Kā arī, ka piešķirto de minimis atbalstu drīkst kumulēt ar citu de minimis atbalstu, ko piešķir saskaņā ar Komisijas regulu Nr.1408/2013, līdz Komisijas regulas Nr. 717//2014 3. panta 2.a punktā noteiktajam attiecīgajam robežlielumam, saskaņā ar Komisijas regulas Nr. 717/2014 5. panta 3. punktu drīkst kumulēt ar citu komercdarbības atbalstu, tai skaitā attiecībā uz vienām un tām pašām attiecināmajām izmaksām vai citu komercdarbības atbalstu tam pašam riska finansējuma pasākumam, ja šīs kumulācijas rezultātā netiek pārsniegta attiecīgā maksimālā atbalsta intensitāte vai atbalsta summa, kāda noteikta atbalsta programmā, atbalsta projektā vai Eiropas Komisijas lēmumā.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Precizēts noteikumu (grozījumu) projekta 23.</w:t>
            </w:r>
            <w:r w:rsidR="00000000" w:rsidRPr="00000000" w:rsidDel="00000000">
              <w:rPr>
                <w:vertAlign w:val="superscript"/>
                <w:rtl w:val="0"/>
              </w:rPr>
              <w:t xml:space="preserve">4</w:t>
            </w:r>
            <w:r w:rsidR="00000000" w:rsidRPr="00000000" w:rsidDel="00000000">
              <w:rPr>
                <w:rtl w:val="0"/>
              </w:rPr>
              <w:t xml:space="preserve">6. apakšpunkts atbilstoši izteiktajam iebildumam.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23.</w:t>
            </w:r>
            <w:r w:rsidR="00000000" w:rsidRPr="00000000" w:rsidDel="00000000">
              <w:rPr>
                <w:vertAlign w:val="superscript"/>
                <w:rtl w:val="0"/>
              </w:rPr>
              <w:t xml:space="preserve">4</w:t>
            </w:r>
            <w:r w:rsidR="00000000" w:rsidRPr="00000000" w:rsidDel="00000000">
              <w:rPr>
                <w:rtl w:val="0"/>
              </w:rPr>
              <w:t xml:space="preserve">6. šo noteikumu ietvaros piešķirto de minimis atbalstu drīkst kumulēt ar citu de minimis atbalstu līdz Komisijas regulas Nr.2023/2831 3. panta 2. punktā, Komisijas regulas Nr.1408/2013 3. panta 3.a punktā, Komisijas regulas Nr.717/2014 3.panta 2.a punktā noteiktajam robežlielumam, kā arī drīkst kumulēt ar citu komercdarbības atbalstu, tai skaitā attiecībā uz vienām un tām pašām attiecināmajām izmaksām vai citu komercdarbības atbalstu tam pašam riska finansējuma pasākumam, ja šīs kumulācijas rezultātā netiek pārsniegta attiecīgā maksimālā atbalsta intensitāte vai atbalsta summa, kāda noteikta atbalsta programmā, atbalsta projektā vai Eiropas Komisijas lēmumā, ievērojot Komisijas regulas Nr.​2023/2831 5.panta 1., 2. un 3.punkta, Komisijas regulas Nr. 717/2014 5.panta 1.,2. un 3.punkta vai Komisijas regulas Nr. 1408/2013 5. panta 1., 2. un 3. punkta nosacījumus;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23.</w:t>
            </w:r>
            <w:r w:rsidR="00000000" w:rsidRPr="00000000" w:rsidDel="00000000">
              <w:rPr>
                <w:vertAlign w:val="superscript"/>
                <w:rtl w:val="0"/>
              </w:rPr>
              <w:t xml:space="preserve">4</w:t>
            </w:r>
            <w:r w:rsidR="00000000" w:rsidRPr="00000000" w:rsidDel="00000000">
              <w:rPr>
                <w:rtl w:val="0"/>
              </w:rPr>
              <w:t xml:space="preserve">6. šo noteikumu ietvaros piešķirto de minimis atbalstu drīkst kumulēt ar citu de minimis atbalstu līdz Komisijas regulas Nr.2023/2831 3. panta 2. punktā noteiktajam robežlielumam, kā arī drīkst kumulēt ar citu komercdarbības atbalstu, tai skaitā attiecībā uz vienām un tām pašām attiecināmajām izmaksām vai citu komercdarbības atbalstu tam pašam riska finansējuma pasākumam, ja šīs kumulācijas rezultātā netiek pārsniegta attiecīgā maksimālā atbalsta intensitāte vai atbalsta summa, kāda noteikta atbalsta programmā, atbalsta projektā vai Eiropas Komisijas lēmumā, ievērojot Komisijas regulas Nr.​2023/2831 5. panta 1., 2. un 3. punkta nosacījumus. Atbalsta saņēmējam ir jāiesniedz visa informācija par plānoto un piešķirto komercdarbības atbalstu tā paša projekta ietvaros, tai skaitā par tām pašām attiecināmajām izmaksām, norādot atbalsta piešķiršanas datumu, atbalsta sniedzēju, atbalsta pasākumu un plānoto/piešķirto atbalsta summu un atbalsta intensitāti;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(ZM - 10.04.2024.)</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Lai nodrošinātu Komisijas regulas 1408/2013 un Komisijas regulas 717/2014 prasības nepieciešams papildināt noteikumu projektu ar jaunu apakšpunktu nosakot, ja atbalsta saņēmējam atbalsts tiek piešķirts saskaņā ar Komisijas regulas 1408/2013 vai 717/2014 nosacījumiem, atbalsta saņēmējam atbalstu piešķir atbilstoši Komisijas regulas Nr.  1408/2013 3. panta 3.a punktā un 5.panta 1. un 2. punktā vai Komisijas regulas Nr. 717/2014 3.panta 2.a punktā un 5.panta 1. un 2. punktā noteiktajai viena vienota uzņēmuma maksimālajai atbalsta summai.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Nav 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Iebildums izvērtēts.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Norādām, ka iebildumā minētais ietverts noteikumu (grozījumu) projekta 23.</w:t>
            </w:r>
            <w:r w:rsidR="00000000" w:rsidRPr="00000000" w:rsidDel="00000000">
              <w:rPr>
                <w:vertAlign w:val="superscript"/>
                <w:rtl w:val="0"/>
              </w:rPr>
              <w:t xml:space="preserve">4</w:t>
            </w:r>
            <w:r w:rsidR="00000000" w:rsidRPr="00000000" w:rsidDel="00000000">
              <w:rPr>
                <w:rtl w:val="0"/>
              </w:rPr>
              <w:t xml:space="preserve">6. apakšpunktā.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23.</w:t>
            </w:r>
            <w:r w:rsidR="00000000" w:rsidRPr="00000000" w:rsidDel="00000000">
              <w:rPr>
                <w:vertAlign w:val="superscript"/>
                <w:rtl w:val="0"/>
              </w:rPr>
              <w:t xml:space="preserve">4</w:t>
            </w:r>
            <w:r w:rsidR="00000000" w:rsidRPr="00000000" w:rsidDel="00000000">
              <w:rPr>
                <w:rtl w:val="0"/>
              </w:rPr>
              <w:t xml:space="preserve">6. šo noteikumu ietvaros piešķirto de minimis atbalstu drīkst kumulēt ar citu de minimis atbalstu līdz Komisijas regulas Nr.2023/2831 3. panta 2. punktā, Komisijas regulas Nr.1408/2013 3. panta 3.a punktā, Komisijas regulas Nr.717/2014 3.panta 2.a punktā noteiktajam robežlielumam, kā arī drīkst kumulēt ar citu komercdarbības atbalstu, tai skaitā attiecībā uz vienām un tām pašām attiecināmajām izmaksām vai citu komercdarbības atbalstu tam pašam riska finansējuma pasākumam, ja šīs kumulācijas rezultātā netiek pārsniegta attiecīgā maksimālā atbalsta intensitāte vai atbalsta summa, kāda noteikta atbalsta programmā, atbalsta projektā vai Eiropas Komisijas lēmumā, ievērojot Komisijas regulas Nr.​2023/2831 5.panta 1., 2. un 3.punkta, Komisijas regulas Nr. 717/2014 5.panta 1.,2. un 3.punkta vai Komisijas regulas Nr. 1408/2013 5. panta 1., 2. un 3. punkta nosacījumus;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23.</w:t>
            </w:r>
            <w:r w:rsidR="00000000" w:rsidRPr="00000000" w:rsidDel="00000000">
              <w:rPr>
                <w:vertAlign w:val="superscript"/>
                <w:rtl w:val="0"/>
              </w:rPr>
              <w:t xml:space="preserve">5</w:t>
            </w:r>
            <w:r w:rsidR="00000000" w:rsidRPr="00000000" w:rsidDel="00000000">
              <w:rPr>
                <w:rtl w:val="0"/>
              </w:rPr>
              <w:t xml:space="preserve"> Ja ir pārkāptas Komisijas regulas Nr. 2023/2831 prasības, atbalsta saņēmējam ir pienākums atmaksāt atbalsta sniedzējam šo noteikumu ietvaros saņemto nelikumīgo de minimis atbalstu kopā ar procentiem no līdzekļiem, kas ir brīvi no komercdarbības atbalsta, saskaņā ar Komercdarbības atbalsta kontroles likuma IV vai V nodaļu.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(ZM - 10.04.2024.)</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Nepieciešams papildināt noteikumu projekta 23.</w:t>
            </w:r>
            <w:r w:rsidR="00000000" w:rsidRPr="00000000" w:rsidDel="00000000">
              <w:rPr>
                <w:vertAlign w:val="superscript"/>
                <w:rtl w:val="0"/>
              </w:rPr>
              <w:t xml:space="preserve">5 </w:t>
            </w:r>
            <w:r w:rsidR="00000000" w:rsidRPr="00000000" w:rsidDel="00000000">
              <w:rPr>
                <w:rtl w:val="0"/>
              </w:rPr>
              <w:t xml:space="preserve">punktu ar prasību atgūt nelikumīgo </w:t>
            </w:r>
            <w:r w:rsidR="00000000" w:rsidRPr="00000000" w:rsidDel="00000000">
              <w:rPr>
                <w:i w:val="1"/>
                <w:rtl w:val="0"/>
              </w:rPr>
              <w:t xml:space="preserve">de minimis</w:t>
            </w:r>
            <w:r w:rsidR="00000000" w:rsidRPr="00000000" w:rsidDel="00000000">
              <w:rPr>
                <w:rtl w:val="0"/>
              </w:rPr>
              <w:t xml:space="preserve"> atbalstu arī attiecībā uz Komisijas regulu 1408/2013 un Komisijas regulu 717/2014, ja tiek pārkāpti minēto regulu nosacījumi.</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Precizēts noteikumu (grozījumu) projekta 23.</w:t>
            </w:r>
            <w:r w:rsidR="00000000" w:rsidRPr="00000000" w:rsidDel="00000000">
              <w:rPr>
                <w:vertAlign w:val="superscript"/>
                <w:rtl w:val="0"/>
              </w:rPr>
              <w:t xml:space="preserve">5</w:t>
            </w:r>
            <w:r w:rsidR="00000000" w:rsidRPr="00000000" w:rsidDel="00000000">
              <w:rPr>
                <w:rtl w:val="0"/>
              </w:rPr>
              <w:t xml:space="preserve"> punkts atbilstoši izteiktajam iebildumam.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23.</w:t>
            </w:r>
            <w:r w:rsidR="00000000" w:rsidRPr="00000000" w:rsidDel="00000000">
              <w:rPr>
                <w:vertAlign w:val="superscript"/>
                <w:rtl w:val="0"/>
              </w:rPr>
              <w:t xml:space="preserve">5</w:t>
            </w:r>
            <w:r w:rsidR="00000000" w:rsidRPr="00000000" w:rsidDel="00000000">
              <w:rPr>
                <w:rtl w:val="0"/>
              </w:rPr>
              <w:t xml:space="preserve"> Ja ir pārkāptas Komisijas regulas Nr. 2023/2831, Komisijas regulas Nr. 1408/2013 vai Komisijas regulas 717/2014 prasības, atbalsta saņēmējam ir pienākums atmaksāt atbalsta sniedzējam šo noteikumu ietvaros saņemto nelikumīgo de minimis atbalstu kopā ar procentiem no līdzekļiem, kas ir brīvi no komercdarbības atbalsta, saskaņā ar Komercdarbības atbalsta kontroles likuma IV vai V nodaļu.</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9.</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(grozījumu)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Grozījumi Ministru kabineta 2011. gada 1. februāra noteikumos Nr. 109 "Kārtība, kādā atsavināma publiskas personas manta"</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(IZM - 08.04.2024.)</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to, ka ar šo Ministru kabineta noteikumu (grozījumu) projektu paredzēts grozīt Ministru kabineta 2011.gada 1.februāra noteikumu Nr.109 "Kārtība, kādā atsavināma publiskas personas manta" (turpmāk - MK noteikumi Nr.109) 12.punktu, kurā pašlaik ietverta atsauce uz Ministru kabineta rīkojumu projektu izsludināšanu Valsts sekretāru sanāksmē, un to, ka šāda atsauce norādīta arī MK noteikumu Nr.109 13.punktā, ierosinām Ministru kabineta noteikumu (grozījumu) projektā ietvert arī attiecīgus grozījumus MK noteikumu Nr.109 13.punktā.</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Attiecīgi precizēts Ministru kabineta 2011.gada 1.februāra noteikumu Nr.109 "Kārtība, kādā atsavināma publiskas personas manta" 13.punkts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10.</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4.9. atsavināšanas ierosinātāja personu apliecinoša dokumenta kopiju (fiziskai personai);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(LLPA - 10.04.2024.)</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Svītrot Ministru kabineta 2011. gada 1. februāra noteikumu Nr. 109 "Kārtība, kādā atsavināma publiskas personas manta" (turpmāk – MK109) 4.9. apakšpunktu, jo darba praksē zaudējis savu aktualitāti.</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Nav 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Priekšlikums izvērtēts.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Vēršam uzmanību, ka no Ministru kabineta 2011. gada 1. februāra noteikumiem Nr. 109 "Kārtība, kādā atsavināma publiskas personas manta" (turpmāk – MK109) netiek svītrots  4.9. apakšpunkts, jo personu apliecinošo dokumentu kopijas ir nepieciešamas, ja atsavināšanas ierosinātājs ir persona, kura nav reģistrēta Fizisko personu reģistrā (piem.,Lietuvas pilsonis), tad dokumenta kopija ir nepieciešama, lai izvērtētu personas atbilstību zemes reformas un privatizācijas likumiem, kā arī, lai sagatavotu pirkuma līgumu. Tāpat, arī Noziedzīgi iegūtu līdzekļu legalizācijas un terorisma un proliferācijas finansēšanas novēršanas likums paredz, piemēram, 12.panta  pirmā daļa nosaka, ka fizisko personu identificē, </w:t>
            </w:r>
            <w:r w:rsidR="00000000" w:rsidRPr="00000000" w:rsidDel="00000000">
              <w:rPr>
                <w:u w:val="single"/>
                <w:rtl w:val="0"/>
              </w:rPr>
              <w:t xml:space="preserve">pārbaudot tās identitāti pēc klienta personu apliecinoša dokumenta</w:t>
            </w:r>
            <w:r w:rsidR="00000000" w:rsidRPr="00000000" w:rsidDel="00000000">
              <w:rPr>
                <w:rtl w:val="0"/>
              </w:rPr>
              <w:t xml:space="preserve">, kurā sniegta šāda informācija {..}, 14.panta pirmā daļa nosaka, ka likuma subjekts, uzsākot darījuma attiecības vai veicot šā likuma 11.pantā minētos darījumus, </w:t>
            </w:r>
            <w:r w:rsidR="00000000" w:rsidRPr="00000000" w:rsidDel="00000000">
              <w:rPr>
                <w:u w:val="single"/>
                <w:rtl w:val="0"/>
              </w:rPr>
              <w:t xml:space="preserve">izgatavo to dokumentu kopijas, uz kuru pamata veikta klienta identifikācija.</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4.9. atsavināšanas ierosinātāja personu apliecinoša dokumenta kopiju (fiziskai personai);</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5.1. atsavināšanas ierosinātāja personu apliecinoša dokumenta kopiju;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(LLPA - 10.04.2024.)</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Svītrot MK109 5.1. apakšpunktu, jo darba praksē zaudējis savu aktualitāti.</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Nav 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Priekšlikums izvērtēts.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Lūgums skatīt izziņas 7.punktu.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5.1. atsavināšanas ierosinātāja personu apliecinoša dokumenta kopiju;</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12.</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12. Lai noskaidrotu, vai atsavināmais valsts nekustamais īpašums nav nepieciešams citai valsts iestādei, valsts kapitālsabiedrībai vai atvasinātas publiskas personas vai to iestādes funkciju nodrošināšanai, izņemot šo noteikumu </w:t>
            </w:r>
            <w:r w:rsidR="00000000" w:rsidRPr="00000000" w:rsidDel="00000000">
              <w:rPr>
                <w:rtl w:val="0"/>
              </w:rPr>
              <w:t xml:space="preserve">11.1.</w:t>
            </w:r>
            <w:r w:rsidR="00000000" w:rsidRPr="00000000" w:rsidDel="00000000">
              <w:rPr>
                <w:rtl w:val="0"/>
              </w:rPr>
              <w:t xml:space="preserve">apakšpunktā minēto gadījumu, ministrija noteiktā kārtībā izsludina Vienotajā tiesību aktu projektu izstrādes un saskaņošanas portālā Ministru kabineta rīkojuma projektu par valsts nekustamā īpašuma atsavināšanu. Ja divu nedēļu laikā pēc Ministru kabineta rīkojuma projekta izsludināšanas Vienotajā tiesību aktu projektu izstrādes un saskaņošanas portālā valsts iestādes, valsts kapitālsabiedrības vai atvasinātas publiskas personas vai to iestādes nepieprasa rīkojuma projektā minēto nekustamo īpašumu valsts pārvaldes funkciju nodrošināšanai saskaņā ar Valsts pārvaldes iekārtas likumu, to var atsavināt likumā noteiktajā kārtībā.</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(IEM - 05.04.2024.)</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Vēršama uzmanība, ka norāde par Ministru kabineta rīkojuma projekta izsludināšanu Valsts sekretāru sanāksmē ir ietverta arī Ministru kabineta 2011. gada 1. februāra noteikumu Nr. 109 "Kārtība, kādā atsavināma publiskas personas manta" (turpmāk - noteikumi Nr. 109) 13. punktā. Ievērojot minēto, precizēt projektu, papildinot ar attiecīgiem grozījumiem noteikumu Nr. 109 13. punktā.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Attiecīgi precizēts Ministru kabineta 2011. gada 1. februāra noteikumu Nr. 109 "Kārtība, kādā atsavināma publiskas personas manta" (turpmāk - noteikumi Nr. 109) 13. punkts.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12. Lai noskaidrotu, vai atsavināmais valsts nekustamais īpašums nav nepieciešams citai valsts iestādei, valsts kapitālsabiedrībai vai atvasinātas publiskas personas vai to iestādes funkciju nodrošināšanai, izņemot šo noteikumu </w:t>
            </w:r>
            <w:r w:rsidR="00000000" w:rsidRPr="00000000" w:rsidDel="00000000">
              <w:rPr>
                <w:rtl w:val="0"/>
              </w:rPr>
              <w:t xml:space="preserve">11.1.</w:t>
            </w:r>
            <w:r w:rsidR="00000000" w:rsidRPr="00000000" w:rsidDel="00000000">
              <w:rPr>
                <w:rtl w:val="0"/>
              </w:rPr>
              <w:t xml:space="preserve">apakšpunktā minēto gadījumu, ministrija noteiktā kārtībā izsludina Vienotajā tiesību aktu projektu izstrādes un saskaņošanas portālā Ministru kabineta rīkojuma projektu par valsts nekustamā īpašuma atsavināšanu. Ja divu nedēļu laikā pēc Ministru kabineta rīkojuma projekta izsludināšanas Vienotajā tiesību aktu projektu izstrādes un saskaņošanas portālā valsts iestādes, valsts kapitālsabiedrības vai atvasinātas publiskas personas vai to iestādes nepieprasa rīkojuma projektā minēto nekustamo īpašumu valsts pārvaldes funkciju nodrošināšanai saskaņā ar Valsts pārvaldes iekārtas likumu, to var atsavināt likumā noteiktajā kārtībā.</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17.2. atsavināmās valsts kustamās mantas vienas vienības vai lietu kopības (ja tiek atsavināta lietu kopība) atlikusī bilances vērtība pēc grāmatvedības uzskaites datiem nepārsniedz 1500 </w:t>
            </w:r>
            <w:r w:rsidR="00000000" w:rsidRPr="00000000" w:rsidDel="00000000">
              <w:rPr>
                <w:i w:val="1"/>
                <w:rtl w:val="0"/>
              </w:rPr>
              <w:t xml:space="preserve">euro</w:t>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(IEM - 05.04.2024.)</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Izvērtēt iespēju palielināt mantas atlikušās bilances vērtības slieksni, līdz kuram ministrija ir tiesīga dot atļauju kustamās mantas atsavināšanai.</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Nav 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Priekšlikums izvērtēts.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ka nav sniegts pamatojums izteiktajam priekšlikumam, proti, nav iesniegts pamatojums/skaidrojums, kādēļ ir nepieciešams palielināt mantas atlikušās bilances vērtības slieksni, kā arī nav iesniegts priekšlikums šīs mantas atlikušās bilances vērtības slieksnim, līdz kuram ministrija ir tiesīga dot atļauju kustamās mantas atsavināšanai, šobrīd attiecīgā norma paliek spēkā esošajā redakcijā un netiks precizēta.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Vienlaikus, informējam, ka Publiskas personas mantas atsavināšanas likumā 47.pants izteikts jaunā redakcijā un tas stāsies spēkā 2025.gada 1.janvārī. Attiecīgi, pamatojoties uz Atsavināšanas likuma 47.pantu, Finanšu ministrijai ir dots uzdevums sagatavot Ministru kabineta noteikumus, kas noteiks atsavināšanas izdevumu apmēru un atsavināšanā iegūto līdzekļu izlietojumu, līdz ar to, izpildot šo uzdevumu, Finanšu ministrija var izvērtēt attiecīgo priekšlikumu.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14.</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23.</w:t>
            </w:r>
            <w:r w:rsidR="00000000" w:rsidRPr="00000000" w:rsidDel="00000000">
              <w:rPr>
                <w:vertAlign w:val="superscript"/>
                <w:rtl w:val="0"/>
              </w:rPr>
              <w:t xml:space="preserve">3</w:t>
            </w:r>
            <w:r w:rsidR="00000000" w:rsidRPr="00000000" w:rsidDel="00000000">
              <w:rPr>
                <w:rtl w:val="0"/>
              </w:rPr>
              <w:t xml:space="preserve"> Ja valsts kustamā manta, kas nodota bez atlīdzības, tiek izmantota saimnieciskai darbībai, atbalsts kurai ir kvalificējams kā komercdarbības atbalsts, ievēro šo noteikumu 23.</w:t>
            </w:r>
            <w:r w:rsidR="00000000" w:rsidRPr="00000000" w:rsidDel="00000000">
              <w:rPr>
                <w:vertAlign w:val="superscript"/>
                <w:rtl w:val="0"/>
              </w:rPr>
              <w:t xml:space="preserve">4</w:t>
            </w:r>
            <w:r w:rsidR="00000000" w:rsidRPr="00000000" w:rsidDel="00000000">
              <w:rPr>
                <w:rtl w:val="0"/>
              </w:rPr>
              <w:t xml:space="preserve"> punktā noteiktos komercdarbības atbalsta nosacījumus.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(IEM - 05.04.2024.)</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Lai atvieglotu normas uztveramību, ierosinām attiecīgo punktu izteikt jaunā redakcijā.</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"23.</w:t>
            </w:r>
            <w:r w:rsidR="00000000" w:rsidRPr="00000000" w:rsidDel="00000000">
              <w:rPr>
                <w:vertAlign w:val="superscript"/>
                <w:rtl w:val="0"/>
              </w:rPr>
              <w:t xml:space="preserve">3</w:t>
            </w:r>
            <w:r w:rsidR="00000000" w:rsidRPr="00000000" w:rsidDel="00000000">
              <w:rPr>
                <w:rtl w:val="0"/>
              </w:rPr>
              <w:t xml:space="preserve"> Ja valsts kustamā manta, kas nodota bez atlīdzības, tiek izmantota saimnieciskai darbībai, kura atbilst nosacījumiem, lai kvalificētos komercdarbības atbalsta saņemšanai, ievēro šo noteikumu 23.</w:t>
            </w:r>
            <w:r w:rsidR="00000000" w:rsidRPr="00000000" w:rsidDel="00000000">
              <w:rPr>
                <w:vertAlign w:val="superscript"/>
                <w:rtl w:val="0"/>
              </w:rPr>
              <w:t xml:space="preserve">4 </w:t>
            </w:r>
            <w:r w:rsidR="00000000" w:rsidRPr="00000000" w:rsidDel="00000000">
              <w:rPr>
                <w:rtl w:val="0"/>
              </w:rPr>
              <w:t xml:space="preserve">punktā noteiktos komercdarbības atbalsta nosacījumus.".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Nav 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Priekšlikums izvērtēts.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Informējam, ka attiecīgā norma netiek precizēta un izteikta piedāvātajā redakcijā.</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23.</w:t>
            </w:r>
            <w:r w:rsidR="00000000" w:rsidRPr="00000000" w:rsidDel="00000000">
              <w:rPr>
                <w:vertAlign w:val="superscript"/>
                <w:rtl w:val="0"/>
              </w:rPr>
              <w:t xml:space="preserve">3</w:t>
            </w:r>
            <w:r w:rsidR="00000000" w:rsidRPr="00000000" w:rsidDel="00000000">
              <w:rPr>
                <w:rtl w:val="0"/>
              </w:rPr>
              <w:t xml:space="preserve"> Ja valsts kustamā manta, kas nodota bez atlīdzības, tiek izmantota saimnieciskai darbībai, kurai atbalsts kvalificējams kā komercdarbības atbalsts, ievēro šo noteikumu 23.</w:t>
            </w:r>
            <w:r w:rsidR="00000000" w:rsidRPr="00000000" w:rsidDel="00000000">
              <w:rPr>
                <w:vertAlign w:val="superscript"/>
                <w:rtl w:val="0"/>
              </w:rPr>
              <w:t xml:space="preserve">4</w:t>
            </w:r>
            <w:r w:rsidR="00000000" w:rsidRPr="00000000" w:rsidDel="00000000">
              <w:rPr>
                <w:rtl w:val="0"/>
              </w:rPr>
              <w:t xml:space="preserve"> punktā noteiktos komercdarbības atbalsta nosacījumus.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15.</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23.</w:t>
            </w:r>
            <w:r w:rsidR="00000000" w:rsidRPr="00000000" w:rsidDel="00000000">
              <w:rPr>
                <w:vertAlign w:val="superscript"/>
                <w:rtl w:val="0"/>
              </w:rPr>
              <w:t xml:space="preserve">4</w:t>
            </w:r>
            <w:r w:rsidR="00000000" w:rsidRPr="00000000" w:rsidDel="00000000">
              <w:rPr>
                <w:rtl w:val="0"/>
              </w:rPr>
              <w:t xml:space="preserve"> Šo noteikumu 23</w:t>
            </w:r>
            <w:r w:rsidR="00000000" w:rsidRPr="00000000" w:rsidDel="00000000">
              <w:rPr>
                <w:vertAlign w:val="superscript"/>
                <w:rtl w:val="0"/>
              </w:rPr>
              <w:t xml:space="preserve">3</w:t>
            </w:r>
            <w:r w:rsidR="00000000" w:rsidRPr="00000000" w:rsidDel="00000000">
              <w:rPr>
                <w:rtl w:val="0"/>
              </w:rPr>
              <w:t xml:space="preserve">. punktā minētajā gadījumā atbalstu atbalsta saņēmējam piešķir kā de minimis atbalstu saskaņā ar Komisijas 2023. gada 13. decembra Regulu (ES) Nr. 2023/2831 par Līguma par Eiropas Savienības darbību 107. un 108. panta piemērošanu de minimis atbalstam (Eiropas Savienības Oficiālais Vēstnesis, 2023. gada 15. decembris, Nr. L 2023/2831) (turpmāk – Komisijas regula Nr. 2023/2831) vai Komisijas 2014. gada 27. jūnija Regulu (EK) Nr. 717/2014 par Līguma par Eiropas Savienības darbību 107. un 108. panta piemērošanu de minimis atbalstam zvejniecības un akvakultūras nozarē (Eiropas Savienības Oficiālais Vēstnesis, 2014. gada 28. jūnijs, Nr. L 190/45) (turpmāk – Komisijas regula Nr. 717/2014) attiecībā uz zivsaimniecības uzņēmumiem, kas darbojas saskaņā ar Eiropas Parlamenta un Padomes 2013. gada 11. decembra Regulu (ES) Nr. 1379/2013 par zvejas un akvakultūras produktu tirgu kopīgo organizāciju un ar ko groza Padomes Regulas (EK) Nr. 1184/2006 un (EK) Nr. 1224/2009 un atceļ Padomes Regulu (EK) Nr. 104/2000, vai Komisijas 2013. gada 18. decembra Regulu (ES) Nr. 1408/2013 par Līguma par Eiropas Savienības darbību 107. un 108. panta piemērošanu de minimis atbalstam lauksaimniecības nozarē (Eiropas Savienības Oficiālais Vēstnesis, 2013. gada 24. decembris, Nr. L 352/9) (turpmāk – Komisijas regula Nr. 1408/2013), ievērojot šādus nosacījumus: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(IEM - 05.04.2024.)</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Lai atvieglotu normas uztveramību, ierosinām attiecīgo normu izteikt jaunā redakcijā.</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"23.</w:t>
            </w:r>
            <w:r w:rsidR="00000000" w:rsidRPr="00000000" w:rsidDel="00000000">
              <w:rPr>
                <w:vertAlign w:val="superscript"/>
                <w:rtl w:val="0"/>
              </w:rPr>
              <w:t xml:space="preserve">4</w:t>
            </w:r>
            <w:r w:rsidR="00000000" w:rsidRPr="00000000" w:rsidDel="00000000">
              <w:rPr>
                <w:rtl w:val="0"/>
              </w:rPr>
              <w:t xml:space="preserve"> Šo noteikumu 23</w:t>
            </w:r>
            <w:r w:rsidR="00000000" w:rsidRPr="00000000" w:rsidDel="00000000">
              <w:rPr>
                <w:vertAlign w:val="superscript"/>
                <w:rtl w:val="0"/>
              </w:rPr>
              <w:t xml:space="preserve">3</w:t>
            </w:r>
            <w:r w:rsidR="00000000" w:rsidRPr="00000000" w:rsidDel="00000000">
              <w:rPr>
                <w:rtl w:val="0"/>
              </w:rPr>
              <w:t xml:space="preserve">. punktā minētajā gadījumā atbalsts piešķirams de minimis atbalsta veidā saskaņā ar Komisijas 2023. gada 13. decembra Regulu (ES) Nr. 2023/2831 par Līguma par Eiropas Savienības darbību 107. un 108. panta piemērošanu de minimis atbalstam (Eiropas Savienības Oficiālais Vēstnesis, 2023. gada 15. decembris, Nr. L 2023/2831) (turpmāk – Komisijas regula Nr. 2023/2831) vai Komisijas 2014. gada 27. jūnija Regulu (EK) Nr. 717/2014 par Līguma par Eiropas Savienības darbību 107. un 108. panta piemērošanu de minimis atbalstam zvejniecības un akvakultūras nozarē (Eiropas Savienības Oficiālais Vēstnesis, 2014. gada 28. jūnijs, Nr. L 190/45) (turpmāk – Komisijas regula Nr. 717/2014) attiecībā uz zivsaimniecības uzņēmumiem, kas darbojas saskaņā ar Eiropas Parlamenta un Padomes 2013. gada 11. decembra Regulu (ES) Nr. 1379/2013 par zvejas un akvakultūras produktu tirgu kopīgo organizāciju un ar ko groza Padomes Regulas (EK) Nr. 1184/2006 un (EK) Nr. 1224/2009 un atceļ Padomes Regulu (EK) Nr. 104/2000, vai Komisijas 2013. gada 18. decembra Regulu (ES) Nr. 1408/2013 par Līguma par Eiropas Savienības darbību 107. un 108. panta piemērošanu de minimis atbalstam lauksaimniecības nozarē (Eiropas Savienības Oficiālais Vēstnesis, 2013. gada 24. decembris, Nr. L 352/9) (turpmāk – Komisijas regula Nr. 1408/2013), ievērojot šādus nosacījumus: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Priekšlikums izvērtēts.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Finanšu ministrija informē, ka šo noteikumu 23.</w:t>
            </w:r>
            <w:r w:rsidR="00000000" w:rsidRPr="00000000" w:rsidDel="00000000">
              <w:rPr>
                <w:vertAlign w:val="superscript"/>
                <w:rtl w:val="0"/>
              </w:rPr>
              <w:t xml:space="preserve">4  </w:t>
            </w:r>
            <w:r w:rsidR="00000000" w:rsidRPr="00000000" w:rsidDel="00000000">
              <w:rPr>
                <w:rtl w:val="0"/>
              </w:rPr>
              <w:t xml:space="preserve">punkts netiek precizēts.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23.</w:t>
            </w:r>
            <w:r w:rsidR="00000000" w:rsidRPr="00000000" w:rsidDel="00000000">
              <w:rPr>
                <w:vertAlign w:val="superscript"/>
                <w:rtl w:val="0"/>
              </w:rPr>
              <w:t xml:space="preserve">4</w:t>
            </w:r>
            <w:r w:rsidR="00000000" w:rsidRPr="00000000" w:rsidDel="00000000">
              <w:rPr>
                <w:rtl w:val="0"/>
              </w:rPr>
              <w:t xml:space="preserve"> Šo noteikumu 23</w:t>
            </w:r>
            <w:r w:rsidR="00000000" w:rsidRPr="00000000" w:rsidDel="00000000">
              <w:rPr>
                <w:vertAlign w:val="superscript"/>
                <w:rtl w:val="0"/>
              </w:rPr>
              <w:t xml:space="preserve">3</w:t>
            </w:r>
            <w:r w:rsidR="00000000" w:rsidRPr="00000000" w:rsidDel="00000000">
              <w:rPr>
                <w:rtl w:val="0"/>
              </w:rPr>
              <w:t xml:space="preserve">. punktā minētajā gadījumā atbalstu atbalsta saņēmējam piešķir kā de minimis atbalstu saskaņā ar Komisijas 2023. gada 13. decembra Regulu (ES) Nr. 2023/2831 par Līguma par Eiropas Savienības darbību 107. un 108. panta piemērošanu de minimis atbalstam (Eiropas Savienības Oficiālais Vēstnesis, 2023. gada 15. decembris, Nr. L 2023/2831) (turpmāk – Komisijas regula Nr. 2023/2831) vai Komisijas 2014. gada 27. jūnija Regulu (EK) Nr. 717/2014 par Līguma par Eiropas Savienības darbību 107. un 108. panta piemērošanu de minimis atbalstam zvejniecības un akvakultūras nozarē (Eiropas Savienības Oficiālais Vēstnesis, 2014. gada 28. jūnijs, Nr. L 190/45) (turpmāk – Komisijas regula Nr. 717/2014) attiecībā uz zivsaimniecības uzņēmumiem, kas darbojas saskaņā ar Eiropas Parlamenta un Padomes 2013. gada 11. decembra Regulu (ES) Nr. 1379/2013 par zvejas un akvakultūras produktu tirgu kopīgo organizāciju un ar ko groza Padomes Regulas (EK) Nr. 1184/2006 un (EK) Nr. 1224/2009 un atceļ Padomes Regulu (EK) Nr. 104/2000, vai Komisijas 2013. gada 18. decembra Regulu (ES) Nr. 1408/2013 par Līguma par Eiropas Savienības darbību 107. un 108. panta piemērošanu de minimis atbalstam lauksaimniecības nozarē (Eiropas Savienības Oficiālais Vēstnesis, 2013. gada 24. decembris, Nr. L 352/9) (turpmāk – Komisijas regula Nr. 1408/2013), ievērojot šādus nosacījumus: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16.</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51. Šo noteikumu 23.</w:t>
            </w:r>
            <w:r w:rsidR="00000000" w:rsidRPr="00000000" w:rsidDel="00000000">
              <w:rPr>
                <w:vertAlign w:val="superscript"/>
                <w:rtl w:val="0"/>
              </w:rPr>
              <w:t xml:space="preserve">4 </w:t>
            </w:r>
            <w:r w:rsidR="00000000" w:rsidRPr="00000000" w:rsidDel="00000000">
              <w:rPr>
                <w:rtl w:val="0"/>
              </w:rPr>
              <w:t xml:space="preserve">punktā minēto atbalstu atbalsta saņēmējam kā de minimis atbalstu saskaņā ar Komisijas regulu Nr. 2023/2831 piešķir ne vēlāk kā līdz 2031.gada 30.jūnijam (ieskaitot). Šo noteikumu 23.</w:t>
            </w:r>
            <w:r w:rsidR="00000000" w:rsidRPr="00000000" w:rsidDel="00000000">
              <w:rPr>
                <w:vertAlign w:val="superscript"/>
                <w:rtl w:val="0"/>
              </w:rPr>
              <w:t xml:space="preserve">4</w:t>
            </w:r>
            <w:r w:rsidR="00000000" w:rsidRPr="00000000" w:rsidDel="00000000">
              <w:rPr>
                <w:rtl w:val="0"/>
              </w:rPr>
              <w:t xml:space="preserve"> punktā noteikto atbalstu atbalsta saņēmējam kā de minimis atbalstu saskaņā ar Komisijas regulu Nr. 717/2014 piešķir ne vēlāk kā līdz 2030. gada 30. jūnijam (ieskaitot). Šo noteikumu 23.</w:t>
            </w:r>
            <w:r w:rsidR="00000000" w:rsidRPr="00000000" w:rsidDel="00000000">
              <w:rPr>
                <w:vertAlign w:val="superscript"/>
                <w:rtl w:val="0"/>
              </w:rPr>
              <w:t xml:space="preserve">4 </w:t>
            </w:r>
            <w:r w:rsidR="00000000" w:rsidRPr="00000000" w:rsidDel="00000000">
              <w:rPr>
                <w:rtl w:val="0"/>
              </w:rPr>
              <w:t xml:space="preserve">punktā noteikto atbalstu atbalsta saņēmējam kā de minimis atbalstu saskaņā ar Komisijas regulu Nr.1408/2013 piešķir ne vēlāk kā līdz 2028. gada 30. jūnijam (ieskaitot).</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(IEM - 05.04.2024.)</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Lai atvieglotu normas uztveramību, ierosinām attiecīgo normu izteikt jaunā redakcijā.</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"51. Šo noteikumu 23.</w:t>
            </w:r>
            <w:r w:rsidR="00000000" w:rsidRPr="00000000" w:rsidDel="00000000">
              <w:rPr>
                <w:vertAlign w:val="superscript"/>
                <w:rtl w:val="0"/>
              </w:rPr>
              <w:t xml:space="preserve">4</w:t>
            </w:r>
            <w:r w:rsidR="00000000" w:rsidRPr="00000000" w:rsidDel="00000000">
              <w:rPr>
                <w:rtl w:val="0"/>
              </w:rPr>
              <w:t xml:space="preserve"> punktā minēto atbalstu piešķir ne vēlāk kā līdz 2031.gada 30.jūnijam (ieskaitot)."</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Nav 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ka pārejas noteikumu 51.punkts paredz atbalstu atbalsta saņēmējam kā de minimis atbalstu piešķirt saskaņā ar trīs dažādām komisijas regulām, attiecīgi saskaņā ar Komisijas regulu Nr. 2023/2831 - ne vēlāk kā līdz 2031.gada 30.jūnijam (ieskaitot), saskaņā ar Komisijas regulu Nr. 717/2014 - ne vēlāk kā līdz 2030. gada 30. jūnijam (ieskaitot) un saskaņā ar Komisijas regulu Nr.1408/2013 - ne vēlāk kā līdz 2028. gada 30. jūnijam (ieskaitot), līdz ar to pārejas noteikumu 51.punkts netiek precizēts. </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51. Šo noteikumu 23.</w:t>
            </w:r>
            <w:r w:rsidR="00000000" w:rsidRPr="00000000" w:rsidDel="00000000">
              <w:rPr>
                <w:vertAlign w:val="superscript"/>
                <w:rtl w:val="0"/>
              </w:rPr>
              <w:t xml:space="preserve">4 </w:t>
            </w:r>
            <w:r w:rsidR="00000000" w:rsidRPr="00000000" w:rsidDel="00000000">
              <w:rPr>
                <w:rtl w:val="0"/>
              </w:rPr>
              <w:t xml:space="preserve">punktā minēto atbalstu atbalsta saņēmējam kā de minimis atbalstu saskaņā ar Komisijas regulu Nr. 2023/2831 piešķir ne vēlāk kā līdz 2031.gada 30.jūnijam (ieskaitot). Šo noteikumu 23.</w:t>
            </w:r>
            <w:r w:rsidR="00000000" w:rsidRPr="00000000" w:rsidDel="00000000">
              <w:rPr>
                <w:vertAlign w:val="superscript"/>
                <w:rtl w:val="0"/>
              </w:rPr>
              <w:t xml:space="preserve">4</w:t>
            </w:r>
            <w:r w:rsidR="00000000" w:rsidRPr="00000000" w:rsidDel="00000000">
              <w:rPr>
                <w:rtl w:val="0"/>
              </w:rPr>
              <w:t xml:space="preserve"> punktā noteikto atbalstu atbalsta saņēmējam kā de minimis atbalstu saskaņā ar Komisijas regulu Nr. 717/2014 piešķir ne vēlāk kā līdz 2030. gada 30. jūnijam (ieskaitot). Šo noteikumu 23.</w:t>
            </w:r>
            <w:r w:rsidR="00000000" w:rsidRPr="00000000" w:rsidDel="00000000">
              <w:rPr>
                <w:vertAlign w:val="superscript"/>
                <w:rtl w:val="0"/>
              </w:rPr>
              <w:t xml:space="preserve">4</w:t>
            </w:r>
            <w:r w:rsidR="00000000" w:rsidRPr="00000000" w:rsidDel="00000000">
              <w:rPr>
                <w:rtl w:val="0"/>
              </w:rPr>
              <w:t xml:space="preserve"> punktā noteikto atbalstu atbalsta saņēmējam kā de minimis atbalstu saskaņā ar Komisijas regulu Nr.1408/2013 piešķir ne vēlāk kā līdz 2028. gada 30. jūnijam (ieskaitot)</w:t>
            </w:r>
          </w:p>
        </w:tc>
      </w:tr>
    </w:tbl>
    <w:sectPr>
      <w:headerReference r:id="rId7" w:type="default"/>
      <w:headerReference r:id="rId8" w:type="first"/>
      <w:footerReference r:id="rId2" w:type="default"/>
      <w:footerReference r:id="rId3" w:type="first"/>
      <w:titlePg w:val="true"/>
      <w:pgSz w:w="16833" w:h="11908" w:orient="landscape"/>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Izziņa 24-TA-461</w:t>
    </w:r>
    <w:r>
      <w:br/>
    </w:r>
    <w:r w:rsidR="00000000" w:rsidRPr="00000000" w:rsidDel="00000000">
      <w:rPr>
        <w:rtl w:val="0"/>
      </w:rPr>
      <w:t xml:space="preserve">24.05.2024. 13.08</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Izziņa 24-TA-461</w:t>
    </w:r>
    <w:r>
      <w:br/>
    </w:r>
    <w:r w:rsidR="00000000" w:rsidRPr="00000000" w:rsidDel="00000000">
      <w:rPr>
        <w:rtl w:val="0"/>
      </w:rPr>
      <w:t xml:space="preserve">24.05.2024. 13.08</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after="280"/>
      <w:contextualSpacing w:val="1"/>
    </w:pPr>
    <w:rPr>
      <w:b w:val="1"/>
      <w:sz w:val="28"/>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Izziņa_24-TA-461.docx</dc:title>
</cp:coreProperties>
</file>

<file path=docProps/custom.xml><?xml version="1.0" encoding="utf-8"?>
<Properties xmlns="http://schemas.openxmlformats.org/officeDocument/2006/custom-properties" xmlns:vt="http://schemas.openxmlformats.org/officeDocument/2006/docPropsVTypes"/>
</file>