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25-TA-1187: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19. oktobra noteikumos Nr. 693 "Būvju vispārīgo prasību būvnormatīvs LBN 200-21"</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20:00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jaunu 12.12.apakšnodaļu "Bezemisiju ēka" un 173.</w:t>
            </w:r>
            <w:r w:rsidR="00000000" w:rsidRPr="00000000" w:rsidDel="00000000">
              <w:rPr>
                <w:vertAlign w:val="superscript"/>
                <w:rtl w:val="0"/>
              </w:rPr>
              <w:t xml:space="preserve">4 </w:t>
            </w:r>
            <w:r w:rsidR="00000000" w:rsidRPr="00000000" w:rsidDel="00000000">
              <w:rPr>
                <w:rtl w:val="0"/>
              </w:rPr>
              <w:t xml:space="preserve">un 173.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w:t>
            </w:r>
            <w:r w:rsidR="00000000" w:rsidRPr="00000000" w:rsidDel="00000000">
              <w:rPr>
                <w:rtl w:val="0"/>
              </w:rPr>
              <w:t xml:space="preserve"> Publiskā sektora subjekta ēku projektē kā bezemisiju ēku. Šā punkta prasība ir piemērojama no 2028. gada 1. janvāra. Līdz 2027. gada 31. decembrim šajā punktā noteikto ēku projektē kā vismaz gandrīz nulles enerģijas ēku, kas atbilst minimālajām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5 </w:t>
            </w:r>
            <w:r w:rsidR="00000000" w:rsidRPr="00000000" w:rsidDel="00000000">
              <w:rPr>
                <w:rtl w:val="0"/>
              </w:rPr>
              <w:t xml:space="preserve">Jaunu ēku projektē kā bezemisiju ēku. Šā punkta prasība ir piemērojama no 2030. gada 1.janvāra. Līdz 2029. gada 31. decembrim jaunu ēku projektē kā vismaz gandrīz nulles enerģijas ēku, kas atbilst minimālajām energoefektivitātes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jānosaka iespējami reāli termiņi , pagarinot tos vismaz par  24–36 mēnešiem ieviešanas termiņu pārcelt uz 2028. gadu publiskajām ēkām, savukārt parējām vismaz līdz 2030 gadam . Atzistot, ka   formāli termiņi nav maināmi nacionālā līmenī, taču uzsveram risku publisko investīciju kavējumam, tāādēl uzturam iepriekš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pilnībā tiek izmantota iespēja prasības spēkā stāšanos atlikt ar noteikumu projekta 180.punktu. Papildus aicinām ņemt vērā arī 181.punktu.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jaunu 12.12.apakšnodaļu "Bezemisiju ēka" ar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w:t>
            </w:r>
            <w:r w:rsidR="00000000" w:rsidRPr="00000000" w:rsidDel="00000000">
              <w:rPr>
                <w:rtl w:val="0"/>
              </w:rPr>
              <w:t xml:space="preserve"> Publiskā sektora subjekta ēku projektē kā bezemisiju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5 </w:t>
            </w:r>
            <w:r w:rsidR="00000000" w:rsidRPr="00000000" w:rsidDel="00000000">
              <w:rPr>
                <w:rtl w:val="0"/>
              </w:rPr>
              <w:t xml:space="preserve">Jaunu ēku projektē kā bezemisiju 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jaunu 3.42., 3.43., 3.44., 3.45., 3.46., 3.47., 3.48., 3.49., un 3.50.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nozīmīga atjaunošana – ar ēkas energoefektivitāti saistīta ēkas atjaunošana, kas skar vairāk par 25 % virsmu ēkas konstruktīvajiem elementiem, kas atdala tās iekštelpas no āra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pamatīga atjaunošana – ēkas atjaunošana atbilstoši principam “energoefektivitāte pirmajā vietā” un koncentrējas uz būtiskiem ēkas elementiem, lai ēka vai ēkas daļa atbilst prasībām par gandrīz nulles enerģijas ēku. Pēc 2030. gada 1. janvāra tā ir ēkas atjaunošana, lai ēka vai tās daļa atbilst prasībām par bezemisiju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pakāpeniska pamatīga atjaunošana – pamatīga atjaunošana, ko īsteno vairākos posmos saskaņā ar atjaunošanas pasē noteikto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autostāvvieta ar jumtu – būve ar jumtu, kurā ir vismaz trīs automašīnu stāvvietas un kurā iekštelpu vides regulēšanai neizmanto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autostāvvieta, kas atrodas fiziski blakus ēkai – automašīnai paredzēta vieta, kas paredzēta ēkas iemītnieku, apmeklētāju vai darbinieku lietošanai un kas atrodas ēkas īpašuma teritorijā vai ēkas tiešā tuvumā. Šā apakšpunkta ietvarā tā ir 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publiskā sektora subjekts – valsts, reģionālās vai vietējās iestādes un subjekti, ko minētās iestādes tieši finansē un pārvalda, bet kam nav komerciāls vai rūpniecisks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viedā uzlāde – uzlādes operācija, kurā akumulatoram piegādātās elektroenerģijas intensitāte tiek koriģēta dinamiski, balstoties uz informāciju, kas saņemta, izmantojot elektroniskos sakarus;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kabeļu iepriekšēja ierīkošana – visi pasākumi, kas nepieciešami, lai nodrošinātu iespēju uzstādīt uzlādes punktus, tostarp datu pārraidi, kabeļus, kabeļu trasi un vajadzības gadījumā elektroenerģijas skaitītājus;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 izolēta mikrosistēma – jebkura sistēma, kuras patēriņš 2022. gadā ir mazāks par 500 GWh un kurai nav savienojuma ar citām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vērš uzmanību par grozījumu projekta 1.1.apakšpunktā iekļauto 3.48. apakšpunktu, kas dublē Eiropas Parlamenta un Padomes 2023. gada 13. septembra Regulas (ES) 2023/1804 par alternatīvo degvielu infrastruktūras ieviešanu un ar ko atceļ Direktīvu 2014/94/ES 2. pantā iekļauto 65)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 uzlāde" definīcija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apakšpunkta dzēšanu veikta saistīto apakšpunktu pārnumurēšana un precizēta arī anotācijas 5.4.1.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jaunu 3.1</w:t>
            </w:r>
            <w:r w:rsidR="00000000" w:rsidRPr="00000000" w:rsidDel="00000000">
              <w:rPr>
                <w:vertAlign w:val="superscript"/>
                <w:rtl w:val="0"/>
              </w:rPr>
              <w:t xml:space="preserve">1</w:t>
            </w:r>
            <w:r w:rsidR="00000000" w:rsidRPr="00000000" w:rsidDel="00000000">
              <w:rPr>
                <w:rtl w:val="0"/>
              </w:rPr>
              <w:t xml:space="preserve"> un  3.1</w:t>
            </w:r>
            <w:r w:rsidR="00000000" w:rsidRPr="00000000" w:rsidDel="00000000">
              <w:rPr>
                <w:vertAlign w:val="superscript"/>
                <w:rtl w:val="0"/>
              </w:rPr>
              <w:t xml:space="preserve">2 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autostāvvieta ar jumtu – būve ar jumtu, kurā ir vismaz trīs automašīnu stāvvietas un kurā iekštelpu vides regulēšanai neizmanto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autostāvvieta, kas atrodas fiziski blakus ēkai – automašīnai paredzēta vieta, kas paredzēta ēkas iemītnieku, apmeklētāju vai darbinieku lietošanai un kas atrodas ēkas īpašuma teritorijā vai ēkas tiešā tuvumā. Šā apakšpunkta ietvarā tā ir vieta blakus ēkai ar iekštelpu, kuras vides regulēšanu veic izmantojot 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jaunu 3.42., 3.43., 3.44., 3.45., 3.46., 3.47., 3.48., 3.49., un 3.50.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nozīmīga atjaunošana – ar ēkas energoefektivitāti saistīta ēkas atjaunošana, kas skar vairāk par 25 % virsmu ēkas konstruktīvajiem elementiem, kas atdala tās iekštelpas no āra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pamatīga atjaunošana – ēkas atjaunošana atbilstoši principam “energoefektivitāte pirmajā vietā” un koncentrējas uz būtiskiem ēkas elementiem, lai ēka vai ēkas daļa atbilst prasībām par gandrīz nulles enerģijas ēku. Pēc 2030. gada 1. janvāra tā ir ēkas atjaunošana, lai ēka vai tās daļa atbilst prasībām par bezemisiju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pakāpeniska pamatīga atjaunošana – pamatīga atjaunošana, ko īsteno vairākos posmos saskaņā ar atjaunošanas pasē noteikto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autostāvvieta ar jumtu – būve ar jumtu, kurā ir vismaz trīs automašīnu stāvvietas un kurā iekštelpu vides regulēšanai neizmanto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autostāvvieta, kas atrodas fiziski blakus ēkai – automašīnai paredzēta vieta, kas paredzēta ēkas iemītnieku, apmeklētāju vai darbinieku lietošanai un kas atrodas ēkas īpašuma teritorijā vai ēkas tiešā tuvumā. Šā apakšpunkta ietvarā tā ir 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publiskā sektora subjekts – valsts, reģionālās vai vietējās iestādes un subjekti, ko minētās iestādes tieši finansē un pārvalda, bet kam nav komerciāls vai rūpniecisks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 viedā uzlāde – uzlādes operācija, kurā akumulatoram piegādātās elektroenerģijas intensitāte tiek koriģēta dinamiski, balstoties uz informāciju, kas saņemta, izmantojot elektroniskos sakarus;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 kabeļu iepriekšēja ierīkošana – visi pasākumi, kas nepieciešami, lai nodrošinātu iespēju uzstādīt uzlādes punktus, tostarp datu pārraidi, kabeļus, kabeļu trasi un vajadzības gadījumā elektroenerģijas skaitītājus;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 izolēta mikrosistēma – jebkura sistēma, kuras patēriņš 2022. gadā ir mazāks par 500 GWh un kurai nav savienojuma ar citām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precizēt, ko nozīmē 3.44. apakšpunktā minētā “atjaunošanas pase”. Nav saprotams, kas tas par dokumentu. Pašreiz spēkā esošais būvniecības procesa regulējums neparedz būvdarbu realizāciju saskaņā ar atjaunošanas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Ministru kabineta 02.09.2014. noteikumu Nr. 529 “Ēku būvnoteikumi” 1.</w:t>
            </w:r>
            <w:r w:rsidR="00000000" w:rsidRPr="00000000" w:rsidDel="00000000">
              <w:rPr>
                <w:vertAlign w:val="superscript"/>
                <w:rtl w:val="0"/>
              </w:rPr>
              <w:t xml:space="preserve">1</w:t>
            </w:r>
            <w:r w:rsidR="00000000" w:rsidRPr="00000000" w:rsidDel="00000000">
              <w:rPr>
                <w:rtl w:val="0"/>
              </w:rPr>
              <w:t xml:space="preserve"> 5. punktā punktā ir ietverts termina “vienkāršota atjaunošana” skaidrojums, lai nodrošinātu vienotu termina “atjaunošana” interpretāciju, aicinām visus ar šo terminu saistītos skaidrojumus ietvert vienā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ir ņemts vērā daļā par </w:t>
            </w:r>
            <w:r w:rsidR="00000000" w:rsidRPr="00000000" w:rsidDel="00000000">
              <w:rPr>
                <w:i w:val="1"/>
                <w:rtl w:val="0"/>
              </w:rPr>
              <w:t xml:space="preserve">"atjaunošanas pase"</w:t>
            </w:r>
            <w:r w:rsidR="00000000" w:rsidRPr="00000000" w:rsidDel="00000000">
              <w:rPr>
                <w:rtl w:val="0"/>
              </w:rPr>
              <w:t xml:space="preserve"> skaidrošanu.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vārdi</w:t>
            </w:r>
            <w:r w:rsidR="00000000" w:rsidRPr="00000000" w:rsidDel="00000000">
              <w:rPr>
                <w:i w:val="1"/>
                <w:rtl w:val="0"/>
              </w:rPr>
              <w:t xml:space="preserve"> "atjaunošanas pase" </w:t>
            </w:r>
            <w:r w:rsidR="00000000" w:rsidRPr="00000000" w:rsidDel="00000000">
              <w:rPr>
                <w:rtl w:val="0"/>
              </w:rPr>
              <w:t xml:space="preserve">lietoti nozīmē, kā to paredz Direktīvā 2024/1275 2.panta 19.punkts, kuru paredzēts transponēt ar grozījumiem Ēku energoefektivitātes likumā [25-TA-2969]. Pašlaik normatīvā akta projekts paredz definīciju: </w:t>
            </w:r>
            <w:r w:rsidR="00000000" w:rsidRPr="00000000" w:rsidDel="00000000">
              <w:rPr>
                <w:i w:val="1"/>
                <w:rtl w:val="0"/>
              </w:rPr>
              <w:t xml:space="preserve">"atjaunošanas pase – individuāli pielāgots ceļvedis konkrētas ēkas pakāpeniskai atjaunošanai, kas paredz pasākumu īstenošanu vairākos posmos un būtisku ēkas energoefektivitātes uzlabošanu".</w:t>
            </w:r>
            <w:r w:rsidR="00000000" w:rsidRPr="00000000" w:rsidDel="00000000">
              <w:rPr>
                <w:i w:val="1"/>
                <w:rtl w:val="0"/>
              </w:rPr>
              <w:t xml:space="preserve">2</w:t>
            </w:r>
            <w:r w:rsidR="00000000" w:rsidRPr="00000000" w:rsidDel="00000000">
              <w:rPr>
                <w:rtl w:val="0"/>
              </w:rPr>
              <w:t xml:space="preserve">) Priekšlikums daļā par termina "atjaunošana” vai “vienkāršota atjaunošana” iekļaušanu vienā normatīvajā aktā nav ņemams vērā vairāku iemeslu dēļ. Abu terminu nozīme nav vienāda. </w:t>
            </w:r>
            <w:r w:rsidR="00000000" w:rsidRPr="00000000" w:rsidDel="00000000">
              <w:rPr>
                <w:i w:val="1"/>
                <w:rtl w:val="0"/>
              </w:rPr>
              <w:t xml:space="preserve">Būves atjaunošanu</w:t>
            </w:r>
            <w:r w:rsidR="00000000" w:rsidRPr="00000000" w:rsidDel="00000000">
              <w:rPr>
                <w:rtl w:val="0"/>
              </w:rPr>
              <w:t xml:space="preserve"> definē Būvniecības likuma 1.panta 4.daļa, savukārt </w:t>
            </w:r>
            <w:r w:rsidR="00000000" w:rsidRPr="00000000" w:rsidDel="00000000">
              <w:rPr>
                <w:i w:val="1"/>
                <w:rtl w:val="0"/>
              </w:rPr>
              <w:t xml:space="preserve">vienkāršotu atjaunošanu</w:t>
            </w:r>
            <w:r w:rsidR="00000000" w:rsidRPr="00000000" w:rsidDel="00000000">
              <w:rPr>
                <w:rtl w:val="0"/>
              </w:rPr>
              <w:t xml:space="preserve"> definē Ministru kabineta 02.09.2014. noteikumu Nr. 529 “Ēku būvnoteikumi” 1.</w:t>
            </w:r>
            <w:r w:rsidR="00000000" w:rsidRPr="00000000" w:rsidDel="00000000">
              <w:rPr>
                <w:vertAlign w:val="superscript"/>
                <w:rtl w:val="0"/>
              </w:rPr>
              <w:t xml:space="preserve">1</w:t>
            </w:r>
            <w:r w:rsidR="00000000" w:rsidRPr="00000000" w:rsidDel="00000000">
              <w:rPr>
                <w:rtl w:val="0"/>
              </w:rPr>
              <w:t xml:space="preserve"> 5. apakšpunkts. Noteikumu projekts negroza šos normatīvos aktus un negroza tajos noteiktās definīcijas. Turklāt, termina definēšana vienā būvniecību regulējošā normatīvajā aktā nenozīmē aizliegumu atsaukties vai lietot šo terminu kādā citā būvniecību regulējošā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jaunu 3.1</w:t>
            </w:r>
            <w:r w:rsidR="00000000" w:rsidRPr="00000000" w:rsidDel="00000000">
              <w:rPr>
                <w:vertAlign w:val="superscript"/>
                <w:rtl w:val="0"/>
              </w:rPr>
              <w:t xml:space="preserve">1</w:t>
            </w:r>
            <w:r w:rsidR="00000000" w:rsidRPr="00000000" w:rsidDel="00000000">
              <w:rPr>
                <w:rtl w:val="0"/>
              </w:rPr>
              <w:t xml:space="preserve"> un  3.1</w:t>
            </w:r>
            <w:r w:rsidR="00000000" w:rsidRPr="00000000" w:rsidDel="00000000">
              <w:rPr>
                <w:vertAlign w:val="superscript"/>
                <w:rtl w:val="0"/>
              </w:rPr>
              <w:t xml:space="preserve">2 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autostāvvieta ar jumtu – būve ar jumtu, kurā ir vismaz trīs automašīnu stāvvietas un kurā iekštelpu vides regulēšanai neizmanto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autostāvvieta, kas atrodas fiziski blakus ēkai – automašīnai paredzēta vieta, kas paredzēta ēkas iemītnieku, apmeklētāju vai darbinieku lietošanai un kas atrodas ēkas īpašuma teritorijā vai ēkas tiešā tuvumā. Šā apakšpunkta ietvarā tā ir vieta blakus ēkai ar iekštelpu, kuras vides regulēšanu veic izmantojot 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projektējot, ņem vērā ugunsdrošības, darba drošības, akustikas, higiēnas, optimālas iekštelpu vides kvalitātes, pielāgošanās klimata pārmaiņām, oglekļa piesaistījumiem, kas saistīti ar oglekļa uzglabāšanu ēkās vai uz tām, vides pieejamība personām ar funkcionāliem traucējumiem, emisijai gaisā un citu regulējošo normatīvo aktu un standartu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Apvienoto Nāciju Organizācijas Konvencijas par personu ar invaliditāti tiesībām 9. pantā noteikto regulējumu attiecībā uz piekļūstamību būvētajai videi (ēkām, ceļiem, transportam un citiem iekštelpu un āra objektiem, tostarp skolām, mājokļiem, ārstniecības iestādēm un darba vietām), kā arī Labklājības ministrijas izstrādātajā Plānā personu ar invaliditāti vienlīdzīgu iespēju veicināšanai 2024.–2027. gadam izmantoto terminoloģiju, aicinām šo noteikumu 4. punktā vārdus “vides pieejamība” aizstāt ar vārdiem “vides piekļūstamība”. Vienlaikus aicinām nodrošināt terminoloģijas konsekventu lietojumu, visā šo noteikumu tekstā attiecīgi aizstājot vārdus “vides pieejamība” ar vārdiem “vides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terminiem “pieejamība” un “piekļūstamība” ir atšķirīga nozīme. Proti, termins “pieejamība” var attiekties uz pakalpojuma vai fiziska resursa esamību vai pieejamību kopumā, savukārt termins “piekļūstamība” uzsver personas ar funkcionēšanas traucējumiem iespēju fiziski, funkcionāli un patstāvīgi piekļūt attiecīgajai videi, objektam vai pakalpojumam un to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lai nodrošinātu terminoloģisko atbilstību starptautiskajām saistībām un invaliditātes politikas dokumentiem, būtu izvērtējama arī terminoloģijas maiņa Būvniecības likumā, aizstājot vārdus “vides pieejamība” ar vārdiem “vides piekļūstamība”.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projektējot, ņem vērā ugunsdrošības, darba drošības, akustikas, higiēnas, optimālas iekštelpu vides kvalitātes, pielāgošanās klimata pārmaiņām, oglekļa piesaistījumiem, kas saistīti ar oglekļa uzglabāšanu ēkās vai uz tām, vides </w:t>
            </w:r>
            <w:r w:rsidR="00000000" w:rsidRPr="00000000" w:rsidDel="00000000">
              <w:rPr>
                <w:u w:val="single"/>
                <w:rtl w:val="0"/>
              </w:rPr>
              <w:t xml:space="preserve">piekļūstamība</w:t>
            </w:r>
            <w:r w:rsidR="00000000" w:rsidRPr="00000000" w:rsidDel="00000000">
              <w:rPr>
                <w:rtl w:val="0"/>
              </w:rPr>
              <w:t xml:space="preserve"> personām ar funkcionāliem traucējumiem, emisijai gaisā un citu regulējošo normatīvo aktu un standartu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neattiecās uz attiecīgo grozījumu tvērumu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vārdi</w:t>
            </w:r>
            <w:r w:rsidR="00000000" w:rsidRPr="00000000" w:rsidDel="00000000">
              <w:rPr>
                <w:i w:val="1"/>
                <w:rtl w:val="0"/>
              </w:rPr>
              <w:t xml:space="preserve"> "</w:t>
            </w:r>
            <w:r w:rsidR="00000000" w:rsidRPr="00000000" w:rsidDel="00000000">
              <w:rPr>
                <w:i w:val="1"/>
                <w:u w:val="single"/>
                <w:rtl w:val="0"/>
              </w:rPr>
              <w:t xml:space="preserve">vides</w:t>
            </w:r>
            <w:r w:rsidR="00000000" w:rsidRPr="00000000" w:rsidDel="00000000">
              <w:rPr>
                <w:i w:val="1"/>
                <w:rtl w:val="0"/>
              </w:rPr>
              <w:t xml:space="preserve"> pieejamība"</w:t>
            </w:r>
            <w:r w:rsidR="00000000" w:rsidRPr="00000000" w:rsidDel="00000000">
              <w:rPr>
                <w:rtl w:val="0"/>
              </w:rPr>
              <w:t xml:space="preserve"> būvnormatīvā tiek lietoti kopā, kas nepārprotami norāda uz saistību ar būvēto </w:t>
            </w:r>
            <w:r w:rsidR="00000000" w:rsidRPr="00000000" w:rsidDel="00000000">
              <w:rPr>
                <w:u w:val="single"/>
                <w:rtl w:val="0"/>
              </w:rPr>
              <w:t xml:space="preserve">vidi</w:t>
            </w:r>
            <w:r w:rsidR="00000000" w:rsidRPr="00000000" w:rsidDel="00000000">
              <w:rPr>
                <w:rtl w:val="0"/>
              </w:rPr>
              <w:t xml:space="preserve">, nevis pakalpojumu pieejamību vai pieejamību kopumā. Tas, ka ar </w:t>
            </w:r>
            <w:r w:rsidR="00000000" w:rsidRPr="00000000" w:rsidDel="00000000">
              <w:rPr>
                <w:i w:val="1"/>
                <w:rtl w:val="0"/>
              </w:rPr>
              <w:t xml:space="preserve">"vides pieejamību"</w:t>
            </w:r>
            <w:r w:rsidR="00000000" w:rsidRPr="00000000" w:rsidDel="00000000">
              <w:rPr>
                <w:rtl w:val="0"/>
              </w:rPr>
              <w:t xml:space="preserve"> ir jāsaprot projektēšanas prasības </w:t>
            </w:r>
            <w:r w:rsidR="00000000" w:rsidRPr="00000000" w:rsidDel="00000000">
              <w:rPr>
                <w:i w:val="1"/>
                <w:rtl w:val="0"/>
              </w:rPr>
              <w:t xml:space="preserve">"dažādiem būvju veidiem, lai tās būtu pieejamas arī personām ar funkcionāliem traucējumiem" </w:t>
            </w:r>
            <w:r w:rsidR="00000000" w:rsidRPr="00000000" w:rsidDel="00000000">
              <w:rPr>
                <w:rtl w:val="0"/>
              </w:rPr>
              <w:t xml:space="preserve">ir skaidrots arī Ministru kabineta 2021. gada 19. oktobra noteikumu Nr. 693 "Būvju vispārīgo prasību būvnormatīvs LBN 200-21" sākotnējās redakcijas ietekmes novērtējuma ziņojumā (anotācijā). Turklāt, vārdi </w:t>
            </w:r>
            <w:r w:rsidR="00000000" w:rsidRPr="00000000" w:rsidDel="00000000">
              <w:rPr>
                <w:i w:val="1"/>
                <w:rtl w:val="0"/>
              </w:rPr>
              <w:t xml:space="preserve">"vides pieejamība"</w:t>
            </w:r>
            <w:r w:rsidR="00000000" w:rsidRPr="00000000" w:rsidDel="00000000">
              <w:rPr>
                <w:rtl w:val="0"/>
              </w:rPr>
              <w:t xml:space="preserve"> konsekventi lietoti arī citos normatīvajos aktos, kurus noteikumu projekts negroza,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Dzīvokļa īpašuma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2014. gada 2. septembra noteikumi Nr. 529 "Ēku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2009. gada 20. janvāra noteikumi Nr. 60 "Noteikumi par obligātajām prasībām ārstniecības iestādēm un to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Jūrmalas pilsētas domes 2021. gada 28. janvāra saistošie noteikumi Nr. 8 "Par Jūrmalas pilsētas pašvaldības palīdzību vides pielāgošanai personām, kuras pārvietojas riteņkrēslā, un mājokļa pielāgošanai personām ar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Liepājas pilsētas domes 2024. gada 13. jūnija saistošie noteikumi Nr. 23 "Pabalsta mājokļa vides pielāgošanai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Dobeles novada domes 2022. gada 29. septembra saistošie noteikumos Nr. 34 "Par atbalstu mājokļa vides pielāgošanai personām ar funkcionēšanas ierobežojumiem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priekšlikumā minētais jautājums ir skatāms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projektējot, ņem vērā ugunsdrošības, darba drošības, akustikas, higiēnas, optimālas iekštelpu vides kvalitātes, pielāgošanās klimata pārmaiņām, oglekļa piesaistījumiem, kas saistīti ar oglekļa uzglabāšanu ēkās vai uz tām, vides pieejamība personām ar funkcionāliem traucējumiem, emisijai gaisā un citu regulējošo normatīvo aktu un standartu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jaunu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Ēkām, kurām veic nozīmīgu atjaunošanu, risina prasību izpildi energoefektivitātes jomā un, ciktāl tas ir tehniski, funkcionāli un ekonomiski iespējams, ārpus sākotnējās ieceres tvēruma papildus risina jautājumus arī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1. optimālas iekštelpu 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3.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vides pieejamība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5. bīstamu vielu, tostarp azbesta, nodošana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6.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2 </w:t>
            </w:r>
            <w:r w:rsidR="00000000" w:rsidRPr="00000000" w:rsidDel="00000000">
              <w:rPr>
                <w:rtl w:val="0"/>
              </w:rPr>
              <w:t xml:space="preserve">Jaunas ēkas projektē tā, lai optimizētu to saules enerģijas ražošanas potenciālu, balstoties uz saules apstarojumu objektā, lai izmakslietderīgā veidā varētu uzstādīt saules enerģijas tehnoloģijas."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tiesiskais regulējums skaidri nenosaka, kas ir sākotnējā iecere, lai izvairītos no neskaidra un abstrakta jēdziena un tā nekorektas interpretācijas,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anotācijā šī jēdziena tiesisko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prasību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Ēkām, kurām veic nozīmīgu atjaunošanu, risina prasību izpildi energoefektivitātes jomā un, ciktāl tas ir tehniski, funkcionāli un ekonomiski iespējams, ārpus būvniecības ieceres tvēruma papildus risina jautājumus arī šādās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punkta redakcija precizēta atbilstoši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jaunu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Ēkām, kurām veic nozīmīgu atjaunošanu, risina prasību izpildi energoefektivitātes jomā un, ciktāl tas ir tehniski, funkcionāli un ekonomiski iespējams, ārpus būvniecības ieceres tvēruma papildus risina jautājumus arī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1. optimālas iekštelpu vides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3.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vides pieejamība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5. bīstamu vielu, tostarp azbesta, nodošana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sz w:val="20"/>
                <w:vertAlign w:val="superscript"/>
                <w:rtl w:val="0"/>
              </w:rPr>
              <w:t xml:space="preserve">1</w:t>
            </w:r>
            <w:r w:rsidR="00000000" w:rsidRPr="00000000" w:rsidDel="00000000">
              <w:rPr>
                <w:rtl w:val="0"/>
              </w:rPr>
              <w:t xml:space="preserve">6.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2 </w:t>
            </w:r>
            <w:r w:rsidR="00000000" w:rsidRPr="00000000" w:rsidDel="00000000">
              <w:rPr>
                <w:rtl w:val="0"/>
              </w:rPr>
              <w:t xml:space="preserve">Jaunas ēkas projektē tā, lai optimizētu to saules enerģijas ražošanas potenciālu, balstoties uz saules apstarojumu objektā, lai izmakslietderīgā veidā varētu uzstādīt saules enerģijas tehnoloģijas."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periodiski,piemēram, tikai atsevišķu pasākumu laikā, vai ar būtiskiem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punktā minētajam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papildinājums Ministru kabineta 2021. gada 19. oktobra noteikumu Nr. 693 "Būvju vispārīgo prasību būvnormatīvs LBN 200-21" (turpmāk - Noteikumi) 130.</w:t>
            </w:r>
            <w:r w:rsidR="00000000" w:rsidRPr="00000000" w:rsidDel="00000000">
              <w:rPr>
                <w:vertAlign w:val="superscript"/>
                <w:rtl w:val="0"/>
              </w:rPr>
              <w:t xml:space="preserve">6</w:t>
            </w:r>
            <w:r w:rsidR="00000000" w:rsidRPr="00000000" w:rsidDel="00000000">
              <w:rPr>
                <w:rtl w:val="0"/>
              </w:rPr>
              <w:t xml:space="preserve">2 apakšpunktā  nedublē no normas jau izrietošo. Proti, jau no pirmā teikuma izriet, ka kabeļu iepriekšējā ierīkošana attiecas uz kabeļiem kā tādiem. Attiecīgi saprotams, ka ar to domāti arī Noteikumu 130.</w:t>
            </w:r>
            <w:r w:rsidR="00000000" w:rsidRPr="00000000" w:rsidDel="00000000">
              <w:rPr>
                <w:vertAlign w:val="superscript"/>
                <w:rtl w:val="0"/>
              </w:rPr>
              <w:t xml:space="preserve">6</w:t>
            </w:r>
            <w:r w:rsidR="00000000" w:rsidRPr="00000000" w:rsidDel="00000000">
              <w:rPr>
                <w:rtl w:val="0"/>
              </w:rPr>
              <w:t xml:space="preserve">1 apakšpunktā minētie kabeļi. Līdzīgi vēršam uzmanību arī uz Noteikumu 130.</w:t>
            </w:r>
            <w:r w:rsidR="00000000" w:rsidRPr="00000000" w:rsidDel="00000000">
              <w:rPr>
                <w:vertAlign w:val="superscript"/>
                <w:rtl w:val="0"/>
              </w:rPr>
              <w:t xml:space="preserve">7</w:t>
            </w:r>
            <w:r w:rsidR="00000000" w:rsidRPr="00000000" w:rsidDel="00000000">
              <w:rPr>
                <w:rtl w:val="0"/>
              </w:rPr>
              <w:t xml:space="preserve">2 apakšpunktu un, nepieciešamības gadījumā, aicinām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ir izvērtēts un redakcija atstāta nemainīga.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130.</w:t>
            </w:r>
            <w:r w:rsidR="00000000" w:rsidRPr="00000000" w:rsidDel="00000000">
              <w:rPr>
                <w:vertAlign w:val="superscript"/>
                <w:rtl w:val="0"/>
              </w:rPr>
              <w:t xml:space="preserve">6</w:t>
            </w:r>
            <w:r w:rsidR="00000000" w:rsidRPr="00000000" w:rsidDel="00000000">
              <w:rPr>
                <w:rtl w:val="0"/>
              </w:rPr>
              <w:t xml:space="preserve">1 apakšpunkts nosaka prasības ierīkot uzlādes punktus. Šis apakšpunkts tiešā veidā nenosaka to, vai attiecīgajiem uzlādes punktiem nepieciešamie kabeļi risina vai nerisina daļu no pienākuma, kas izriet no prasības 130.</w:t>
            </w:r>
            <w:r w:rsidR="00000000" w:rsidRPr="00000000" w:rsidDel="00000000">
              <w:rPr>
                <w:vertAlign w:val="superscript"/>
                <w:rtl w:val="0"/>
              </w:rPr>
              <w:t xml:space="preserve">6</w:t>
            </w:r>
            <w:r w:rsidR="00000000" w:rsidRPr="00000000" w:rsidDel="00000000">
              <w:rPr>
                <w:rtl w:val="0"/>
              </w:rPr>
              <w:t xml:space="preserve">2.apakšpuntā par kabeļu ierīkošanu. 130.</w:t>
            </w:r>
            <w:r w:rsidR="00000000" w:rsidRPr="00000000" w:rsidDel="00000000">
              <w:rPr>
                <w:vertAlign w:val="superscript"/>
                <w:rtl w:val="0"/>
              </w:rPr>
              <w:t xml:space="preserve">6</w:t>
            </w:r>
            <w:r w:rsidR="00000000" w:rsidRPr="00000000" w:rsidDel="00000000">
              <w:rPr>
                <w:rtl w:val="0"/>
              </w:rPr>
              <w:t xml:space="preserve">2.apakšpunkta otrais teikums minēto neskaidrību un iespējamos pārpratumus novērš, proti, nosaka, ka 130.</w:t>
            </w:r>
            <w:r w:rsidR="00000000" w:rsidRPr="00000000" w:rsidDel="00000000">
              <w:rPr>
                <w:vertAlign w:val="superscript"/>
                <w:rtl w:val="0"/>
              </w:rPr>
              <w:t xml:space="preserve">6</w:t>
            </w:r>
            <w:r w:rsidR="00000000" w:rsidRPr="00000000" w:rsidDel="00000000">
              <w:rPr>
                <w:rtl w:val="0"/>
              </w:rPr>
              <w:t xml:space="preserve">1. pienākuma izpildei faktiski nepieciešamie kabeļi </w:t>
            </w:r>
            <w:r w:rsidR="00000000" w:rsidRPr="00000000" w:rsidDel="00000000">
              <w:rPr>
                <w:b w:val="1"/>
                <w:u w:val="single"/>
                <w:rtl w:val="0"/>
              </w:rPr>
              <w:t xml:space="preserve">ir</w:t>
            </w:r>
            <w:r w:rsidR="00000000" w:rsidRPr="00000000" w:rsidDel="00000000">
              <w:rPr>
                <w:b w:val="1"/>
                <w:rtl w:val="0"/>
              </w:rPr>
              <w:t xml:space="preserve"> </w:t>
            </w:r>
            <w:r w:rsidR="00000000" w:rsidRPr="00000000" w:rsidDel="00000000">
              <w:rPr>
                <w:rtl w:val="0"/>
              </w:rPr>
              <w:t xml:space="preserve">iekļaujami to kabeļu sastāvā, kurus ir pienākums paredzēt atbilstoši 130.</w:t>
            </w:r>
            <w:r w:rsidR="00000000" w:rsidRPr="00000000" w:rsidDel="00000000">
              <w:rPr>
                <w:vertAlign w:val="superscript"/>
                <w:rtl w:val="0"/>
              </w:rPr>
              <w:t xml:space="preserve">6</w:t>
            </w:r>
            <w:r w:rsidR="00000000" w:rsidRPr="00000000" w:rsidDel="00000000">
              <w:rPr>
                <w:rtl w:val="0"/>
              </w:rPr>
              <w:t xml:space="preserve">2.apakšpunktam. Otrais teikums 130.</w:t>
            </w:r>
            <w:r w:rsidR="00000000" w:rsidRPr="00000000" w:rsidDel="00000000">
              <w:rPr>
                <w:vertAlign w:val="superscript"/>
                <w:rtl w:val="0"/>
              </w:rPr>
              <w:t xml:space="preserve">6</w:t>
            </w:r>
            <w:r w:rsidR="00000000" w:rsidRPr="00000000" w:rsidDel="00000000">
              <w:rPr>
                <w:rtl w:val="0"/>
              </w:rPr>
              <w:t xml:space="preserve">2.apakšpunktā, tāpat kā 130.</w:t>
            </w:r>
            <w:r w:rsidR="00000000" w:rsidRPr="00000000" w:rsidDel="00000000">
              <w:rPr>
                <w:vertAlign w:val="superscript"/>
                <w:rtl w:val="0"/>
              </w:rPr>
              <w:t xml:space="preserve">7</w:t>
            </w:r>
            <w:r w:rsidR="00000000" w:rsidRPr="00000000" w:rsidDel="00000000">
              <w:rPr>
                <w:rtl w:val="0"/>
              </w:rPr>
              <w:t xml:space="preserve">2.apakšpunktā, ir iekļauts atbilstoši noteikumu projekta saskaņošanas gaitā saņemtajiem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periodiski,piemēram, tikai atsevišķu pasākumu laikā, vai ar būtiskiem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punktā minētajam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130.</w:t>
            </w:r>
            <w:r w:rsidR="00000000" w:rsidRPr="00000000" w:rsidDel="00000000">
              <w:rPr>
                <w:vertAlign w:val="superscript"/>
                <w:rtl w:val="0"/>
              </w:rPr>
              <w:t xml:space="preserve">11 </w:t>
            </w:r>
            <w:r w:rsidR="00000000" w:rsidRPr="00000000" w:rsidDel="00000000">
              <w:rPr>
                <w:rtl w:val="0"/>
              </w:rPr>
              <w:t xml:space="preserve">punktu, ņemot vērā, ka atbilstoši Eiropas Parlamenta un Padomes 2024. gada 24. aprīļa Direktīvas (ES) 2024/1275 par ēku energosniegumu (turpmāk - Direktīva 2024/1275) 14. panta 1. punkta 3. daļai "</w:t>
            </w:r>
            <w:r w:rsidR="00000000" w:rsidRPr="00000000" w:rsidDel="00000000">
              <w:rPr>
                <w:i w:val="1"/>
                <w:rtl w:val="0"/>
              </w:rPr>
              <w:t xml:space="preserve">slodzes vai uzlādes pārvaldības sistēmas uzstādīšana</w:t>
            </w:r>
            <w:r w:rsidR="00000000" w:rsidRPr="00000000" w:rsidDel="00000000">
              <w:rPr>
                <w:rtl w:val="0"/>
              </w:rPr>
              <w:t xml:space="preserve">" ir attiecināma tikai uz  jaunām </w:t>
            </w:r>
            <w:r w:rsidR="00000000" w:rsidRPr="00000000" w:rsidDel="00000000">
              <w:rPr>
                <w:u w:val="single"/>
                <w:rtl w:val="0"/>
              </w:rPr>
              <w:t xml:space="preserve">nedzīvojamām</w:t>
            </w:r>
            <w:r w:rsidR="00000000" w:rsidRPr="00000000" w:rsidDel="00000000">
              <w:rPr>
                <w:rtl w:val="0"/>
              </w:rPr>
              <w:t xml:space="preserve"> ēkām. Attiecībā uz jaunām dzīvojamām ēkām atbilstoši Direktīvas 2024/1275 14. panta 4. punkta 5. daļai attiecināms tikai tas, ka "</w:t>
            </w:r>
            <w:r w:rsidR="00000000" w:rsidRPr="00000000" w:rsidDel="00000000">
              <w:rPr>
                <w:i w:val="1"/>
                <w:rtl w:val="0"/>
              </w:rPr>
              <w:t xml:space="preserve">[..] priekšlaicīgi ievilkto kabeļu izmērs ir tāds, lai visās stāvvietas vietās ierīkotos uzlādes punktus varētu izmantot vienlaikus</w:t>
            </w:r>
            <w:r w:rsidR="00000000" w:rsidRPr="00000000" w:rsidDel="00000000">
              <w:rPr>
                <w:rtl w:val="0"/>
              </w:rPr>
              <w:t xml:space="preserve">". Alternatīvi, lūdzam skaidrot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11 </w:t>
            </w:r>
            <w:r w:rsidR="00000000" w:rsidRPr="00000000" w:rsidDel="00000000">
              <w:rPr>
                <w:rtl w:val="0"/>
              </w:rPr>
              <w:t xml:space="preserve">punkts precizēts skaidri nosakot, ka punkta daļa par slodzes vai uzlādes pārvaldības sistēmu attiecās tikai uz 130.</w:t>
            </w:r>
            <w:r w:rsidR="00000000" w:rsidRPr="00000000" w:rsidDel="00000000">
              <w:rPr>
                <w:vertAlign w:val="superscript"/>
                <w:rtl w:val="0"/>
              </w:rPr>
              <w:t xml:space="preserve">6</w:t>
            </w:r>
            <w:r w:rsidR="00000000" w:rsidRPr="00000000" w:rsidDel="00000000">
              <w:rPr>
                <w:rtl w:val="0"/>
              </w:rPr>
              <w:t xml:space="preserve"> punktā minētajiem gadījumiem, proti, nedzīvojamām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periodiski,piemēram, tikai atsevišķu pasākumu laikā, vai ar būtiskiem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punktā minētajam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130.</w:t>
            </w:r>
            <w:r w:rsidR="00000000" w:rsidRPr="00000000" w:rsidDel="00000000">
              <w:rPr>
                <w:vertAlign w:val="superscript"/>
                <w:rtl w:val="0"/>
              </w:rPr>
              <w:t xml:space="preserve">18</w:t>
            </w:r>
            <w:r w:rsidR="00000000" w:rsidRPr="00000000" w:rsidDel="00000000">
              <w:rPr>
                <w:rtl w:val="0"/>
              </w:rPr>
              <w:t xml:space="preserve"> punktu, ņemot vērā, ka atbilstoši Direktīvas 2024/1275 14. panta 4. punkta 4.daļai iespēja </w:t>
            </w:r>
            <w:r w:rsidR="00000000" w:rsidRPr="00000000" w:rsidDel="00000000">
              <w:rPr>
                <w:i w:val="1"/>
                <w:rtl w:val="0"/>
              </w:rPr>
              <w:t xml:space="preserve">koriģēt prasības attiecībā uz vietu skaitu velosipēdu stāvvietā ņemot vērā vietējo iestāžu novērtējumu un vietējās īpatnības u.tml</w:t>
            </w:r>
            <w:r w:rsidR="00000000" w:rsidRPr="00000000" w:rsidDel="00000000">
              <w:rPr>
                <w:rtl w:val="0"/>
              </w:rPr>
              <w:t xml:space="preserve">. attiecas uz jaunām dzīvojamām ēkām (Noteikumu 130.</w:t>
            </w:r>
            <w:r w:rsidR="00000000" w:rsidRPr="00000000" w:rsidDel="00000000">
              <w:rPr>
                <w:vertAlign w:val="superscript"/>
                <w:rtl w:val="0"/>
              </w:rPr>
              <w:t xml:space="preserve">7</w:t>
            </w:r>
            <w:r w:rsidR="00000000" w:rsidRPr="00000000" w:rsidDel="00000000">
              <w:rPr>
                <w:rtl w:val="0"/>
              </w:rPr>
              <w:t xml:space="preserve">3. apakšpunkts). Savukārt attiecībā uz nedzīvojamām ēkām (Noteikumu 130.</w:t>
            </w:r>
            <w:r w:rsidR="00000000" w:rsidRPr="00000000" w:rsidDel="00000000">
              <w:rPr>
                <w:vertAlign w:val="superscript"/>
                <w:rtl w:val="0"/>
              </w:rPr>
              <w:t xml:space="preserve">6</w:t>
            </w:r>
            <w:r w:rsidR="00000000" w:rsidRPr="00000000" w:rsidDel="00000000">
              <w:rPr>
                <w:rtl w:val="0"/>
              </w:rPr>
              <w:t xml:space="preserve">3.apakšpupunkta) šo skaitu </w:t>
            </w:r>
            <w:r w:rsidR="00000000" w:rsidRPr="00000000" w:rsidDel="00000000">
              <w:rPr>
                <w:i w:val="1"/>
                <w:rtl w:val="0"/>
              </w:rPr>
              <w:t xml:space="preserve">var koriģēt konkrētām kategorijām, kurām parasti ar velosipēdu nepiekļūst</w:t>
            </w:r>
            <w:r w:rsidR="00000000" w:rsidRPr="00000000" w:rsidDel="00000000">
              <w:rPr>
                <w:rtl w:val="0"/>
              </w:rPr>
              <w:t xml:space="preserve">. Abi nosacījumi, lai arī līdzīgi, satur atšķirīgas nianses. Attiecīgi, lūdzam precizēt projektu vai pamatot gan minētās vienības, gan saistītā Būvniecības likuma 9.</w:t>
            </w:r>
            <w:r w:rsidR="00000000" w:rsidRPr="00000000" w:rsidDel="00000000">
              <w:rPr>
                <w:vertAlign w:val="superscript"/>
                <w:rtl w:val="0"/>
              </w:rPr>
              <w:t xml:space="preserve">1</w:t>
            </w:r>
            <w:r w:rsidR="00000000" w:rsidRPr="00000000" w:rsidDel="00000000">
              <w:rPr>
                <w:rtl w:val="0"/>
              </w:rPr>
              <w:t xml:space="preserve">panta atbilstību no direktīvas izrietošajam.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Vienlaikusi lūdzam izvērtēt un pamatot Noteikumu 130.</w:t>
            </w:r>
            <w:r w:rsidR="00000000" w:rsidRPr="00000000" w:rsidDel="00000000">
              <w:rPr>
                <w:vertAlign w:val="superscript"/>
                <w:rtl w:val="0"/>
              </w:rPr>
              <w:t xml:space="preserve">25</w:t>
            </w:r>
            <w:r w:rsidR="00000000" w:rsidRPr="00000000" w:rsidDel="00000000">
              <w:rPr>
                <w:rtl w:val="0"/>
              </w:rPr>
              <w:t xml:space="preserve"> punkta atbilstību Direktīvas 2024/1275 14. panta 4. punkta 4.daļai, kas noteic, ka velosipēdu stāvvietu skaitu var koriģēt, ņemot vērā vietējo iestāžu novērtējumu un vietējās īpatnības, tostarp demogrāfiskos, ģeogrāfiskos un klimatiskos apstākļus (pārņemts Noteikumu 130.</w:t>
            </w:r>
            <w:r w:rsidR="00000000" w:rsidRPr="00000000" w:rsidDel="00000000">
              <w:rPr>
                <w:vertAlign w:val="superscript"/>
                <w:rtl w:val="0"/>
              </w:rPr>
              <w:t xml:space="preserve">18 </w:t>
            </w:r>
            <w:r w:rsidR="00000000" w:rsidRPr="00000000" w:rsidDel="00000000">
              <w:rPr>
                <w:rtl w:val="0"/>
              </w:rPr>
              <w:t xml:space="preserve">punktā). Savukārt Noteikumu 130.</w:t>
            </w:r>
            <w:r w:rsidR="00000000" w:rsidRPr="00000000" w:rsidDel="00000000">
              <w:rPr>
                <w:vertAlign w:val="superscript"/>
                <w:rtl w:val="0"/>
              </w:rPr>
              <w:t xml:space="preserve">25</w:t>
            </w:r>
            <w:r w:rsidR="00000000" w:rsidRPr="00000000" w:rsidDel="00000000">
              <w:rPr>
                <w:rtl w:val="0"/>
              </w:rPr>
              <w:t xml:space="preserve"> punkts vienlaikus paredz arī konkrētus iespējamos izņēmuma gadījumus, to pamatojot ar administratīvā sloga atvieglošanu. Lūdzam uzsvērt arī atbilstību Direktīvas 2024/1275 14.panta 4.punkta 4.daļai.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minētie aspekti ir skaidroti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14.panta 4.punkta ceturtā daļa nosaka, iespēju dzīvojamo ēku velosipēdu stāvvietu skaitu koriģēt</w:t>
            </w:r>
            <w:r w:rsidR="00000000" w:rsidRPr="00000000" w:rsidDel="00000000">
              <w:rPr>
                <w:i w:val="1"/>
                <w:rtl w:val="0"/>
              </w:rPr>
              <w:t xml:space="preserve"> "ņemot vērā vietējo iestāžu novērtējumu un vietējās īpatnības, tostarp demogrāfiskos, ģeogrāfiskos un klimatiskos apstākļus"</w:t>
            </w:r>
            <w:r w:rsidR="00000000" w:rsidRPr="00000000" w:rsidDel="00000000">
              <w:rPr>
                <w:rtl w:val="0"/>
              </w:rPr>
              <w:t xml:space="preserve">. Minēto rīcības brīvību paredzēts izmantot ar regulējumu 130.</w:t>
            </w:r>
            <w:r w:rsidR="00000000" w:rsidRPr="00000000" w:rsidDel="00000000">
              <w:rPr>
                <w:vertAlign w:val="superscript"/>
                <w:rtl w:val="0"/>
              </w:rPr>
              <w:t xml:space="preserve">18 </w:t>
            </w:r>
            <w:r w:rsidR="00000000" w:rsidRPr="00000000" w:rsidDel="00000000">
              <w:rPr>
                <w:rtl w:val="0"/>
              </w:rPr>
              <w:t xml:space="preserve">punktā, proti, nosakot, ka </w:t>
            </w:r>
            <w:r w:rsidR="00000000" w:rsidRPr="00000000" w:rsidDel="00000000">
              <w:rPr>
                <w:i w:val="1"/>
                <w:rtl w:val="0"/>
              </w:rPr>
              <w:t xml:space="preserve">"[..] prasības par velosipēdu stāvvietu skaitu var koriģēt ar būvspeciālista pamatojumu, kas iekļauj arī novērtējumu par vietējām īpatnībām, attiecīgo pamatojumu pievienojot vai iekļaujot būvniecības ieceres dokumentācijā"</w:t>
            </w:r>
            <w:r w:rsidR="00000000" w:rsidRPr="00000000" w:rsidDel="00000000">
              <w:rPr>
                <w:rtl w:val="0"/>
              </w:rPr>
              <w:t xml:space="preserve">. Ņemot vērā, ka šāda pieeja vienlaikus nozīmē arī administratīvā sloga pieaugumu [Būvniecības likuma 9.</w:t>
            </w:r>
            <w:r w:rsidR="00000000" w:rsidRPr="00000000" w:rsidDel="00000000">
              <w:rPr>
                <w:vertAlign w:val="superscript"/>
                <w:rtl w:val="0"/>
              </w:rPr>
              <w:t xml:space="preserve">1</w:t>
            </w:r>
            <w:r w:rsidR="00000000" w:rsidRPr="00000000" w:rsidDel="00000000">
              <w:rPr>
                <w:rtl w:val="0"/>
              </w:rPr>
              <w:t xml:space="preserve"> pantā noteiktā kārtība par iespēju atkāpties no prasības, ja to pamato], to mēģināts pēc iespējas samazināt jau regulējumā nosakot tipiskākos izņēmumus dzīvojamām ēkām (130.</w:t>
            </w:r>
            <w:r w:rsidR="00000000" w:rsidRPr="00000000" w:rsidDel="00000000">
              <w:rPr>
                <w:vertAlign w:val="superscript"/>
                <w:rtl w:val="0"/>
              </w:rPr>
              <w:t xml:space="preserve">25</w:t>
            </w:r>
            <w:r w:rsidR="00000000" w:rsidRPr="00000000" w:rsidDel="00000000">
              <w:rPr>
                <w:rtl w:val="0"/>
              </w:rPr>
              <w:t xml:space="preserve">p). Vēršam uzmanību, ka Direktīvas 2024/1275 14.panta 4.punkta ceturtā daļa tiešā veidā ir attiecināma uz dzīvojamajām ēkām, savukārt, noteikumu projektā 130.</w:t>
            </w:r>
            <w:r w:rsidR="00000000" w:rsidRPr="00000000" w:rsidDel="00000000">
              <w:rPr>
                <w:vertAlign w:val="superscript"/>
                <w:rtl w:val="0"/>
              </w:rPr>
              <w:t xml:space="preserve">18</w:t>
            </w:r>
            <w:r w:rsidR="00000000" w:rsidRPr="00000000" w:rsidDel="00000000">
              <w:rPr>
                <w:rtl w:val="0"/>
              </w:rPr>
              <w:t xml:space="preserve">punktā noteikts, ka šī kārtība ir attiecināma gan uz dzīvojamajām ēkām, gan uz nedzīvojamām ēkām. Tas tādēļ, ka atbilstoši Būvniecības likuma 9.</w:t>
            </w:r>
            <w:r w:rsidR="00000000" w:rsidRPr="00000000" w:rsidDel="00000000">
              <w:rPr>
                <w:vertAlign w:val="superscript"/>
                <w:rtl w:val="0"/>
              </w:rPr>
              <w:t xml:space="preserve">1</w:t>
            </w:r>
            <w:r w:rsidR="00000000" w:rsidRPr="00000000" w:rsidDel="00000000">
              <w:rPr>
                <w:rtl w:val="0"/>
              </w:rPr>
              <w:t xml:space="preserve">pantā noteiktajai kārtībai tāda pati kārtība pēc būtības ir attiecināma arī uz nedzīvojamām ēkām. Minētā iemesla dēļ, lai nodrošinātu regulējuma skaidrību, noteikumu projekts 130.</w:t>
            </w:r>
            <w:r w:rsidR="00000000" w:rsidRPr="00000000" w:rsidDel="00000000">
              <w:rPr>
                <w:vertAlign w:val="superscript"/>
                <w:rtl w:val="0"/>
              </w:rPr>
              <w:t xml:space="preserve">18</w:t>
            </w:r>
            <w:r w:rsidR="00000000" w:rsidRPr="00000000" w:rsidDel="00000000">
              <w:rPr>
                <w:rtl w:val="0"/>
              </w:rPr>
              <w:t xml:space="preserve">punktā satur atsauci arī uz 130.</w:t>
            </w:r>
            <w:r w:rsidR="00000000" w:rsidRPr="00000000" w:rsidDel="00000000">
              <w:rPr>
                <w:vertAlign w:val="superscript"/>
                <w:rtl w:val="0"/>
              </w:rPr>
              <w:t xml:space="preserve">6</w:t>
            </w:r>
            <w:r w:rsidR="00000000" w:rsidRPr="00000000" w:rsidDel="00000000">
              <w:rPr>
                <w:rtl w:val="0"/>
              </w:rPr>
              <w:t xml:space="preserve">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noteikumu projekts paredz būvnormatīvu papildināt ar jaunu 130.</w:t>
            </w:r>
            <w:r w:rsidR="00000000" w:rsidRPr="00000000" w:rsidDel="00000000">
              <w:rPr>
                <w:vertAlign w:val="superscript"/>
                <w:rtl w:val="0"/>
              </w:rPr>
              <w:t xml:space="preserve">25</w:t>
            </w:r>
            <w:r w:rsidR="00000000" w:rsidRPr="00000000" w:rsidDel="00000000">
              <w:rPr>
                <w:rtl w:val="0"/>
              </w:rPr>
              <w:t xml:space="preserve">punktu, tajā nosaucot gadījumus un situācijas kurās Ekonomikas ministrijas ieskatā visā Latvijā vienādi atkāpe no prasības ierīkot velosipēda stāvvietu pie dzīvojamās ēkas būtu pamatota, ja būvspeciālists to pamatotu Būvniecības likuma 9.</w:t>
            </w:r>
            <w:r w:rsidR="00000000" w:rsidRPr="00000000" w:rsidDel="00000000">
              <w:rPr>
                <w:vertAlign w:val="superscript"/>
                <w:rtl w:val="0"/>
              </w:rPr>
              <w:t xml:space="preserve">1</w:t>
            </w:r>
            <w:r w:rsidR="00000000" w:rsidRPr="00000000" w:rsidDel="00000000">
              <w:rPr>
                <w:rtl w:val="0"/>
              </w:rPr>
              <w:t xml:space="preserve">pantā noteiktajā kārtībā. Minēto gadījumu nosaukšana pašā būvnormatīvā nodrošina to, ka tas pats rezultāts tiek sasniegts (atkāpe no prasības tiek pieļauta) bez lieka administratīvā sloga (bez būvspeciālsita sagatavota pamatojuma), turklāt, attiecīgo regulējumu piemērojot vienveidīgi visā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periodiski,piemēram, tikai atsevišķu pasākumu laikā, vai ar būtiskiem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punktā minētajam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nodrošināt precīzu un pilnīgu direktīvas 2024/1275 pārņemšanu vai sniegt attiecīgus skaidrojumus. Piemēram, pārņemtais direktīvas 2024/1275 7. panta 1. punkts pārņemts projekta 1.8. apakšpunktā, paredzot vienkārši to, ka "</w:t>
            </w:r>
            <w:r w:rsidR="00000000" w:rsidRPr="00000000" w:rsidDel="00000000">
              <w:rPr>
                <w:i w:val="1"/>
                <w:rtl w:val="0"/>
              </w:rPr>
              <w:t xml:space="preserve">Jaunu ēku projektē kā bezemisiju ēku</w:t>
            </w:r>
            <w:r w:rsidR="00000000" w:rsidRPr="00000000" w:rsidDel="00000000">
              <w:rPr>
                <w:rtl w:val="0"/>
              </w:rPr>
              <w:t xml:space="preserve">" , bet nenosakot nepieciešamību ievērot prasības, kas izriet no tiesību normām, kur pārņemts direktīvas 2024/1275 11.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izriet anotācijas papildināšana ar skaidrojumiem par saistību ar likumprojektu “Grozījumi Ēku energoefektivitātes likumā” [25-TA-2969], bet šādi skaidrojumi anotācijā nav atrodami.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1.punkts tiek transponēts ar grozījumu projekta 1.8.apakšpunktu, kas nosaka jaunu būvnormatīva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punktu. Šie punkti satur norādi uz atbilstību minimālajām energoefektivitātes prasībām, kas anotācijā skaidrotas kā prasības, kuras nosaka Latvijas būvnormatīvs LBN 002-19 "Ēku norobežojošo konstrukciju siltumtehnika", kas apstiprināts ar Ministru kabineta 2019. gada 25. jūnija noteikumiem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sniegtais skaidrojums papildināts, tajā īpaši uzsverot saistību arī ar būvnormatīva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"Noteikumu projektā minētās "minimālās prasības energoefektivitātes jomā", tajā skaitā 173.</w:t>
            </w:r>
            <w:r w:rsidR="00000000" w:rsidRPr="00000000" w:rsidDel="00000000">
              <w:rPr>
                <w:i w:val="1"/>
                <w:vertAlign w:val="superscript"/>
                <w:rtl w:val="0"/>
              </w:rPr>
              <w:t xml:space="preserve">4</w:t>
            </w:r>
            <w:r w:rsidR="00000000" w:rsidRPr="00000000" w:rsidDel="00000000">
              <w:rPr>
                <w:i w:val="1"/>
                <w:rtl w:val="0"/>
              </w:rPr>
              <w:t xml:space="preserve"> un 173.</w:t>
            </w:r>
            <w:r w:rsidR="00000000" w:rsidRPr="00000000" w:rsidDel="00000000">
              <w:rPr>
                <w:i w:val="1"/>
                <w:vertAlign w:val="superscript"/>
                <w:rtl w:val="0"/>
              </w:rPr>
              <w:t xml:space="preserve">5</w:t>
            </w:r>
            <w:r w:rsidR="00000000" w:rsidRPr="00000000" w:rsidDel="00000000">
              <w:rPr>
                <w:i w:val="1"/>
                <w:rtl w:val="0"/>
              </w:rPr>
              <w:t xml:space="preserve">punktā minētās minimālās energoefektivitātes prasības, nosaka Latvijas būvnormatīvs LBN 002-19 "Ēku norobežojošo konstrukciju siltumtehnika", kas apstiprināts ar Ministru kabineta 2019. gada 25. jūnija noteikumiem Nr. 280 "Noteikumi par Latvijas būvnormatīvu LBN 002-19 "Ēku norobežojošo konstrukciju siltumtehnika""."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"Atbilstoši deleģējumam, būvnormatīvi, tajā skaitā LBN 200-21, nosaka minimālās tehnikās prasības jaunu būvju vai to pārbūvju projektēšanā. Kā viena no šādām prasībām ir nosakāms nosacījums ēku projektēt kā bezemisiju ēku. Definēt bezemisiju ēku un noteikt tai izvirzītās prasības nav būvnormatīvu jomas jautājums, tātad, izrietēs no citiem normatīvajiem aktiem, kas transponēs Direktīvas 2024/1275 11.pantu. Noteikumu projekts netransponē Direktīvas 2024/1275 11.pantu.</w:t>
            </w:r>
            <w:r w:rsidR="00000000" w:rsidRPr="00000000" w:rsidDel="00000000">
              <w:rPr>
                <w:i w:val="1"/>
                <w:rtl w:val="0"/>
              </w:rPr>
              <w:t xml:space="preserve">Direktīvas 2024/1275 2.pamta otro daļu transponēs un bezemisijas ēkas definīciju noteiks likumprojekts “Grozījumi Ēku energoefektivitātes likumā” [25-TA-2969]."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periodiski,piemēram, tikai atsevišķu pasākumu laikā, vai ar būtiskiem pārtraukumiem;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punktā minētajam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izteiktā 130.</w:t>
            </w:r>
            <w:r w:rsidR="00000000" w:rsidRPr="00000000" w:rsidDel="00000000">
              <w:rPr>
                <w:vertAlign w:val="superscript"/>
                <w:rtl w:val="0"/>
              </w:rPr>
              <w:t xml:space="preserve">15</w:t>
            </w:r>
            <w:r w:rsidR="00000000" w:rsidRPr="00000000" w:rsidDel="00000000">
              <w:rPr>
                <w:rtl w:val="0"/>
              </w:rPr>
              <w:t xml:space="preserve"> punkta redakcija nosaka, ka par ēku tiek uzskatītas tādas būves, kurām piemērojams Ēku energoefektivitātes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skaidrāku normas tvērumu sistēmas operators piedāvā izteikt 130.15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130.</w:t>
            </w:r>
            <w:r w:rsidR="00000000" w:rsidRPr="00000000" w:rsidDel="00000000">
              <w:rPr>
                <w:i w:val="1"/>
                <w:vertAlign w:val="superscript"/>
                <w:rtl w:val="0"/>
              </w:rPr>
              <w:t xml:space="preserve">15</w:t>
            </w:r>
            <w:r w:rsidR="00000000" w:rsidRPr="00000000" w:rsidDel="00000000">
              <w:rPr>
                <w:i w:val="1"/>
                <w:rtl w:val="0"/>
              </w:rPr>
              <w:t xml:space="preserve"> Šo noteikumu 11.1 nodaļā un 12.12. apakšnodaļā vārds "ēka" ir lietots ar nozīmi, ka tā ir ar jumtu un sienām esoša būve, kuras iekštelpu vides regulēšanai izmanto šādam nolūkam paredzētu enerģiju un</w:t>
            </w:r>
            <w:r w:rsidR="00000000" w:rsidRPr="00000000" w:rsidDel="00000000">
              <w:rPr>
                <w:b w:val="1"/>
                <w:i w:val="1"/>
                <w:rtl w:val="0"/>
              </w:rPr>
              <w:t xml:space="preserve"> kurai vienlaikus nepastāv kāds no</w:t>
            </w:r>
            <w:r w:rsidR="00000000" w:rsidRPr="00000000" w:rsidDel="00000000">
              <w:rPr>
                <w:i w:val="1"/>
                <w:rtl w:val="0"/>
              </w:rPr>
              <w:t xml:space="preserve"> Ēku energoefektivitātes likuma </w:t>
            </w:r>
            <w:r w:rsidR="00000000" w:rsidRPr="00000000" w:rsidDel="00000000">
              <w:rPr>
                <w:b w:val="1"/>
                <w:i w:val="1"/>
                <w:rtl w:val="0"/>
              </w:rPr>
              <w:t xml:space="preserve">piemērošanas izņēmumiem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norma nepārprotami noteiktu, ka ēka nav uzskatāma par “ēku” šo noteikumu izpratnē, ja tai pastāv kaut viens Ēku energoefektivitātes likuma piemērošanas izņēmums vai šāds likums attiecīgajai "ēkai"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novēršot interpretācijas risku, kur izņēmums varēja tikt uztverts kā definīcijas sastāvdaļa, nevis izslēgšanas kritērijs, jo pēc būtības Ēku energoefektivitātes likumā minētie izņēmumi tiek piemēroti, tas ir, piemērojams Ēku energoefektivitātes likumā paredzētais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130.</w:t>
            </w:r>
            <w:r w:rsidR="00000000" w:rsidRPr="00000000" w:rsidDel="00000000">
              <w:rPr>
                <w:vertAlign w:val="superscript"/>
                <w:rtl w:val="0"/>
              </w:rPr>
              <w:t xml:space="preserve">15</w:t>
            </w:r>
            <w:r w:rsidR="00000000" w:rsidRPr="00000000" w:rsidDel="00000000">
              <w:rPr>
                <w:rtl w:val="0"/>
              </w:rPr>
              <w:t xml:space="preserve"> punkta redakcija bez izmaiņām iekļauta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sniegt pilnīgus projekta skaidrojumus, nodrošinot tiesību normu un ar to piemērošanu saistīto aspektu precīzu un viennozīmīgu izpratni, izvairīties no subjektīvi vērtējamām redakcijām vai tās skaidrot. Piemēram, lietoti tādi formulējumi, kā "būtiski ietekmē norobežojošo konstrukciju energoefektivitāti", "būtiskas novirzes", "būtiski pārtraukumi", "būtiski ierobežo"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apakšsadaļā skaidrot projektā veiktos papildinājumus, piemēram, Noteikumu 130.</w:t>
            </w:r>
            <w:r w:rsidR="00000000" w:rsidRPr="00000000" w:rsidDel="00000000">
              <w:rPr>
                <w:vertAlign w:val="superscript"/>
                <w:rtl w:val="0"/>
              </w:rPr>
              <w:t xml:space="preserve">20</w:t>
            </w:r>
            <w:r w:rsidR="00000000" w:rsidRPr="00000000" w:rsidDel="00000000">
              <w:rPr>
                <w:rtl w:val="0"/>
              </w:rPr>
              <w:t xml:space="preserve"> punktu, 130.</w:t>
            </w:r>
            <w:r w:rsidR="00000000" w:rsidRPr="00000000" w:rsidDel="00000000">
              <w:rPr>
                <w:vertAlign w:val="superscript"/>
                <w:rtl w:val="0"/>
              </w:rPr>
              <w:t xml:space="preserve">23</w:t>
            </w:r>
            <w:r w:rsidR="00000000" w:rsidRPr="00000000" w:rsidDel="00000000">
              <w:rPr>
                <w:rtl w:val="0"/>
              </w:rPr>
              <w:t xml:space="preserve"> punktu un citas atkāpes, kas tieši neizriet no Direktīvas 2024/1275. </w:t>
            </w:r>
            <w:r w:rsidR="00000000" w:rsidRPr="00000000" w:rsidDel="00000000">
              <w:rPr>
                <w:u w:val="single"/>
                <w:rtl w:val="0"/>
              </w:rPr>
              <w:t xml:space="preserve">Iesakām pārskatīt skaidrojumu par</w:t>
            </w:r>
            <w:r w:rsidR="00000000" w:rsidRPr="00000000" w:rsidDel="00000000">
              <w:rPr>
                <w:rtl w:val="0"/>
              </w:rPr>
              <w:t xml:space="preserve"> Eiropas Parlamenta un Padomes 2018. gada 30. maija </w:t>
            </w:r>
            <w:r w:rsidR="00000000" w:rsidRPr="00000000" w:rsidDel="00000000">
              <w:rPr>
                <w:u w:val="single"/>
                <w:rtl w:val="0"/>
              </w:rPr>
              <w:t xml:space="preserve">Regulas (ES) 2018/858</w:t>
            </w:r>
            <w:r w:rsidR="00000000" w:rsidRPr="00000000" w:rsidDel="00000000">
              <w:rPr>
                <w:rtl w:val="0"/>
              </w:rPr>
              <w:t xml:space="preserve"> par mehānisko transportlīdzekļu un to piekabju, kā arī tādiem transportlīdzekļiem paredzētu sistēmu, sastāvdaļu un atsevišķu tehnisku vienību apstiprināšanu un tirgus uzraudzību un ar ko groza Regulas (EK) Nr. 715/2007 un (EK) Nr. 595/2009 un atceļ Direktīvu 2007/46/EK </w:t>
            </w:r>
            <w:r w:rsidR="00000000" w:rsidRPr="00000000" w:rsidDel="00000000">
              <w:rPr>
                <w:u w:val="single"/>
                <w:rtl w:val="0"/>
              </w:rPr>
              <w:t xml:space="preserve">saistību ar projektu</w:t>
            </w:r>
            <w:r w:rsidR="00000000" w:rsidRPr="00000000" w:rsidDel="00000000">
              <w:rPr>
                <w:rtl w:val="0"/>
              </w:rPr>
              <w:t xml:space="preserve">. Skaidrot, kā ar projekta tvērumu tieši nesaistīta regula ieviesta Noteikumu 130.</w:t>
            </w:r>
            <w:r w:rsidR="00000000" w:rsidRPr="00000000" w:rsidDel="00000000">
              <w:rPr>
                <w:vertAlign w:val="superscript"/>
                <w:rtl w:val="0"/>
              </w:rPr>
              <w:t xml:space="preserve">26</w:t>
            </w:r>
            <w:r w:rsidR="00000000" w:rsidRPr="00000000" w:rsidDel="00000000">
              <w:rPr>
                <w:rtl w:val="0"/>
              </w:rPr>
              <w:t xml:space="preserve"> punktā, ja Noteikumu 130.</w:t>
            </w:r>
            <w:r w:rsidR="00000000" w:rsidRPr="00000000" w:rsidDel="00000000">
              <w:rPr>
                <w:vertAlign w:val="superscript"/>
                <w:rtl w:val="0"/>
              </w:rPr>
              <w:t xml:space="preserve">26</w:t>
            </w:r>
            <w:r w:rsidR="00000000" w:rsidRPr="00000000" w:rsidDel="00000000">
              <w:rPr>
                <w:rtl w:val="0"/>
              </w:rPr>
              <w:t xml:space="preserve"> punkts izriet no minētās regulas, lūdzam saistību atspoguļot arī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arī projekta atbilstību Noteikumu 1. punktam, no kura izriet, ka tie "</w:t>
            </w:r>
            <w:r w:rsidR="00000000" w:rsidRPr="00000000" w:rsidDel="00000000">
              <w:rPr>
                <w:i w:val="1"/>
                <w:rtl w:val="0"/>
              </w:rPr>
              <w:t xml:space="preserve">nosaka prasības, kādas ievēro, projektējot ēkas, stadionus, arēnas, brīvdabas estrādes un citas brīvdabas izklaides būves, kā arī prasības to novietošanai, jaunai būvniecībai, atjaunošanai, pārbūvei un restaurācijai</w:t>
            </w:r>
            <w:r w:rsidR="00000000" w:rsidRPr="00000000" w:rsidDel="00000000">
              <w:rPr>
                <w:rtl w:val="0"/>
              </w:rPr>
              <w:t xml:space="preserve">", jo no projekta izriet arī konkrēti noteikumi attiecībā uz automašīnu un velosipēdu uzlādes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 ēkas elementi ir skaidroti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3.43.apakšpunktā noteikt definīciju: "pamatīga atjaunošana – ēkas atjaunošana atbilstoši principam “energoefektivitāte pirmajā vietā” un koncentrējas uz būtiskiem ēkas elementiem, lai ēka vai ēkas daļa atbilst prasībām par gandrīz nulles enerģijas ēku. Pēc 2030. gada 1. janvāra tā ir ēkas atjaunošana, lai ēka vai tās daļa atbilst prasībām par bezemisiju ēku". Definīcijā minētie būtiskie ēkas elementi ir visi ēkas sastāvā esošie risinājumi, konstrukcijas un sistēmas, kam ir vērā ņemama ietekme uz ēkas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"būtiskas novirzes" noteikumu projektā lietoti skaidrojot attiecīgajā situācijā paredzamo sistēmu, turklāt, prasībā pieminētā būtiskā novirze tieši izriet no regulējuma Direktīvā 2024/1275. Papildus aicinu ņemt vērā, ka piemēram, temperatūru var mērīt dažādi - arī ar visaugstākās jūtības aparatūru kuru izmanto zinātniskos pētījumos. Minēto iemeslu dēļ vārdi "būtiskas novirzes" minētajā kontekstā būvnormatīvā minētās prasības definēšanā ir atbilstošs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130.</w:t>
            </w:r>
            <w:r w:rsidR="00000000" w:rsidRPr="00000000" w:rsidDel="00000000">
              <w:rPr>
                <w:vertAlign w:val="superscript"/>
                <w:rtl w:val="0"/>
              </w:rPr>
              <w:t xml:space="preserve">20</w:t>
            </w:r>
            <w:r w:rsidR="00000000" w:rsidRPr="00000000" w:rsidDel="00000000">
              <w:rPr>
                <w:rtl w:val="0"/>
              </w:rPr>
              <w:t xml:space="preserve">5. apakšpunktā vairs neiekļaujot vārdus "vai ar būtiskiem pārtraukumiem". ņemot vērā minēto, anotācija papildināta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130.</w:t>
            </w:r>
            <w:r w:rsidR="00000000" w:rsidRPr="00000000" w:rsidDel="00000000">
              <w:rPr>
                <w:i w:val="1"/>
                <w:vertAlign w:val="superscript"/>
                <w:rtl w:val="0"/>
              </w:rPr>
              <w:t xml:space="preserve">20</w:t>
            </w:r>
            <w:r w:rsidR="00000000" w:rsidRPr="00000000" w:rsidDel="00000000">
              <w:rPr>
                <w:i w:val="1"/>
                <w:rtl w:val="0"/>
              </w:rPr>
              <w:t xml:space="preserve"> punktā minēto gadījumu kopsakarības, papildus jāpiemin, ka, ja ēka tiek ekspluatēta ar būtiskiem pārtraukumiem (piemēram, ēka netiek ekspluatēta vairākus mēnešus vasaras laikā), tad arī šādā gadījumā būtu vērtējams saules enerģijas risinājumu ekonomiskais pamatojums, kuru jau paredz vērtēt 130.</w:t>
            </w:r>
            <w:r w:rsidR="00000000" w:rsidRPr="00000000" w:rsidDel="00000000">
              <w:rPr>
                <w:i w:val="1"/>
                <w:vertAlign w:val="superscript"/>
                <w:rtl w:val="0"/>
              </w:rPr>
              <w:t xml:space="preserve">20</w:t>
            </w:r>
            <w:r w:rsidR="00000000" w:rsidRPr="00000000" w:rsidDel="00000000">
              <w:rPr>
                <w:i w:val="1"/>
                <w:rtl w:val="0"/>
              </w:rPr>
              <w:t xml:space="preserve">7.2. apakšpunkts. Minēto iemeslu dēļ noteikumu projekts neparedz agrākās noteikumu projekta redakcijās iekļautu kritēriju par ēkas ekspluatāciju "ar būtiskiem pārtraukumiem", tādā veidā nodrošinot skaidrāku regulējumu un tā izpratni."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1.3.sadaļas "Pašreizējā situācija, problēmas un risinājumi" apakšsadaļu "Risinājuma apraksts" rindkopu attiecībā uz atkāpēm no prasības par uzlādes punktu un kabeļu iekšēju ierīkošanu autostāvvietās. Vēršam uzmanību, ka ne visos gadījumos konkrētā autostāvvieta būs slēgta teritorija. Lai nodrošinātu dienestu reaģēšanu, tā var būt arī atklāta tipa, bet ar ierobežojumiem autotransporta novietošanai. Tāpat ir būtiski ņemt vērā, ka valsts un jo īpaši aizsardzības un iekšlietu resors ir pakļauts izlūkošanas riskam, kas būtu atzīstams par pamatotu argumentu, lai būvniecības ieceres izstrādātājs, pamatojot to ar drošības apsvērumiem (saskaņā ar Būvniecības likuma 9.</w:t>
            </w:r>
            <w:r w:rsidR="00000000" w:rsidRPr="00000000" w:rsidDel="00000000">
              <w:rPr>
                <w:vertAlign w:val="superscript"/>
                <w:rtl w:val="0"/>
              </w:rPr>
              <w:t xml:space="preserve">1</w:t>
            </w:r>
            <w:r w:rsidR="00000000" w:rsidRPr="00000000" w:rsidDel="00000000">
              <w:rPr>
                <w:rtl w:val="0"/>
              </w:rPr>
              <w:t xml:space="preserve">panta devīto daļu), varētu atkāpties no prasības apmeklētāju autostāvvietā paredzēt koplietošanas uzlādes punktu, lai nepieļautu nepiederoša autotransporta novietošanu bez pamatota iemesla.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autostāvvietas teritorija ir slēgta  (klientiem, viesiem, apmeklētājiem u.tml. ir nepieejama), ir paredzēta tikai speciālas nozīmes, piemēram, tikai operatīvajam transportam vai militārajam transportam, kas pašlaik nav un nav plānots, ka pārredzamā nākotnē varētu būt elektrotransports, </w:t>
            </w:r>
            <w:r w:rsidR="00000000" w:rsidRPr="00000000" w:rsidDel="00000000">
              <w:rPr>
                <w:u w:val="single"/>
                <w:rtl w:val="0"/>
              </w:rPr>
              <w:t xml:space="preserve">vai attiecīgā autostāvvieta atrodas pie valsts aizsardzības vai drošības iestādes ēkas vai kritiskās infrastruktūras objektiem vai citām ēkām, attiecībā uz kurām ir noteiktas paaugstinātas drošības prasības, kā rezultātā pie tām drošības apsvērumu dēļ nav atļauta vai ir ierobežota automašīnu novietošana</w:t>
            </w:r>
            <w:r w:rsidR="00000000" w:rsidRPr="00000000" w:rsidDel="00000000">
              <w:rPr>
                <w:rtl w:val="0"/>
              </w:rPr>
              <w:t xml:space="preserve">, tad minētais ir uzskatāms par pamatotu argumentu, lai būvniecības ieceres izstrādātājs to attiecīgi pamatojot (saskaņā ar Būvniecības likuma 9.1panta devīto daļu) varētu atkāpties no prasības autostāvvietā paredzēt uzlādes punktu un kabeļu iepriekšēju ierīkošanu.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priekšlikumu piedāvātā redakcija ir iekļauta anotācijā pilnā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ievērot, ka Eiropas Savienības tiesa spriedumā lietā C-372/00 Komisija pret Īriju ([2001] ECR I-10303, 13.pkt.) un lietā 420/85 Komisija pret Itāliju ([1987] ECR 2983, 5.pkt.) atzinusi, ka ir pieļaujamas atkāpes no direktīvas transponēšanas pienākuma ģeogrāfisku iemeslu dēļ. </w:t>
            </w:r>
            <w:r w:rsidR="00000000" w:rsidRPr="00000000" w:rsidDel="00000000">
              <w:rPr>
                <w:u w:val="single"/>
                <w:rtl w:val="0"/>
              </w:rPr>
              <w:t xml:space="preserve">Taču arī gadījumos, kad dalībvalstij ir pamats atsaukties uz ģeogrāfiskiem apstākļiem, lai nepārņemtu konkrētu direktīvu, ir būtiski, ka par to savlaicīgi tiek informēta Eiropas Komisija</w:t>
            </w:r>
            <w:r w:rsidR="00000000" w:rsidRPr="00000000" w:rsidDel="00000000">
              <w:rPr>
                <w:rtl w:val="0"/>
              </w:rPr>
              <w:t xml:space="preserve">. Tādā veidā izvairoties, ka kompetentās Eiropas Savienības institūcijas vēršas pret Latviju par tai noteikto saistību attiecībā uz direktīvu pārņemšanu savlaicīgu nepildīšanu. Lūdzam skaidrot, vai ir nodrošināta Eiropas Komisijas informēšana, ja nē, tad to nodrošināt.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stāšanās spēkā termiņš ir 2026.gada 29.maijs (šomēnes) lemts par šo jautājumu informāciju sniegt ar transponēšanas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17:00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par grozījumu projekta 1.1.apakšpunktā iekļautiem 3.48. un 3.49. apakšpunktiem, kas dublē Eiropas Parlamenta un Padomes 2023. gada 13. septembra Regulas (ES) 2023/1804 par alternatīvo degvielu infrastruktūras ieviešanu un ar ko atceļ Direktīvu 2014/94/ES 2. pantā iekļautās definīcijas.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 </w:t>
            </w:r>
            <w:r w:rsidR="00000000" w:rsidRPr="00000000" w:rsidDel="00000000">
              <w:rPr>
                <w:i w:val="1"/>
                <w:rtl w:val="0"/>
              </w:rPr>
              <w:t xml:space="preserve">divvirzienu uzlādes</w:t>
            </w:r>
            <w:r w:rsidR="00000000" w:rsidRPr="00000000" w:rsidDel="00000000">
              <w:rPr>
                <w:rtl w:val="0"/>
              </w:rPr>
              <w:t xml:space="preserve"> definīcija (Sākotnēji 3.49.p).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to, ka </w:t>
            </w:r>
            <w:r w:rsidR="00000000" w:rsidRPr="00000000" w:rsidDel="00000000">
              <w:rPr>
                <w:i w:val="1"/>
                <w:rtl w:val="0"/>
              </w:rPr>
              <w:t xml:space="preserve">viedās uzlādes</w:t>
            </w:r>
            <w:r w:rsidR="00000000" w:rsidRPr="00000000" w:rsidDel="00000000">
              <w:rPr>
                <w:rtl w:val="0"/>
              </w:rPr>
              <w:t xml:space="preserve"> definīcija netiek dzēsta, panākta vienošanās 17.04.2026.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sākotnējoi noteica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3.48. viedā uzlāde – uzlādes operācija, kurā akumulatoram piegādātās elektroenerģijas intensitāte tiek koriģēta dinamiski, balstoties uz informāciju, kas saņemta, izmantojot elektroniskos sakarus;</w:t>
            </w:r>
            <w:r w:rsidR="00000000" w:rsidRPr="00000000" w:rsidDel="00000000">
              <w:rPr>
                <w:b w:val="1"/>
                <w:i w:val="1"/>
                <w:rtl w:val="0"/>
              </w:rPr>
              <w:t xml:space="preserve">Taču vairs neparedz: [dzēsts]</w:t>
            </w:r>
            <w:r w:rsidR="00000000" w:rsidRPr="00000000" w:rsidDel="00000000">
              <w:rPr>
                <w:i w:val="1"/>
                <w:rtl w:val="0"/>
              </w:rPr>
              <w:t xml:space="preserve">3.49. divvirzienu uzlāde – viedās uzlādes operācija, kurā elektroenerģijas plūsmu var pagriezt pretējā virzienā, ļaujot elektroenerģijai plūst no baterijas uz uzlādes punktu, kuram tas pieslēgts;</w:t>
            </w:r>
            <w:r w:rsidR="00000000" w:rsidRPr="00000000" w:rsidDel="00000000">
              <w:rPr>
                <w:b w:val="1"/>
                <w:i w:val="1"/>
                <w:rtl w:val="0"/>
              </w:rPr>
              <w:t xml:space="preserve">[dzēsts]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6 2 prim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Noteikums paredz, ka katra jaunbūve jāprojektē kā saules integrācijai piemērota ēka — pat tad, ja pirmajā būvniecības fāzē paneļi netiek uzstādīti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apzināti aicinām projektēt būves ar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lielāku nestspēju,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dārgākiem  jumtu materiāliem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kabeļšahtu ierīkošanu uttt, kas, mūsuprāt, ir nesamērīga lidzekļu izškērdēšana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paredzot samērīgas un loģiskas prasības, noteikumu punkts jāpiemēro   jāpiemēro diferencēti.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 starpinstitūciju sanākmsē panākta vienošanās, ka iebildums kopumā ir uzskatāms par ņemtu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papildināts. Būvnormatīvā tiek iekļauts regulējums (130.</w:t>
            </w:r>
            <w:r w:rsidR="00000000" w:rsidRPr="00000000" w:rsidDel="00000000">
              <w:rPr>
                <w:vertAlign w:val="superscript"/>
                <w:rtl w:val="0"/>
              </w:rPr>
              <w:t xml:space="preserve">20</w:t>
            </w:r>
            <w:r w:rsidR="00000000" w:rsidRPr="00000000" w:rsidDel="00000000">
              <w:rPr>
                <w:rtl w:val="0"/>
              </w:rPr>
              <w:t xml:space="preserve">.p) par izņēmumiem, jeb gadījumiem, kad var atkāpties no prasībām par saules enerģijas risinājumu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2024/1275 10.panta 1.daļā nosaka, ka </w:t>
            </w:r>
            <w:r w:rsidR="00000000" w:rsidRPr="00000000" w:rsidDel="00000000">
              <w:rPr>
                <w:i w:val="1"/>
                <w:rtl w:val="0"/>
              </w:rPr>
              <w:t xml:space="preserve">"Dalībvalstis nodrošina, ka visas jaunās ēkas ir projektētas tā, lai optimizētu to saules enerģijas ražošanas potenciālu, balstoties uz saules apstarojumu objektā un ļaujot vēlāk izmakslietderīgā veidā uzstādīt saules enerģijas tehnoloģijas". </w:t>
            </w:r>
            <w:r w:rsidR="00000000" w:rsidRPr="00000000" w:rsidDel="00000000">
              <w:rPr>
                <w:rtl w:val="0"/>
              </w:rPr>
              <w:t xml:space="preserve">Prasība pati par sevi ir vērsta uz projektēšanu un tādas ēkas radīšanu, kas ēkas vēlākas ekspluatācijas laikā tās aprīkošana ar saules enerģijas risinājumiem būtu gan iespējama, gan izmakslietderīga.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10.panta 1.daļas piemērošanas vadlīnijās minēts, ka </w:t>
            </w:r>
            <w:r w:rsidR="00000000" w:rsidRPr="00000000" w:rsidDel="00000000">
              <w:rPr>
                <w:i w:val="1"/>
                <w:rtl w:val="0"/>
              </w:rPr>
              <w:t xml:space="preserve">"Attiecībā uz 10. pantu saules enerģijas tehnoloģijas ietver gan fotoelementu (PV), gan saules siltumenerģijas sistēmas. Tāpēc jaunu ēku projektēšanā būtu jāņem vērā gan fotoelementu, gan saules siltumenerģijas tehnoloģijas un abu tehnoloģiju kombinācijas. Projektējot ēku, kas optimizēta saules enerģijas ražošanai, ir vajadzīga visaptveroša pieeja. Šādas pieejas galvenie faktori ir šādi: i) pietiekama nestspēja saistībā ar saules enerģijas iekārtām; ii) atbilstoša ēkas orientācija; un iii) jumta un fasādes konstrukcija. Mērķis ir nodrošināt piemērotu saules enerģijas iekārtu pievienošanu nākotnē bez dārgām strukturālām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173.4–173.5.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termiņi nav reāli realizējami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jānosaka iespējami reāli termiņi , pagarinot tos vismaz par  24–36 mēnešiem ieviešanas termiņu pārcelt uz 2028. gadu publiskajām ēkām, savukārt parējām vismaz līdz 2030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Termiņi attiecīgajām prasībām izriet no Direktīvas 2024/1275. Dalībvalstīm nav paredzēta rīcības brīvība mainīt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pilnībā tiek izmantota iespēja prasības spēkā stāšanos atlikt ar noteikumu projekta 180.punktu, kas paredz laika nobīdi, proti, ka </w:t>
            </w:r>
            <w:r w:rsidR="00000000" w:rsidRPr="00000000" w:rsidDel="00000000">
              <w:rPr>
                <w:i w:val="1"/>
                <w:rtl w:val="0"/>
              </w:rPr>
              <w:t xml:space="preserve">" [b]ūvniecības ieceres dokumentācijai, kas atbilstoši normatīvajiem aktiem būvniecības jomā saskaņota vai iesniegta saskaņošanai institūcijā, kas pilda būvvaldes funkcijas, līdz šo noteikumu 173.</w:t>
            </w:r>
            <w:r w:rsidR="00000000" w:rsidRPr="00000000" w:rsidDel="00000000">
              <w:rPr>
                <w:i w:val="1"/>
                <w:vertAlign w:val="superscript"/>
                <w:rtl w:val="0"/>
              </w:rPr>
              <w:t xml:space="preserve">4 </w:t>
            </w:r>
            <w:r w:rsidR="00000000" w:rsidRPr="00000000" w:rsidDel="00000000">
              <w:rPr>
                <w:i w:val="1"/>
                <w:rtl w:val="0"/>
              </w:rPr>
              <w:t xml:space="preserve">vai  173.</w:t>
            </w:r>
            <w:r w:rsidR="00000000" w:rsidRPr="00000000" w:rsidDel="00000000">
              <w:rPr>
                <w:i w:val="1"/>
                <w:vertAlign w:val="superscript"/>
                <w:rtl w:val="0"/>
              </w:rPr>
              <w:t xml:space="preserve">5</w:t>
            </w:r>
            <w:r w:rsidR="00000000" w:rsidRPr="00000000" w:rsidDel="00000000">
              <w:rPr>
                <w:i w:val="1"/>
                <w:rtl w:val="0"/>
              </w:rPr>
              <w:t xml:space="preserve"> punktā minētajam datumam, piemēro šos noteikumus redakcijā, kas bija spēkā līdz attiecīgajam datumam. Būvprojektiem, kuriem būvatļaujas vai līdzvērtīgas atļaujas izdotas līdz šo noteikumu 173.</w:t>
            </w:r>
            <w:r w:rsidR="00000000" w:rsidRPr="00000000" w:rsidDel="00000000">
              <w:rPr>
                <w:i w:val="1"/>
                <w:vertAlign w:val="superscript"/>
                <w:rtl w:val="0"/>
              </w:rPr>
              <w:t xml:space="preserve">4 </w:t>
            </w:r>
            <w:r w:rsidR="00000000" w:rsidRPr="00000000" w:rsidDel="00000000">
              <w:rPr>
                <w:i w:val="1"/>
                <w:rtl w:val="0"/>
              </w:rPr>
              <w:t xml:space="preserve">vai  173.</w:t>
            </w:r>
            <w:r w:rsidR="00000000" w:rsidRPr="00000000" w:rsidDel="00000000">
              <w:rPr>
                <w:i w:val="1"/>
                <w:vertAlign w:val="superscript"/>
                <w:rtl w:val="0"/>
              </w:rPr>
              <w:t xml:space="preserve">5</w:t>
            </w:r>
            <w:r w:rsidR="00000000" w:rsidRPr="00000000" w:rsidDel="00000000">
              <w:rPr>
                <w:i w:val="1"/>
                <w:rtl w:val="0"/>
              </w:rPr>
              <w:t xml:space="preserve"> punktā minētajam datumam, piemēro šos noteikumus redakcijā, kas bija spēkā līdz attiecīgajam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Noteiktās prasības nav attiecināmas uz ekspluatācijā esošā ēkām, kurām nav uzsākts būvniecības (tajā skaitā atjaunošanas) administratīvais process. Būvnormatīvos noteiktās prasības attiecās uz jaunu ēku projektēšanu un esošu ēku pārbūvju projektēšanu.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ARHITEKTU SAVIENĪBA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Biedrība Latvijas Arhitektu savienība izsaka šādus iebildumus:</w:t>
            </w:r>
            <w:r w:rsidR="00000000" w:rsidRPr="00000000" w:rsidDel="00000000">
              <w:rPr>
                <w:b w:val="1"/>
                <w:rtl w:val="0"/>
              </w:rPr>
              <w:t xml:space="preserve">Iebildums (Par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projektu “Grozījumi Ministru kabineta 2021. gada 19. oktobra noteikumos Nr. 693 “Būvju vispārīgo prasību būvnormatīvs LBN 200-21”” (turpmāk – projekts) kopumā, un uzskatām to par neatbilstošu Eiropas Parlamenta un Padomes 2024. gada 24. aprīļa direktīvas (ES) Nr. 2024/1275 par ēku energoefektivitāti (turpmāk – direktīva) regulējumam. Mūsu ieskatā projekts būtu virzāms vienlaikus ar grozījumiem Ēku energoefektivitātes likumā, ņemot vērā, ka pastāv regulējuma atšķirības starp direktīvas regulējumu, Ēku energoefektivitātes likumu un projektu. Tāpat direktīvas 4. pants cita starpā paredz, ka dalībvalstis piemēro ēku energosnieguma aprēķina metodoloģiju, kas atbilst I pielikumā noteiktajam kopīgajam vispārīgajam satvaram. Minēto metodoloģiju pieņem valsts vai reģionu līmenī. Savukārt projekts nesatur metodoloģiju, kuru paredzēts piemērot ēku energosnieguma aprēķinam. Projekts nesatur arī izņēmumus atsevišķām ēku funkcijām, gadījumos, kad ēkas lietošanas mērķis paredz ievērojamu enerģijas patēriņu, piemēram, sporta hallēs, rūpnīcās u.tml., vai tieši pretēji mazām vai nelielām un īslaicīgas lietošanas ēkām, kaut gan direktīva pieļauj šādu izņēmumu noteikšanu. Vienlaikus projekts pretēji direktīvai nesatur arī direktīvas 10. panta 4. punktā paredzētos izņēmumus. Proti, direktīvas 10. panta 4. punktā paredzēts, ka dalībvalstis valsts līmenī nosaka un dara publiski pieejamus kritērijus šajā pantā noteikto pienākumu praktiskai īstenošanai un iespējamiem izņēmumiem no minētajiem pienākumiem attiecībā uz konkrētiem ēku veidiem, ņemot vērā tehnoloģiskās neitralitātes principu attiecībā uz tehnoloģijām, kuras nerada emisijas uz vietas, un saskaņā ar saules enerģijas iekārtu novērtēto tehnisko un ekonomisko potenciālu un to ēku raksturlielumiem, uz kurām attiecas šis noteikums. Dalībvalstis attiecīgā gadījumā ņem vērā arī strukturālo integritāti, zaļos jumtus un bēniņu un jumta izolāciju. Ņemot to vērā, lūdzam nevirzīt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19. oktobra noteikumos Nr. 693 "Būvju vispārīgo prasību būvnormatīvs LBN 200-21"" sākotnējās ietekmes (ex-ante) novērtējuma ziņojuma (anotācijā) (turpmāk – projekta anotācija) 2.1. punktā noteikts, ka saistītās prasības ēkas vadības sistēmas jomā veicina sistēmu integrāciju, kur saules invertors “sarunājas” ar siltumsūkni. Šāda integrācija var pielikt vēl 500 – 1 000 EUR pie automātikas izmaksām. Vēršam uzmanību, ka koncentrējoties tikai uz saules enerģijas ieviešanas prasībām, ka būvniecības izmaksas vidējai jaunbūvei palielināsies vismaz par 10 000 – 20 000 EUR, ievērojot 2026. gada vidējās patēriņa cenas. Vēršam uzmanību, ka papildu nepieciešamo ieguldījumu 10 000 – 20 000 EUR apmērā var izlietot nevis saules enerģijas nodrošināšanai, bet citiem, daudz piemērotākiem risinājumiem direktīvas mērķu sasniegšanai, kā piemēru norādot zemes siltumsūkni, kas apkures rēķinus vienai mājsaimniecībai ievērojami samazinās, salīdzinot ar saules enerģijas ieviešanu. Vienlaikus, Latvijas apstākļos, pretēji, piemēram Spānijas Karalistei, būvniecības ierosinātāju un mājsaimniecību izmaksas saules enerģijas ieviešanai ievērojami pārsniedz ieguvumus, kādus sabiedrība iegūst, ņemot vērā, ka Latvijā saulainas dienas ar augstu saules intensitāti novērojamas tikai vasaras periodā, proti 3 mēnešus gadā. Tādējādi saules enerģijas ieviešana nesasniedz direktīvas mērķus. Savukārt projekta regulējuma piemērošana praksē vienlaikus palielinās būvniecības un ēku ekspluatācijas izmaksas. Tāpat, lai nodrošinātu projekta anotācijas 2.1. punktā norādīto saules invertora “sarunāšanos” ar siltumsūkni nepieciešams izbūvēt papildus sistēmas, ieviest specializētu programmatūru un nodrošināt ekspertu, lai aprēķinātu būvmateriālu izmaksas no ražošanas līdz utilizācijai un ekspluatācijas radīto oglekļa pēdu, kas vēl vairāk sadārdzinās jaunu būvju būvniecību, kā arī esošo ēku ekspluatāciju, tādējādi ievērojami samazinot pirktspējas līmeni un palielinot reālos izdevumus un patēriņa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lūdzam nevirzīt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(Projekta 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1.4. apakšpunktā piedāvāto Ministru kabineta 2021. gada 19. oktobra noteikumu Nr. 693 “Būvju vispārīgo prasību būvnormatīvs LBN 200-21” ar 6.2 punktu, ņemot vērā, ka nav samērīgi piedāvātajā regulējumā noteiktās prasības paredzēt kā obligātas, ņemot vērā izmaksas atbilstības prasību izpildei, kā arī faktu, ka šis regulējums būtiski ierobežo Satversmes 105. pantā paredzētās personu tiesības uz īpašumu. No projekta vai anotācijas tāpat nav izsecināms šīs normas izvertējums, atbilstoši Satversmes 105. panta pirmajam un otrajam teikumam. Vienlaikus piedāvātais regulējums tā spēkā stāšanās gadījumā rada risku nesamērīgu un pēc būtības neizpildāmu prasību noteikšanai būvniecības ierosinātājiem, to neizpildes gadījumā norādot, ka būvniecības ierosinātāju iesniegtajos būvniecības dokumentos paredzētā ēka nav būvēta tā, lai izmakslietderīgā veidā varētu uzstādīt saules enerģijas tehnoloģijas. Ņemot to vērā, lūdzam svītrot projekta 1.4. apakšpunktā piedāvāto Ministru kabineta 2021. gada 19. oktobra noteikumu Nr. 693 “Būvju vispārīgo prasību būvnormatīvs LBN 200-21” 6.2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(Projekta 1.8.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1.8. apakšpunktā piedāvāto regulējumu, ņemot vērā, ka piedāvātais regulējums ir pretrunā Ministru kabineta 2021. gada 8. aprīļa noteikumos Nr. 222 “Ēku energoefektivitātes aprēķina metodes un ēku energosertifikācijas noteikumi” noteiktajam ēku uzskaitījumam, uz kurām attiecas prasības gandrīz nulles enerģijai un augstas efektivitātes sistēmu izmantošanai. Piedāvātais regulējums tiesību piemērošanas praksē radīs pretrunas ar Ministru kabineta 2021. gada 8. aprīļa noteikumu Nr. 222 “Ēku energoefektivitātes aprēķina metodes un ēku energosertifikācijas noteikumi” regulējumu, tādējādi pārkāpjot no Satversmes 90. panta izrietošo tiesiskās noteiktības un tiesiskās skaidrības principu. Līdz ar to lūdzam svītrot projekta 1.8.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Iebildumu par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pārstrādāts, tajā skaitā būtiski papildinot pašā būvnormatīvā iekļaujot regulējumu par atkāpēm (izņēmumiem), kad prasības var nepiemērot. Būtiska daļa no izņēmumiem izriet no noteikumu projektā paredzētās sasaistes ar regulējumu Ēku energoefektivitātes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daļā par noteikumu projekta virzīšanu atsevišķi, t.i. pirms citiem saistītajiem normatīvo aktu grozījumiem Direktīvas 2024/1275 transponēšanai. EM atzīst ka visu saistīto grozījumu vienlaicīgā un paralēlā skaņošanā varētu labāk izsekot visu Direktīvas 2024/1275 transponēšanas gaitu, taču tas nav arguments attiecīgā noteikumu projekta virzības apturēšanai. Tāpat tas nevar būt par argumentu, lai būvnormatīvā sāktu noteikt aprēķinus, kuri veicami saskaņā ar citiem MK noteikumiem - Ministru kabineta 2021. gada 8. aprīļa noteikumiem Nr. 222 </w:t>
            </w:r>
            <w:r w:rsidR="00000000" w:rsidRPr="00000000" w:rsidDel="00000000">
              <w:rPr>
                <w:i w:val="1"/>
                <w:rtl w:val="0"/>
              </w:rPr>
              <w:t xml:space="preserve">"Ēku energoefektivitātes aprēķina metodes un ēku energosertifikācijas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nesatur konkrētus ēkas galvenā lietošanas veida ēku vai telpu grupu izņēmumus, jo zem viena un tā pašā lietošanas veida (piemēram, ražošanas ēkas) dažādība var būt ļoti plaša. Vienlaikus vēršam uzmanību, ka noteikumu projekts būtiski precizēts nosaucot gadījumus un ēkas veidus un situācijas, kurās attiecīgā prasība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ka </w:t>
            </w:r>
            <w:r w:rsidR="00000000" w:rsidRPr="00000000" w:rsidDel="00000000">
              <w:rPr>
                <w:i w:val="1"/>
                <w:rtl w:val="0"/>
              </w:rPr>
              <w:t xml:space="preserve">"[n]oteikumu projekts paredz 130.</w:t>
            </w:r>
            <w:r w:rsidR="00000000" w:rsidRPr="00000000" w:rsidDel="00000000">
              <w:rPr>
                <w:i w:val="1"/>
                <w:vertAlign w:val="superscript"/>
                <w:rtl w:val="0"/>
              </w:rPr>
              <w:t xml:space="preserve">15</w:t>
            </w:r>
            <w:r w:rsidR="00000000" w:rsidRPr="00000000" w:rsidDel="00000000">
              <w:rPr>
                <w:i w:val="1"/>
                <w:rtl w:val="0"/>
              </w:rPr>
              <w:t xml:space="preserve">.punktu, kas nosaka 11.</w:t>
            </w:r>
            <w:r w:rsidR="00000000" w:rsidRPr="00000000" w:rsidDel="00000000">
              <w:rPr>
                <w:i w:val="1"/>
                <w:vertAlign w:val="superscript"/>
                <w:rtl w:val="0"/>
              </w:rPr>
              <w:t xml:space="preserve">1 </w:t>
            </w:r>
            <w:r w:rsidR="00000000" w:rsidRPr="00000000" w:rsidDel="00000000">
              <w:rPr>
                <w:i w:val="1"/>
                <w:rtl w:val="0"/>
              </w:rPr>
              <w:t xml:space="preserve">nodaļā un 12.12. apakšnodaļā lietotā vārda "ēka" nozīmi. Tas tādēļ, ka Direktīvas 2024/1275 kontekstā "ēka" ir ar šaurāku nozīmi, nekā to nosaka Būvniecības likuma 11.pants. Minētais punkts ir nepieciešams, lai skaidri noteiktu būvnormatīvā noteikto energoefektivitātes jomas prasību sasaisti ar Ēku energoefektivitātes likuma 3.panta otro daļu, kas nosaka uz kādām ēkām attiecīgās prasības nav attiecināmas. Minētie izņēmumi izriet no Direktīvas 2024/1275 5.panta 1.punkta."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iebildums daļā, ka siltumsūknis būtu labāks risinājums par saules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daļā par to, ka noteikumu projekts Direktīvas 2024/1275 10.panta prasības par saules enerģiju var transponēt ar nacionālu prasību ierīkot siltumsūkni. Direktīva neparedz šādu dalībvalsts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iebildumu par projekta 1.4.apakšpunktu</w:t>
            </w:r>
            <w:r w:rsidR="00000000" w:rsidRPr="00000000" w:rsidDel="00000000">
              <w:rPr>
                <w:rtl w:val="0"/>
              </w:rPr>
              <w:t xml:space="preserve"> ( 6.</w:t>
            </w:r>
            <w:r w:rsidR="00000000" w:rsidRPr="00000000" w:rsidDel="00000000">
              <w:rPr>
                <w:vertAlign w:val="superscript"/>
                <w:rtl w:val="0"/>
              </w:rPr>
              <w:t xml:space="preserve">2</w:t>
            </w:r>
            <w:r w:rsidR="00000000" w:rsidRPr="00000000" w:rsidDel="00000000">
              <w:rPr>
                <w:rtl w:val="0"/>
              </w:rPr>
              <w:t xml:space="preserve">p par saules enerģijas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Minimālās tehniskās prasības ēku projektēšanai nemaina īpašumtiesības, līdz ar to arguments ar atsauci uz Satversmes 105. pantu nav uzskatāms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iebildumu par projekta 1.8.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nedefinē "bezemisiju ēku", kā arī "gandrīz nulles enerģijas ēku". Tāpat Noteikumu projekts nenosaka šo ēku energoefektivitātes aprēķina metodes vai energosertifikāciju, līdz ar to iebildumā minētā pretruna neeksistē.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ietverto prasību īstenošana būvniecības ieceres īstenotājam rada papildu izmaksas, kam projektos papildu finansējums nav paredzēts, kā arī ir nepieciešams papildu laiks, lai veiktu projekta precizējumus, attiecībā uz 130.</w:t>
            </w:r>
            <w:r w:rsidR="00000000" w:rsidRPr="00000000" w:rsidDel="00000000">
              <w:rPr>
                <w:vertAlign w:val="superscript"/>
                <w:rtl w:val="0"/>
              </w:rPr>
              <w:t xml:space="preserve">5</w:t>
            </w:r>
            <w:r w:rsidR="00000000" w:rsidRPr="00000000" w:rsidDel="00000000">
              <w:rPr>
                <w:rtl w:val="0"/>
              </w:rPr>
              <w:t xml:space="preserve">.1.apakšpunktā noteikto prasību nepieciešams noteikt pārejas periodu, paredzot, ka 130.5.1.apakšpunktā noteikto prasību neattiecina uz būvprojektiem, kuri līdz 2027.gada 29.maijam ir noteiktā kārtībā saskaņoti (akceptēti) vai iesniegti saskaņošanai institūcijā, kas pilda būvvaldes funkcijas, attiecīgi svītrojot šā apakšpunkta otro teikumu. Pretējā gadījumā pastāv risks zaudēt ārvalstu finansējumu, jo projekti var netikt īstenoti noteiktajā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tiek noteikts ar punktiem, kas nosaka prasību piemērošanu laikā, proti, ja pieteikums būvatļaujai ir iesniegts līdz noteikumu projekta spēkā stāšanās brīdim, tad būvniecības iecerē drīkst risināt tās prasības, kas bija spēkā līdz 29.05.2026. (neieskaitot), tātad, līdz 28.05.2026.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"180. Būvniecības ieceres dokumentācijai, kas atbilstoši normatīvajiem aktiem būvniecības jomā saskaņota vai iesniegta saskaņošanai institūcijā, kas pilda būvvaldes funkcijas, līdz šo noteikumu 173.4 vai  173.5 punktā minētajam datumam, piemēro šos noteikumus redakcijā, kas bija spēkā līdz attiecīgajam datumam. Būvprojektiem, kuriem būvatļaujas vai līdzvērtīgas atļaujas izdotas līdz šo noteikumu 173.4 vai  173.5 punktā minētajam datumam, piemēro šos noteikumus redakcijā, kas bija spēkā līdz attiecīgajam datumam.</w:t>
            </w:r>
            <w:r w:rsidR="00000000" w:rsidRPr="00000000" w:rsidDel="00000000">
              <w:rPr>
                <w:i w:val="1"/>
                <w:rtl w:val="0"/>
              </w:rPr>
              <w:t xml:space="preserve">181. Būvniecības ieceres dokumentācijai, kas atbilstoši normatīvajiem aktiem būvniecības jomā saskaņota vai iesniegta saskaņošanai institūcijā, kas pilda būvvaldes funkcijas, līdz 2026. gada 28. maijam, piemēro šos noteikumus redakcijā, kas bija spēkā līdz 2026. gada 28. maijam. Būvprojektiem, kuriem būvatļaujas vai līdzvērtīgas atļaujas izdotas līdz 2026. gada 28. maijam, piemēro šos noteikumus redakcijā, kas bija spēkā līdz 2026. gada 28.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1.3. apakšpunktu un tajā veikto Eiropas Parlamenta un Padomes 2024. gada 27. novembra Regula (ES) 2024/3110, kas nosaka saskaņotus būvizstrādājumu tirdzniecības noteikumus un atceļ Regulu (ES) Nr. 305/2011, I pielikuma 7. punkta ieviešanu. Vēršam uzmanību, ka atbilstoši šai regulas vienībai "</w:t>
            </w:r>
            <w:r w:rsidR="00000000" w:rsidRPr="00000000" w:rsidDel="00000000">
              <w:rPr>
                <w:i w:val="1"/>
                <w:rtl w:val="0"/>
              </w:rPr>
              <w:t xml:space="preserve">Būves un to daļas projektē, būvē, izmanto, uztur un izjauc vai nojauc tā, lai tās visā to aprites ciklā neradītu risku āra videi, </w:t>
            </w:r>
            <w:r w:rsidR="00000000" w:rsidRPr="00000000" w:rsidDel="00000000">
              <w:rPr>
                <w:i w:val="1"/>
                <w:u w:val="single"/>
                <w:rtl w:val="0"/>
              </w:rPr>
              <w:t xml:space="preserve">ko izraisa kāds no šiem faktoriem</w:t>
            </w:r>
            <w:r w:rsidR="00000000" w:rsidRPr="00000000" w:rsidDel="00000000">
              <w:rPr>
                <w:rtl w:val="0"/>
              </w:rPr>
              <w:t xml:space="preserve">", to skaitā siltumnīcefekta gāzu emisiju nonākšana atmosfērā (I pielikuma 7. punkta d) apakšpunkts). Lūdzam izvērst projekta 1.3. apakšpunkta skaidrojumus, pamatojot, kāpēc ieviests tikai viens no I pielikuma 7. punkta apakšpunktiem, ņemot vērā, ka regula kā tiesību akts ir tieši piemērojama un attiecīgi, ir jānodrošina, lai visi I pielikuma 7. punkta apakšpunktos definētie faktori neradītu risku āra videi. Tāpat, lūdzam nodrošināt izpratni tam, kas saprotams ar "normatīvo līmeni" un kā tiek pilnībā ieviests šīs regulas I pielikuma 7. punkts, kā uz to norādīts anotācijas 5.4. apakšsadaļā, jo atbilstoši redakcijai tiek ieviesta tikai daļa - I pielikuma 7. punkta d)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iepriekšējo iebildumu, lūdzam izvairīties no regulu normu pārrakstīšanas, tā vietā projektā ietverot atsauces uz attiecīgajām regulas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jaunu 5.6.apakšpunktu šādā redakcijā: </w:t>
            </w:r>
            <w:r w:rsidR="00000000" w:rsidRPr="00000000" w:rsidDel="00000000">
              <w:rPr>
                <w:i w:val="1"/>
                <w:rtl w:val="0"/>
              </w:rPr>
              <w:t xml:space="preserve">"emisijas gaisā normatīvā līmenī;"</w:t>
            </w:r>
            <w:r w:rsidR="00000000" w:rsidRPr="00000000" w:rsidDel="00000000">
              <w:rPr>
                <w:rtl w:val="0"/>
              </w:rPr>
              <w:t xml:space="preserve">. Attiecīgā punkta redakcija salāgota un izteikta tādā pašā redakcijā, kā to pašlaik nosaka spēkā esošais 167.1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pēc būtības ir tajā, ka prasības ir attiecināmas uz visām ēkām, nevis tikai atsevišķām ražošanas ēkām, tādēļ prasība ir pārceļama uz citu būvnormatīva nodaļu, savukārt, pati prasība būvnormatīvā ir jānosaka, jo Regulas darbības tvērums ir attiecībā uz būvizstrādājumiem, proti, neregulē būvju projektēšanas jomu.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9.pants nosaka septiņas būtiskās būvei izvirzītās prasības, atbilstoši kurām būve ir projektējama, būvējama un ekspluatējama. Visas septiņas Būvniecības likumā noteiktās prasības ir salāgotas ar Eiropas Parlamenta un Padomes 2024.gada 27.novembra Regula (ES) 2024/3110 I pielikumā minētajām septiņām prasībām no astoņām. Būvniecības likumā šīs septiņas pamatprasības ir noteiktas, jo attiecīgās Regulas darbības tvērums ir būvizstrādājumu joma, nevis būvju projektēšanas joma, tātad, lai abas jomas (būvizstrādājumu joma un būvju projektēšanas joma) savā starpā būtu salāgotas, attiecīgās prasības ir nosakāmas Latvijas nacionālajā regulējumā, kas regulē arī projektēšanas jomu, proti, Būvniecības likumā vai LBN 200-21. Būvniecības likuma 9.pantā nav minēta attiecīgās Regulas I pielikuma 7. punktā noteiktā prasība nodrošināt [b]ūvju emisijas āra vidē", līdz ar to, arī šai prasībai būtu jābūt noteiktai Būvniecības likumā vai LBN 200-21. Minētajā kontekstā ir jāņem vērā arī apstāklis, ka projektēšanas prasības emisijas jomā attiecībā uz ražošanas ēkām pašlaik ir noteiktas LBN 200-21 167.1.apakšpunktā, savukārt specifiskas emisijas prasības veselības aprūpes un izglītības ēku apdares materiāliem nosaka LBN 200-21 128.punkts. Minētais nozīmē, ka pašlaik tikai ražošanas ēkām un daļēji arī veselības aprūpes un izglītības iestāžu ēkām būvju emisiju jomas prasības ir salāgotas starp būvizstrādājumu jomu un būvju projektēšanas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Latvijā būvniecību regulējošajos normatīvajos aktos iztrūkst regulējums, kas kā vienu no būvēm (ne tikai ražošanas ēkām) izvirzītajām būtiskajām prasībām projektēšanas jomā noteiktu [b]ūvju emisijas āra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svītrot LBN 200-21 167.1.apakšpunktu, vienlaikus prasību būves emisijai āra vidē nosakot LBN 200-21 5. punktā, tādā veidā attiecīgo prasību nosakot kā saistošu ne tikai ražošanas ēku, bet visu būvju projektēšanā. Minētais risinājums vienlaikus nodrošina to, ka visas astoņas pamatprasības, jeb būvei noteiktās būtiskās prasības, būtu salāgotas gan būvizstrādājumu jomā, gan būvju projektēšanas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w:t>
            </w:r>
            <w:r w:rsidR="00000000" w:rsidRPr="00000000" w:rsidDel="00000000">
              <w:rPr>
                <w:i w:val="1"/>
                <w:vertAlign w:val="superscript"/>
                <w:rtl w:val="0"/>
              </w:rPr>
              <w:t xml:space="preserve">1</w:t>
            </w:r>
            <w:r w:rsidR="00000000" w:rsidRPr="00000000" w:rsidDel="00000000">
              <w:rPr>
                <w:i w:val="1"/>
                <w:rtl w:val="0"/>
              </w:rPr>
              <w:t xml:space="preserve"> Ēkām, kurām veic nozīmīgu atjaunošanu, risina prasību izpildi energoefektivitātes jomā un, ciktāl tas ir tehniski, funkcionāli un ekonomiski iespējams, arī šādās jomās:</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1. optimālas iekštelpu vides kvalitāte;</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2. ugunsdrošība;</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3. pielāgošanās klimata pārmaiņām;</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4.  vides pieejamība personām ar kustību ierobežojumiem vai funkcionēšanas traucējumiem;</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5. bīstamu vielu, tostarp azbesta, nodošana atkritumu apsaimniekotājam;</w:t>
            </w:r>
            <w:r w:rsidR="00000000" w:rsidRPr="00000000" w:rsidDel="00000000">
              <w:rPr>
                <w:i w:val="1"/>
                <w:rtl w:val="0"/>
              </w:rPr>
              <w:t xml:space="preserve">6.</w:t>
            </w:r>
            <w:r w:rsidR="00000000" w:rsidRPr="00000000" w:rsidDel="00000000">
              <w:rPr>
                <w:i w:val="1"/>
                <w:vertAlign w:val="superscript"/>
                <w:rtl w:val="0"/>
              </w:rPr>
              <w:t xml:space="preserve">1</w:t>
            </w:r>
            <w:r w:rsidR="00000000" w:rsidRPr="00000000" w:rsidDel="00000000">
              <w:rPr>
                <w:i w:val="1"/>
                <w:rtl w:val="0"/>
              </w:rPr>
              <w:t xml:space="preserve">6.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9.panta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projektējama, būvējama un ekspluatējama atbilstoši tās lietošanas veidam, turklāt tā, lai nodrošinātu tās atbilstību (tostarp) tādai būtiskai prasībai kā ugunsdrošība.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2024/1275 (2024. gada 24. aprīlis) par ēku energosniegumu”: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turpmākus pasākumus, lai uzlabotu ēku energosniegumu […]. Minētajiem pasākumiem nebūtu jāietekmē citas prasības attiecībā uz ēkām, piemēram, ēkas piekļūstamību ugunsdrošību un seismisko drošumu un paredzēto izmantojumu.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Pamatīga renovācija energosnieguma vajadzībām var būt arī lieliska iespēja pievērsties tādiem citiem aspektiem kā […] ugunsdrošība, bīstamu vielu, arī azbesta, aizvākšana un piekļūstamība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izņēmumus, kuras ugunsdrošības prasības kādos gadījumos ir atļauts neievērot. Citos gadījumos ugunsdrošības prasības jānodrošina atbilstoši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 ir būtiska prasība, kas ir jānodrošina neskatoties ne uz ko, nevis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w:t>
            </w:r>
            <w:r w:rsidR="00000000" w:rsidRPr="00000000" w:rsidDel="00000000">
              <w:rPr>
                <w:vertAlign w:val="superscript"/>
                <w:rtl w:val="0"/>
              </w:rPr>
              <w:t xml:space="preserve">1</w:t>
            </w:r>
            <w:r w:rsidR="00000000" w:rsidRPr="00000000" w:rsidDel="00000000">
              <w:rPr>
                <w:rtl w:val="0"/>
              </w:rPr>
              <w:t xml:space="preserve">2.apakšpunkta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iebildums uzskatāms par ņemtu vērā atbilstoši 15.04.2026. starpinstitūciju sanāksmē lemtajam.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6.</w:t>
            </w:r>
            <w:r w:rsidR="00000000" w:rsidRPr="00000000" w:rsidDel="00000000">
              <w:rPr>
                <w:vertAlign w:val="superscript"/>
                <w:rtl w:val="0"/>
              </w:rPr>
              <w:t xml:space="preserve">1</w:t>
            </w:r>
            <w:r w:rsidR="00000000" w:rsidRPr="00000000" w:rsidDel="00000000">
              <w:rPr>
                <w:rtl w:val="0"/>
              </w:rPr>
              <w:t xml:space="preserve">punktu paredz noteikt, ka ārpus sākotnējās ieceres tvēruma papildus risina jautājumus arī ugunsdrošības jomā, tik tālu, cik tas tehniski, funkcionāli un ekonomiski iespējams, proti, "tālāk" nekā to paredz pašlaik spēkā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Direktīvas 2024/1275 8.panta 3p.: " Attiecībā uz ēkām, kurās veic nozīmīgu renovāciju, dalībvalstis veicina augstas efektivitātes alternatīvu sistēmu izmantošanu, ciktāl tas ir tehniski, funkcionāli un ekonomiski iespējams. Dalībvalstis attiecībā uz ēkām, kurās veic nozīmīgu renovāciju, pievēršas tādiem jautājumiem kā iekštelpu vides kvalitāte, pielāgošanās klimata pārmaiņām, ugunsdrošība, riski saistībā ar spēcīgu seismisko aktivitāti, bīstamu vielu, tostarp azbesta, aizvākšana un piekļūstamība personām ar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minēto, piemēram, Noteikumu 3.49. apakšpunktā (pārraksta Eiropas Parlamenta un Padomes 2023. gada 13. septembra Regulas (ES) 2023/1804 par alternatīvo degvielu infrastruktūras ieviešanu un ar ko atceļ Direktīvu 2014/94/ES 2. panta 11. punktu) un visā projektā kopumā. Iesakām izskatīt iespēju regulas ieviešanu veikt ar atsauci uz regulu. Gadījumā, ja nepieciešams pārrakstīt Regulas normas, lūdzam tās pārrakstīt identiski un papildus skaidrot nepieciešamību veikt Regulas teksta daļu inkorporēšanu nacionālajos tiesību aktos. Vēršam uzmanību, ka, ja Regulas normas netiek precīzi pārrakstītas identiski, pastāv atšķirīgas interpretācijas risks, kas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Tas vairs neparedz </w:t>
            </w:r>
            <w:r w:rsidR="00000000" w:rsidRPr="00000000" w:rsidDel="00000000">
              <w:rPr>
                <w:i w:val="1"/>
                <w:rtl w:val="0"/>
              </w:rPr>
              <w:t xml:space="preserve">divvirzienu uzlādes</w:t>
            </w:r>
            <w:r w:rsidR="00000000" w:rsidRPr="00000000" w:rsidDel="00000000">
              <w:rPr>
                <w:rtl w:val="0"/>
              </w:rPr>
              <w:t xml:space="preserve"> definīciju.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precizēta (1. un arī 5.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precīzu un pilnīgu direktīvas 2024/1275 pārņemšanu vai sniegt attiecīgus skaidrojumus.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2024/1275 2. panta 22. punkta b) apakšpunkts nosaka, ka "nozīmīga atjaunošana" ir vienkārši, ja "renovāciju veic vairāk nekā 25 % norobežojošās konstrukcijas virsmas", bet projektā papildus uzsvērts, ka tai jābūt ar "ēkas energoefektivitāti saistītai ēkas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2024/1275 2. panta 65. punktā (pārņemts Noteikumu 3.46. apakšpunktā) nav paredzēts precizējošs nosacījums "</w:t>
            </w:r>
            <w:r w:rsidR="00000000" w:rsidRPr="00000000" w:rsidDel="00000000">
              <w:rPr>
                <w:i w:val="1"/>
                <w:rtl w:val="0"/>
              </w:rPr>
              <w:t xml:space="preserve">vieta blakus ēkai ar iekštelpu, kuras vides regulēšanu veic izmantojot enerģiju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2024/1275 7. panta 1. punktā noteikts, ka "</w:t>
            </w:r>
            <w:r w:rsidR="00000000" w:rsidRPr="00000000" w:rsidDel="00000000">
              <w:rPr>
                <w:i w:val="1"/>
                <w:rtl w:val="0"/>
              </w:rPr>
              <w:t xml:space="preserve">Dalībvalstis nodrošina, ka jaunas ēkas ir bezemisiju ēkas </w:t>
            </w:r>
            <w:r w:rsidR="00000000" w:rsidRPr="00000000" w:rsidDel="00000000">
              <w:rPr>
                <w:i w:val="1"/>
                <w:u w:val="single"/>
                <w:rtl w:val="0"/>
              </w:rPr>
              <w:t xml:space="preserve">saskaņā ar 11. pantu</w:t>
            </w:r>
            <w:r w:rsidR="00000000" w:rsidRPr="00000000" w:rsidDel="00000000">
              <w:rPr>
                <w:rtl w:val="0"/>
              </w:rPr>
              <w:t xml:space="preserve">", bet projekta 1.8. apakšpunkts paredz vienkārši to, ka "</w:t>
            </w:r>
            <w:r w:rsidR="00000000" w:rsidRPr="00000000" w:rsidDel="00000000">
              <w:rPr>
                <w:i w:val="1"/>
                <w:rtl w:val="0"/>
              </w:rPr>
              <w:t xml:space="preserve">Jaunu ēku projektē kā bezemisiju ēku</w:t>
            </w:r>
            <w:r w:rsidR="00000000" w:rsidRPr="00000000" w:rsidDel="00000000">
              <w:rPr>
                <w:rtl w:val="0"/>
              </w:rPr>
              <w:t xml:space="preserve">", nenosakot nepieciešamību ievērot prasības, kas izriet no tiesību normām, kur pārņemts direktīvas 2024/1275 11. pants. Tāpat vēršam uzmanību uz saistību arī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2024/1275 8. panta 1. punkta 2. daļa nosaka, ka "</w:t>
            </w:r>
            <w:r w:rsidR="00000000" w:rsidRPr="00000000" w:rsidDel="00000000">
              <w:rPr>
                <w:i w:val="1"/>
                <w:u w:val="single"/>
                <w:rtl w:val="0"/>
              </w:rPr>
              <w:t xml:space="preserve">Papildus vai kā alternatīvu prasības </w:t>
            </w:r>
            <w:r w:rsidR="00000000" w:rsidRPr="00000000" w:rsidDel="00000000">
              <w:rPr>
                <w:i w:val="1"/>
                <w:rtl w:val="0"/>
              </w:rPr>
              <w:t xml:space="preserve">var piemērot renovētajiem būves elementiem</w:t>
            </w:r>
            <w:r w:rsidR="00000000" w:rsidRPr="00000000" w:rsidDel="00000000">
              <w:rPr>
                <w:rtl w:val="0"/>
              </w:rPr>
              <w:t xml:space="preserve">", projekts nosaka tikai alternatīvu, nesniedzot izvērstāku skaidrojumu. Tāpat projekts nenodrošina izpratni "</w:t>
            </w:r>
            <w:r w:rsidR="00000000" w:rsidRPr="00000000" w:rsidDel="00000000">
              <w:rPr>
                <w:i w:val="1"/>
                <w:rtl w:val="0"/>
              </w:rPr>
              <w:t xml:space="preserve">minimālajām prasībām energoefektivitātes jomā</w:t>
            </w:r>
            <w:r w:rsidR="00000000" w:rsidRPr="00000000" w:rsidDel="00000000">
              <w:rPr>
                <w:rtl w:val="0"/>
              </w:rPr>
              <w:t xml:space="preserve">", kurām jābūt noteiktām saskaņā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2024/1275 8. panta 2. punkts (pārņemts Noteikumu 130.</w:t>
            </w:r>
            <w:r w:rsidR="00000000" w:rsidRPr="00000000" w:rsidDel="00000000">
              <w:rPr>
                <w:vertAlign w:val="superscript"/>
                <w:rtl w:val="0"/>
              </w:rPr>
              <w:t xml:space="preserve">18</w:t>
            </w:r>
            <w:r w:rsidR="00000000" w:rsidRPr="00000000" w:rsidDel="00000000">
              <w:rPr>
                <w:rtl w:val="0"/>
              </w:rPr>
              <w:t xml:space="preserve"> punktā) attiecas uz gadījumiem, kad </w:t>
            </w:r>
            <w:r w:rsidR="00000000" w:rsidRPr="00000000" w:rsidDel="00000000">
              <w:rPr>
                <w:u w:val="single"/>
                <w:rtl w:val="0"/>
              </w:rPr>
              <w:t xml:space="preserve">pāraprīko vai nomaina būves elementu</w:t>
            </w:r>
            <w:r w:rsidR="00000000" w:rsidRPr="00000000" w:rsidDel="00000000">
              <w:rPr>
                <w:rtl w:val="0"/>
              </w:rPr>
              <w:t xml:space="preserve">, bet projekts pārņem vienību tikai attiecībā uz būves elementa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direktīvas 2024/1275 14. panta 4. punkta 3. daļa (līdzīgi arī 14. panta 1. punkta 2. daļa) paredz nosacījumus 1. un 2. daļas piemērošanai. Noteikumu 130.</w:t>
            </w:r>
            <w:r w:rsidR="00000000" w:rsidRPr="00000000" w:rsidDel="00000000">
              <w:rPr>
                <w:vertAlign w:val="superscript"/>
                <w:rtl w:val="0"/>
              </w:rPr>
              <w:t xml:space="preserve">8 </w:t>
            </w:r>
            <w:r w:rsidR="00000000" w:rsidRPr="00000000" w:rsidDel="00000000">
              <w:rPr>
                <w:rtl w:val="0"/>
              </w:rPr>
              <w:t xml:space="preserve">un 130.</w:t>
            </w:r>
            <w:r w:rsidR="00000000" w:rsidRPr="00000000" w:rsidDel="00000000">
              <w:rPr>
                <w:vertAlign w:val="superscript"/>
                <w:rtl w:val="0"/>
              </w:rPr>
              <w:t xml:space="preserve">9 </w:t>
            </w:r>
            <w:r w:rsidR="00000000" w:rsidRPr="00000000" w:rsidDel="00000000">
              <w:rPr>
                <w:rtl w:val="0"/>
              </w:rPr>
              <w:t xml:space="preserve">punkts, pārņemot šīs vienības, tās definē kā skaidrojumus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noteiktajam, nevis kā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direktīvas 2024/1275 10. panta 3. punkta 1. daļas e) apakšpunkts paredz nosacījumu attiecībā uz "</w:t>
            </w:r>
            <w:r w:rsidR="00000000" w:rsidRPr="00000000" w:rsidDel="00000000">
              <w:rPr>
                <w:i w:val="1"/>
                <w:rtl w:val="0"/>
              </w:rPr>
              <w:t xml:space="preserve">visām jaunām autostāvvietām ar jumtu, kas fiziski </w:t>
            </w:r>
            <w:r w:rsidR="00000000" w:rsidRPr="00000000" w:rsidDel="00000000">
              <w:rPr>
                <w:i w:val="1"/>
                <w:u w:val="single"/>
                <w:rtl w:val="0"/>
              </w:rPr>
              <w:t xml:space="preserve">atrodas blakus ēkām</w:t>
            </w:r>
            <w:r w:rsidR="00000000" w:rsidRPr="00000000" w:rsidDel="00000000">
              <w:rPr>
                <w:rtl w:val="0"/>
              </w:rPr>
              <w:t xml:space="preserve">", bet projekta 1.6. apakšpunktā pārņemts, nosakot, "</w:t>
            </w:r>
            <w:r w:rsidR="00000000" w:rsidRPr="00000000" w:rsidDel="00000000">
              <w:rPr>
                <w:i w:val="1"/>
                <w:rtl w:val="0"/>
              </w:rPr>
              <w:t xml:space="preserve">kas atrodas fiziski blakus </w:t>
            </w:r>
            <w:r w:rsidR="00000000" w:rsidRPr="00000000" w:rsidDel="00000000">
              <w:rPr>
                <w:i w:val="1"/>
                <w:u w:val="single"/>
                <w:rtl w:val="0"/>
              </w:rPr>
              <w:t xml:space="preserve">citai ēkai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direktīvas 2024/1275 13. panta 11. punkts nosaka, ka no tā izrietošās prasības īstenojamas "</w:t>
            </w:r>
            <w:r w:rsidR="00000000" w:rsidRPr="00000000" w:rsidDel="00000000">
              <w:rPr>
                <w:i w:val="1"/>
                <w:rtl w:val="0"/>
              </w:rPr>
              <w:t xml:space="preserve">ja tas ir tehniski, ekonomiski </w:t>
            </w:r>
            <w:r w:rsidR="00000000" w:rsidRPr="00000000" w:rsidDel="00000000">
              <w:rPr>
                <w:i w:val="1"/>
                <w:u w:val="single"/>
                <w:rtl w:val="0"/>
              </w:rPr>
              <w:t xml:space="preserve">un funkcionāli iespējam</w:t>
            </w:r>
            <w:r w:rsidR="00000000" w:rsidRPr="00000000" w:rsidDel="00000000">
              <w:rPr>
                <w:i w:val="1"/>
                <w:rtl w:val="0"/>
              </w:rPr>
              <w:t xml:space="preserve">s</w:t>
            </w:r>
            <w:r w:rsidR="00000000" w:rsidRPr="00000000" w:rsidDel="00000000">
              <w:rPr>
                <w:rtl w:val="0"/>
              </w:rPr>
              <w:t xml:space="preserve">", bet projekta 1.6. apakšpunktā (Noteikumu 130.</w:t>
            </w:r>
            <w:r w:rsidR="00000000" w:rsidRPr="00000000" w:rsidDel="00000000">
              <w:rPr>
                <w:vertAlign w:val="superscript"/>
                <w:rtl w:val="0"/>
              </w:rPr>
              <w:t xml:space="preserve">16 </w:t>
            </w:r>
            <w:r w:rsidR="00000000" w:rsidRPr="00000000" w:rsidDel="00000000">
              <w:rPr>
                <w:rtl w:val="0"/>
              </w:rPr>
              <w:t xml:space="preserve">apakšpunkts) noteikts "</w:t>
            </w:r>
            <w:r w:rsidR="00000000" w:rsidRPr="00000000" w:rsidDel="00000000">
              <w:rPr>
                <w:i w:val="1"/>
                <w:rtl w:val="0"/>
              </w:rPr>
              <w:t xml:space="preserve">ja tas ir tehniski iespējams un ekonomiski pamatoti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direktīvas 2024/1275 14. panta 1. punkta c) apakšpunkts nosaka, ka dalībvalstis nodrošina, ka </w:t>
            </w:r>
            <w:r w:rsidR="00000000" w:rsidRPr="00000000" w:rsidDel="00000000">
              <w:rPr>
                <w:i w:val="1"/>
                <w:rtl w:val="0"/>
              </w:rPr>
              <w:t xml:space="preserve">"tiek ierīkotas velosipēdu stāvvietas vietas, kas veido vismaz 15 % no nedzīvojamo ēku vidējās lietotāju kapacitātes vai 10 % no kopējās lietotāju kapacitātes, ņemot vērā platību, kas vajadzīga arī lielāka izmēra velosipēdiem nekā standarta velosipēdi</w:t>
            </w:r>
            <w:r w:rsidR="00000000" w:rsidRPr="00000000" w:rsidDel="00000000">
              <w:rPr>
                <w:rtl w:val="0"/>
              </w:rPr>
              <w:t xml:space="preserve">". Projekta 1.6. apakšpunkts (Noteikumu 130.</w:t>
            </w:r>
            <w:r w:rsidR="00000000" w:rsidRPr="00000000" w:rsidDel="00000000">
              <w:rPr>
                <w:vertAlign w:val="superscript"/>
                <w:rtl w:val="0"/>
              </w:rPr>
              <w:t xml:space="preserve">6</w:t>
            </w:r>
            <w:r w:rsidR="00000000" w:rsidRPr="00000000" w:rsidDel="00000000">
              <w:rPr>
                <w:rtl w:val="0"/>
              </w:rPr>
              <w:t xml:space="preserve">3. apakšpunkts) pārņem daļu par 10% kapacitāti, nesniedzot papildus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2024/1275 14. panta 1. punkta 3. daļas nosacījums īstenojams, ievērojot "</w:t>
            </w:r>
            <w:r w:rsidR="00000000" w:rsidRPr="00000000" w:rsidDel="00000000">
              <w:rPr>
                <w:i w:val="1"/>
                <w:rtl w:val="0"/>
              </w:rPr>
              <w:t xml:space="preserve">ciktāl tas ir tehniski un ekonomiski iespējams un pamatojams</w:t>
            </w:r>
            <w:r w:rsidR="00000000" w:rsidRPr="00000000" w:rsidDel="00000000">
              <w:rPr>
                <w:rtl w:val="0"/>
              </w:rPr>
              <w:t xml:space="preserve">", kas neizriet no projekta 1.6. apakšpunkta (Noteikumu 130.</w:t>
            </w:r>
            <w:r w:rsidR="00000000" w:rsidRPr="00000000" w:rsidDel="00000000">
              <w:rPr>
                <w:vertAlign w:val="superscript"/>
                <w:rtl w:val="0"/>
              </w:rPr>
              <w:t xml:space="preserve">13</w:t>
            </w:r>
            <w:r w:rsidR="00000000" w:rsidRPr="00000000" w:rsidDel="00000000">
              <w:rPr>
                <w:rtl w:val="0"/>
              </w:rPr>
              <w:t xml:space="preserve">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nozīmīga atjaunošana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2. panta 22. punkta b) apakšpunkts nosaka, ka</w:t>
            </w:r>
            <w:r w:rsidR="00000000" w:rsidRPr="00000000" w:rsidDel="00000000">
              <w:rPr>
                <w:i w:val="1"/>
                <w:rtl w:val="0"/>
              </w:rPr>
              <w:t xml:space="preserve"> "nozīmīga atjaunošana" </w:t>
            </w:r>
            <w:r w:rsidR="00000000" w:rsidRPr="00000000" w:rsidDel="00000000">
              <w:rPr>
                <w:rtl w:val="0"/>
              </w:rPr>
              <w:t xml:space="preserve">ir vienkārši, ja</w:t>
            </w:r>
            <w:r w:rsidR="00000000" w:rsidRPr="00000000" w:rsidDel="00000000">
              <w:rPr>
                <w:i w:val="1"/>
                <w:rtl w:val="0"/>
              </w:rPr>
              <w:t xml:space="preserve"> "renovāciju veic vairāk nekā 25 % norobežojošās konstrukcijas virsmas",</w:t>
            </w:r>
            <w:r w:rsidR="00000000" w:rsidRPr="00000000" w:rsidDel="00000000">
              <w:rPr>
                <w:rtl w:val="0"/>
              </w:rPr>
              <w:t xml:space="preserve"> bet projektā papildus uzsvērts, ka tai jābūt ar </w:t>
            </w:r>
            <w:r w:rsidR="00000000" w:rsidRPr="00000000" w:rsidDel="00000000">
              <w:rPr>
                <w:i w:val="1"/>
                <w:rtl w:val="0"/>
              </w:rPr>
              <w:t xml:space="preserve">"ēkas energoefektivitāti saistītai ēkas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Iemesls definīcijā papildus iekļautajai norādei uz atjaunošanu, </w:t>
            </w:r>
            <w:r w:rsidR="00000000" w:rsidRPr="00000000" w:rsidDel="00000000">
              <w:rPr>
                <w:i w:val="1"/>
                <w:rtl w:val="0"/>
              </w:rPr>
              <w:t xml:space="preserve">kas saistīta ar ēkas energoefektivitāti, </w:t>
            </w:r>
            <w:r w:rsidR="00000000" w:rsidRPr="00000000" w:rsidDel="00000000">
              <w:rPr>
                <w:rtl w:val="0"/>
              </w:rPr>
              <w:t xml:space="preserve">izriet no tā, ka Būvniecības likums ar terminu "atjaunošana" nosaka plašāku būvdarbu tvērumu, nekā tas izriet no Direktīvas 2024/1275 konteksta. Būvniecības likums  atjaunošanu nosaka arī darbus, kad bez saistības ar energoefektivitātes jomu tiek veikti funkcionāli vai tehniski uzlabojumi. Papildinājums definīcijā ir nepieciešams, lai nenozīmīgi un ar energoefektivitāti nesaistīti, piemēram, krāsošanas darbi neizraisītu "domino efektu" prasību piemērošanā, kā rezultātā fasādes nokrāsošana būtu pieļaujama tikai tad, ja ierīko uzlādes punktus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rtl w:val="0"/>
              </w:rPr>
              <w:t xml:space="preserve">) Par papildinājumu </w:t>
            </w:r>
            <w:r w:rsidR="00000000" w:rsidRPr="00000000" w:rsidDel="00000000">
              <w:rPr>
                <w:i w:val="1"/>
                <w:rtl w:val="0"/>
              </w:rPr>
              <w:t xml:space="preserve">“autostāvvieta, kas atrodas fiziski blakus ēkai</w:t>
            </w:r>
            <w:r w:rsidR="00000000" w:rsidRPr="00000000" w:rsidDel="00000000">
              <w:rPr>
                <w:rtl w:val="0"/>
              </w:rPr>
              <w:t xml:space="preserve">”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Direktīvas 2024/1275 2. panta 65. punktā (pārņemts Noteikumu 3.46. apakšpunktā) nav paredzēts precizējošs nosacījums "vieta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2.panta 65.punkts - </w:t>
            </w:r>
            <w:r w:rsidR="00000000" w:rsidRPr="00000000" w:rsidDel="00000000">
              <w:rPr>
                <w:i w:val="1"/>
                <w:rtl w:val="0"/>
              </w:rPr>
              <w:t xml:space="preserve">"“autostāvvieta, kas atrodas fiziski blakus ēkai” ir autostāvvieta, kas paredzēta ēkas iemītnieku, apmeklētāju vai darbinieku lietošanai un kas atrodas ēkas īpašuma teritorijā vai ēkas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3.46 punktu  - </w:t>
            </w:r>
            <w:r w:rsidR="00000000" w:rsidRPr="00000000" w:rsidDel="00000000">
              <w:rPr>
                <w:i w:val="1"/>
                <w:rtl w:val="0"/>
              </w:rPr>
              <w:t xml:space="preserve">"autostāvvieta, kas atrodas fiziski blakus ēkai – automašīnai paredzēta vieta, kas paredzēta ēkas iemītnieku, apmeklētāju vai darbinieku lietošanai un kas atrodas ēkas īpašuma teritorijā vai ēkas tiešā tuvumā. </w:t>
            </w:r>
            <w:r w:rsidR="00000000" w:rsidRPr="00000000" w:rsidDel="00000000">
              <w:rPr>
                <w:i w:val="1"/>
                <w:u w:val="single"/>
                <w:rtl w:val="0"/>
              </w:rPr>
              <w:t xml:space="preserve">Šā apakšpunkta ietvarā tā ir 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Definīcija ir ārpus  11.</w:t>
            </w:r>
            <w:r w:rsidR="00000000" w:rsidRPr="00000000" w:rsidDel="00000000">
              <w:rPr>
                <w:vertAlign w:val="superscript"/>
                <w:rtl w:val="0"/>
              </w:rPr>
              <w:t xml:space="preserve">1</w:t>
            </w:r>
            <w:r w:rsidR="00000000" w:rsidRPr="00000000" w:rsidDel="00000000">
              <w:rPr>
                <w:rtl w:val="0"/>
              </w:rPr>
              <w:t xml:space="preserve"> nodaļas un 12.12. apakšnodaļas, līdz ar to var rasties pārpratumi par to, kā ir jāsaprot definīcijā minētā </w:t>
            </w:r>
            <w:r w:rsidR="00000000" w:rsidRPr="00000000" w:rsidDel="00000000">
              <w:rPr>
                <w:i w:val="1"/>
                <w:rtl w:val="0"/>
              </w:rPr>
              <w:t xml:space="preserve">ēka</w:t>
            </w:r>
            <w:r w:rsidR="00000000" w:rsidRPr="00000000" w:rsidDel="00000000">
              <w:rPr>
                <w:rtl w:val="0"/>
              </w:rPr>
              <w:t xml:space="preserve">, proti, vai tā ir </w:t>
            </w:r>
            <w:r w:rsidR="00000000" w:rsidRPr="00000000" w:rsidDel="00000000">
              <w:rPr>
                <w:i w:val="1"/>
                <w:rtl w:val="0"/>
              </w:rPr>
              <w:t xml:space="preserve">ēka </w:t>
            </w:r>
            <w:r w:rsidR="00000000" w:rsidRPr="00000000" w:rsidDel="00000000">
              <w:rPr>
                <w:rtl w:val="0"/>
              </w:rPr>
              <w:t xml:space="preserve">Būvniecības likuma izpratnē, vai izpratnē, kas minēta Direktīvā 2024/1275 un skaidro noteikumu projekta 130.</w:t>
            </w:r>
            <w:r w:rsidR="00000000" w:rsidRPr="00000000" w:rsidDel="00000000">
              <w:rPr>
                <w:vertAlign w:val="superscript"/>
                <w:rtl w:val="0"/>
              </w:rPr>
              <w:t xml:space="preserve">19</w:t>
            </w:r>
            <w:r w:rsidR="00000000" w:rsidRPr="00000000" w:rsidDel="00000000">
              <w:rPr>
                <w:rtl w:val="0"/>
              </w:rPr>
              <w:t xml:space="preserve">punkts. Minētais papildinājums iekļauts ar mērķi novērst iespējamos pārpratumus.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bezemisijas ēkas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7. panta 1. punktā noteikts, ka "Dalībvalstis nodrošina, ka jaunas ēkas ir bezemisiju ēkas saskaņā ar 11. pantu", bet projekta 1.8. apakšpunkts paredz vienkārši to, ka "Jaunu ēku projektē kā bezemisiju ēku", nenosakot nepieciešamību ievērot prasības, kas izriet no tiesību normām, kur pārņemts direktīvas 2024/1275 11. pants. Tāpat vēršam uzmanību uz saistību arī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deleģējumam būvnormatīvi, tajā skaitā LBN 200-21 nosaka minimālās tehnikās prasības jaunu būvju vai to pārbūvju projektēšanā. Kā viena no šādām prasībām ir nosakāms nosacījums ēku projektēt kā bezemisiju ēku. Definēt bezemisiju ēku un noteikt tai izvirzītās prasības nav būvnormatīvu jomas jautājums, tātad, izrietēs no citiem normatīvajiem aktiem, kas transponēs iebildumā minētās direktīvas normas. Noteikumu projekts netransponē direktīvas 2024/1275 11.pantu.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norādi uz to, ka Direktīvas 2024/1275 2.pamta otro daļu transponēs un bezemisijas ēkas definīciju noteiks likumprojekts “Grozījumi Ēku energoefektivitātes likumā” [25-TA-2969].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Direktīvas 2024/1275 8. panta 1. punkta 2. daļa nosaka, ka "Papildus vai kā alternatīvu prasības var piemērot renovētajiem būves elementiem", projekts nosaka tikai alternatīvu, nesniedzot izvērstāku skaidrojumu. Tāpat projekts nenodrošina izpratni "minimālajām prasībām energoefektivitātes jomā", kurām jābūt noteiktām saskaņā ar direktīvas 2024/1275 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netransponē direktīvas 2024/1275 5.pantu.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Direktīvas 2024/1275 8. panta 2. punkts (pārņemts Noteikumu 130.</w:t>
            </w:r>
            <w:r w:rsidR="00000000" w:rsidRPr="00000000" w:rsidDel="00000000">
              <w:rPr>
                <w:i w:val="1"/>
                <w:vertAlign w:val="superscript"/>
                <w:rtl w:val="0"/>
              </w:rPr>
              <w:t xml:space="preserve">18 </w:t>
            </w:r>
            <w:r w:rsidR="00000000" w:rsidRPr="00000000" w:rsidDel="00000000">
              <w:rPr>
                <w:i w:val="1"/>
                <w:rtl w:val="0"/>
              </w:rPr>
              <w:t xml:space="preserve">punktā) attiecas uz gadījumiem, kad pāraprīko vai nomaina būves elementu, bet projekts pārņem vienību tikai attiecībā uz būves elementa nomaiņu;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Ņemts vērā precizējot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(tagad 130.</w:t>
            </w:r>
            <w:r w:rsidR="00000000" w:rsidRPr="00000000" w:rsidDel="00000000">
              <w:rPr>
                <w:vertAlign w:val="superscript"/>
                <w:rtl w:val="0"/>
              </w:rPr>
              <w:t xml:space="preserve">14</w:t>
            </w:r>
            <w:r w:rsidR="00000000" w:rsidRPr="00000000" w:rsidDel="00000000">
              <w:rPr>
                <w:rtl w:val="0"/>
              </w:rPr>
              <w:t xml:space="preserve">) punkts precizēts, nosakot, ka </w:t>
            </w:r>
            <w:r w:rsidR="00000000" w:rsidRPr="00000000" w:rsidDel="00000000">
              <w:rPr>
                <w:i w:val="1"/>
                <w:rtl w:val="0"/>
              </w:rPr>
              <w:t xml:space="preserve">"Uzlabojot vai mainot būves elementu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Direktīvas 2024/1275 14. panta 4. punkta 3. daļa (līdzīgi arī 14. panta 1. punkta 2. daļa) paredz nosacījumus 1. un 2. daļas piemērošanai. Noteikumu 130.8 un 130.9 punkts, pārņemot šīs vienības, tās definē kā skaidrojumus 130.6 un 130.7 punktā noteiktajam, nevis kā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Būvnormatīvā noteiktās prasības izriet no regulējuma kopā. Nepastāv aizliegums prasības sadalīt pa dažādiem punktiem, kas viens otru papildina. Varam piekrist, ka konstrukcija varētu būt arī veiksmīgāka un esam atvērti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 Direktīvas 2024/1275 10. panta 3. punkta 1. daļas e) apakšpunkts paredz nosacījumu attiecībā uz "visām jaunām autostāvvietām ar jumtu, kas fiziski atrodas blakus ēkām", bet projekta 1.6. apakšpunktā pārņemts, nosakot,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11.pantam arī nojume ir ēka. Minētā direktīvas norma atsaucās uz šauru situāciju, proti, kad autostāvvieta ir ar jumtu (atbilstoši Būvniecības likumam ir ēka) un vienlaikus tā ir blakus citai ēkai (ēkai, kas terminam atbilst direktīvas tvērumā, tātad, attiecās energoefektivitātes jomas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iemesla noteikumu projekts to min kā autostāvvietu, </w:t>
            </w:r>
            <w:r w:rsidR="00000000" w:rsidRPr="00000000" w:rsidDel="00000000">
              <w:rPr>
                <w:i w:val="1"/>
                <w:rtl w:val="0"/>
              </w:rPr>
              <w:t xml:space="preserve">"kas atrodas fiziski blakus </w:t>
            </w:r>
            <w:r w:rsidR="00000000" w:rsidRPr="00000000" w:rsidDel="00000000">
              <w:rPr>
                <w:i w:val="1"/>
                <w:u w:val="single"/>
                <w:rtl w:val="0"/>
              </w:rPr>
              <w:t xml:space="preserve">citai </w:t>
            </w:r>
            <w:r w:rsidR="00000000" w:rsidRPr="00000000" w:rsidDel="00000000">
              <w:rPr>
                <w:i w:val="1"/>
                <w:rtl w:val="0"/>
              </w:rPr>
              <w:t xml:space="preserve">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Direktīvas 2024/1275 13. panta 11. punkts nosaka, ka no tā izrietošās prasības īstenojamas "ja tas ir tehniski, ekonomiski un funkcionāli iespējams", bet projekta 1.6. apakšpunktā (Noteikumu 130.</w:t>
            </w:r>
            <w:r w:rsidR="00000000" w:rsidRPr="00000000" w:rsidDel="00000000">
              <w:rPr>
                <w:i w:val="1"/>
                <w:vertAlign w:val="superscript"/>
                <w:rtl w:val="0"/>
              </w:rPr>
              <w:t xml:space="preserve">12</w:t>
            </w:r>
            <w:r w:rsidR="00000000" w:rsidRPr="00000000" w:rsidDel="00000000">
              <w:rPr>
                <w:i w:val="1"/>
                <w:rtl w:val="0"/>
              </w:rPr>
              <w:t xml:space="preserve"> apakšpunkts) noteikts "ja tas ir tehniski iespējams un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precizējot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"130.</w:t>
            </w:r>
            <w:r w:rsidR="00000000" w:rsidRPr="00000000" w:rsidDel="00000000">
              <w:rPr>
                <w:i w:val="1"/>
                <w:vertAlign w:val="superscript"/>
                <w:rtl w:val="0"/>
              </w:rPr>
              <w:t xml:space="preserve">12</w:t>
            </w:r>
            <w:r w:rsidR="00000000" w:rsidRPr="00000000" w:rsidDel="00000000">
              <w:rPr>
                <w:i w:val="1"/>
                <w:rtl w:val="0"/>
              </w:rPr>
              <w:t xml:space="preserve">. Ja tas ir tehniski, ekonomiski un funkcionāli iespējams, tad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Direktīvas 2024/1275 14. panta 1. punkta c) apakšpunkts nosaka, ka dalībvalstis nodrošina, ka "tiek ierīkotas velosipēdu stāvvietas vietas, kas veido vismaz 15 % no nedzīvojamo ēku vidējās lietotāju kapacitātes vai 10 % no kopējās lietotāju kapacitātes, ņemot vērā platību, kas vajadzīga arī lielāka izmēra velosipēdiem nekā standarta velosipēdi". Projekta 1.6. apakšpunkts (Noteikumu 130.</w:t>
            </w:r>
            <w:r w:rsidR="00000000" w:rsidRPr="00000000" w:rsidDel="00000000">
              <w:rPr>
                <w:vertAlign w:val="superscript"/>
                <w:rtl w:val="0"/>
              </w:rPr>
              <w:t xml:space="preserve">6</w:t>
            </w:r>
            <w:r w:rsidR="00000000" w:rsidRPr="00000000" w:rsidDel="00000000">
              <w:rPr>
                <w:rtl w:val="0"/>
              </w:rPr>
              <w:t xml:space="preserve">3. apakšpunkts) pārņem daļu par 10% kapacitāti, nesniedzot papildus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Citējot vadlīnijas </w:t>
            </w:r>
            <w:r w:rsidR="00000000" w:rsidRPr="00000000" w:rsidDel="00000000">
              <w:rPr>
                <w:i w:val="1"/>
                <w:rtl w:val="0"/>
              </w:rPr>
              <w:t xml:space="preserve">(Komisijas 26.11.2025 paziņojums, kurā sniegti norādījumi par jauniem vai būtiski grozītiem pārstrādātās Ēku energosnieguma direktīvas (ES) 2024/1275 noteikumiem Ilgtspējīgas mobilitātes infrastruktūra (14. pants)) </w:t>
            </w:r>
            <w:r w:rsidR="00000000" w:rsidRPr="00000000" w:rsidDel="00000000">
              <w:rPr>
                <w:i w:val="1"/>
                <w:rtl w:val="0"/>
              </w:rPr>
              <w:t xml:space="preserve">"Piemērojot 14. pantu, dalībvalstis var brīvi izvēlēties vai nu kopējo, vai vidējo lietotāju kapacitāti kā rādītāju, ko izmantot par pamatu prasībām par velosipēdu stāvvietas vietām. Tās var, piemēram, izvēlēties visvieglāk pieejamo rādītāju, kas rada mazāko iespējamo administratīvo slogu ēku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ir lēmusi izvēlēties vienu no Direktīvā 2024/1275 paredzētajiem kritērijiem - to, kas salīdzinoši varētu prasīt vismazāko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Direktīvas 2024/1275 14. panta 1. punkta 3. daļas nosacījums īstenojams, ievērojot "ciktāl tas ir tehniski un ekonomiski iespējams un pamatojams", kas neizriet no projekta 1.6. apakšpunkta (Noteikumu 130.13punkts).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14.pantā nosaka ka "Dalībvalstis nodrošina, ka pirmās daļas b) apakšpunktā minēto iepriekš ievilkto kabeļu un ierīkoto kabeļkanālu izmērs ir tāds, lai uzlādes punktus vajadzīgajā skaitā varētu efektīvi izmantot vienlaikus, un</w:t>
            </w:r>
            <w:r w:rsidR="00000000" w:rsidRPr="00000000" w:rsidDel="00000000">
              <w:rPr>
                <w:u w:val="single"/>
                <w:rtl w:val="0"/>
              </w:rPr>
              <w:t xml:space="preserve"> attiecīgā gadījumā sniedz atbalstu</w:t>
            </w:r>
            <w:r w:rsidR="00000000" w:rsidRPr="00000000" w:rsidDel="00000000">
              <w:rPr>
                <w:rtl w:val="0"/>
              </w:rPr>
              <w:t xml:space="preserve"> slodzes vai uzlādes pārvaldības sistēmas </w:t>
            </w:r>
            <w:r w:rsidR="00000000" w:rsidRPr="00000000" w:rsidDel="00000000">
              <w:rPr>
                <w:u w:val="single"/>
                <w:rtl w:val="0"/>
              </w:rPr>
              <w:t xml:space="preserve">uzstādīšanai, ciktāl tas ir tehniski un ekonomiski iespējam</w:t>
            </w:r>
            <w:r w:rsidR="00000000" w:rsidRPr="00000000" w:rsidDel="00000000">
              <w:rPr>
                <w:rtl w:val="0"/>
              </w:rPr>
              <w:t xml:space="preserve">s un pamatojams."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Citējot vadlīnijas </w:t>
            </w:r>
            <w:r w:rsidR="00000000" w:rsidRPr="00000000" w:rsidDel="00000000">
              <w:rPr>
                <w:i w:val="1"/>
                <w:rtl w:val="0"/>
              </w:rPr>
              <w:t xml:space="preserve">(Komisijas 26.11.2025 paziņojums, kurā sniegti norādījumi par jauniem vai būtiski grozītiem pārstrādātās Ēku energosnieguma direktīvas (ES) 2024/1275 noteikumiem Ilgtspējīgas mobilitātes infrastruktūra (14. pants)) </w:t>
            </w:r>
            <w:r w:rsidR="00000000" w:rsidRPr="00000000" w:rsidDel="00000000">
              <w:rPr>
                <w:i w:val="1"/>
                <w:rtl w:val="0"/>
              </w:rPr>
              <w:t xml:space="preserve">"Saskaņā ar 14. panta 1. punktu dalībvalstīm attiecīgā gadījumā būtu jāsniedz atbalsts slodzes vai uzlādes pārvaldības sistēmas uzstādīšanai jaunās un renovētās nedzīvojamās ēkās ar vairāk nekā piecām autostāvvietām, ciktāl tas ir tehniski un ekonomiski iespējams un pamatojams".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un tās piemērošanas vadlīnijām izriet, ka direktīvā minētā atruna </w:t>
            </w:r>
            <w:r w:rsidR="00000000" w:rsidRPr="00000000" w:rsidDel="00000000">
              <w:rPr>
                <w:i w:val="1"/>
                <w:rtl w:val="0"/>
              </w:rPr>
              <w:t xml:space="preserve">"ciktāl tas ir tehniski un ekonomiski iespējams un pamatojams"</w:t>
            </w:r>
            <w:r w:rsidR="00000000" w:rsidRPr="00000000" w:rsidDel="00000000">
              <w:rPr>
                <w:rtl w:val="0"/>
              </w:rPr>
              <w:t xml:space="preserve">, attiecās tikai uz </w:t>
            </w:r>
            <w:r w:rsidR="00000000" w:rsidRPr="00000000" w:rsidDel="00000000">
              <w:rPr>
                <w:u w:val="single"/>
                <w:rtl w:val="0"/>
              </w:rPr>
              <w:t xml:space="preserve">atbalstu</w:t>
            </w:r>
            <w:r w:rsidR="00000000" w:rsidRPr="00000000" w:rsidDel="00000000">
              <w:rPr>
                <w:rtl w:val="0"/>
              </w:rPr>
              <w:t xml:space="preserve"> uzlādes pārvaldības sistēmas ierīkošanai, savukārt atbalsta jautājumi nav prasība projektēšanā. Minētā atruna nav attiecināma uz kabeļu iepriekšēju ierīkošanu un iespēju to kombinēt ar slodzes vai uzlādes pārvaldības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atbilstoši Ministru kabineta 2009. gada 3. februāra noteikumu Nr. 108 "Normatīvo aktu projektu sagatavošanas noteikumi" (turpmāk - noteikumi Nr. 108) 131. punktam. Nacionālajos normatīvajos aktos nav pieļaujamas atsauces uz starptautisko tiesību dokumentiem, kas nav juridiski saistoši, nav tulkoti latviešu valodā un attiecīgā kārtībā publicēti, kā arī nav pieļaujamas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protokoli).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atsauces uz standartiem, lūdzam atsauces noformēt konkrēti un atbilstoši Noteikumu Nr. 108 5. nodaļai. Vienlaikus 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gadījumā šie standarti arī konkrēti jānorāda vai anotācijā jāskaidro, kādā normatīvajā aktā minētie standarti ir ietverti. Konkrētajā gadījumā no projekta izriet vienkārši vispārīga, nekonkretizēta atsauce. Attiecīgi lūdzam projektu atbilstoši precizēt vai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noprotams, Direktīva kā arī par to izdotās vadlīnijas, neatsaucās uz konkrētiem standartiem. Ekonomikas ministrijas ieskatā minētajā kontekstā piederīga ir atsauce uz attiecīgās jomas regulējumu (ar to domājot regulējumu, kuru pašlaik nosaka Ministru kabineta 2018. gada 6. februāra noteikumi Nr. 78 </w:t>
            </w:r>
            <w:r w:rsidR="00000000" w:rsidRPr="00000000" w:rsidDel="00000000">
              <w:rPr>
                <w:i w:val="1"/>
                <w:rtl w:val="0"/>
              </w:rPr>
              <w:t xml:space="preserve">"Prasības elektrotransportlīdzekļu uzlādes, dabasgāzes uzpildes, ūdeņraža uzpildes un krasta elektropadeves iekārtām"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plānoto Ministru kabineta 2021. gada 19. oktobra noteikumu Nr. 693 "Būvju vispārīgo prasību būvnormatīvs LBN 200-21" (turpmāk - noteikumi) 130.</w:t>
            </w:r>
            <w:r w:rsidR="00000000" w:rsidRPr="00000000" w:rsidDel="00000000">
              <w:rPr>
                <w:vertAlign w:val="superscript"/>
                <w:rtl w:val="0"/>
              </w:rPr>
              <w:t xml:space="preserve">14</w:t>
            </w:r>
            <w:r w:rsidR="00000000" w:rsidRPr="00000000" w:rsidDel="00000000">
              <w:rPr>
                <w:rtl w:val="0"/>
              </w:rPr>
              <w:t xml:space="preserve"> punktu kontekstā ar 130.</w:t>
            </w:r>
            <w:r w:rsidR="00000000" w:rsidRPr="00000000" w:rsidDel="00000000">
              <w:rPr>
                <w:vertAlign w:val="superscript"/>
                <w:rtl w:val="0"/>
              </w:rPr>
              <w:t xml:space="preserve">6</w:t>
            </w:r>
            <w:r w:rsidR="00000000" w:rsidRPr="00000000" w:rsidDel="00000000">
              <w:rPr>
                <w:rtl w:val="0"/>
              </w:rPr>
              <w:t xml:space="preserve">3. un 130.</w:t>
            </w:r>
            <w:r w:rsidR="00000000" w:rsidRPr="00000000" w:rsidDel="00000000">
              <w:rPr>
                <w:vertAlign w:val="superscript"/>
                <w:rtl w:val="0"/>
              </w:rPr>
              <w:t xml:space="preserve">7</w:t>
            </w:r>
            <w:r w:rsidR="00000000" w:rsidRPr="00000000" w:rsidDel="00000000">
              <w:rPr>
                <w:rtl w:val="0"/>
              </w:rPr>
              <w:t xml:space="preserve">3.apakšpunktā noteikto un tajā pārņemtajām Eiropas Parlamenta un Padomes 2024. gada 24. aprīļa Direktīvas (ES) 2024/1275 par ēku energosniegumu (turpmāk - direktīva 2024/1275) prasībām. Saprotams, ka Noteikumu 130.</w:t>
            </w:r>
            <w:r w:rsidR="00000000" w:rsidRPr="00000000" w:rsidDel="00000000">
              <w:rPr>
                <w:vertAlign w:val="superscript"/>
                <w:rtl w:val="0"/>
              </w:rPr>
              <w:t xml:space="preserve">14</w:t>
            </w:r>
            <w:r w:rsidR="00000000" w:rsidRPr="00000000" w:rsidDel="00000000">
              <w:rPr>
                <w:rtl w:val="0"/>
              </w:rPr>
              <w:t xml:space="preserve"> punkts pārņem direktīvas 2024/1275 14. panta 4. punkta 4. daļā noteikto un ir saistīts ar Noteikumu 130.</w:t>
            </w:r>
            <w:r w:rsidR="00000000" w:rsidRPr="00000000" w:rsidDel="00000000">
              <w:rPr>
                <w:vertAlign w:val="superscript"/>
                <w:rtl w:val="0"/>
              </w:rPr>
              <w:t xml:space="preserve">7</w:t>
            </w:r>
            <w:r w:rsidR="00000000" w:rsidRPr="00000000" w:rsidDel="00000000">
              <w:rPr>
                <w:rtl w:val="0"/>
              </w:rPr>
              <w:t xml:space="preserve"> punktu, bet ne ar Noteikumu 130.</w:t>
            </w:r>
            <w:r w:rsidR="00000000" w:rsidRPr="00000000" w:rsidDel="00000000">
              <w:rPr>
                <w:vertAlign w:val="superscript"/>
                <w:rtl w:val="0"/>
              </w:rPr>
              <w:t xml:space="preserve">6</w:t>
            </w:r>
            <w:r w:rsidR="00000000" w:rsidRPr="00000000" w:rsidDel="00000000">
              <w:rPr>
                <w:rtl w:val="0"/>
              </w:rPr>
              <w:t xml:space="preserve"> punktu, jo tajā tiek pārņemts direktīvas 2024/1275 14. panta 1. punkts, uz kuru neattiecas direktīvas 2024/1275 14. panta 4. punkta 4. daļa (tā paredz atkāpi tikai no 14. panta 4. punkta 1. daļas). Pamatojoties uz izvērtējumu, lūdzam precizēt projektu un papildināt tā skaidrojumus, piemēram, par to, kā praktiski piemērojama minētā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noteikumu 130.</w:t>
            </w:r>
            <w:r w:rsidR="00000000" w:rsidRPr="00000000" w:rsidDel="00000000">
              <w:rPr>
                <w:vertAlign w:val="superscript"/>
                <w:rtl w:val="0"/>
              </w:rPr>
              <w:t xml:space="preserve">14</w:t>
            </w:r>
            <w:r w:rsidR="00000000" w:rsidRPr="00000000" w:rsidDel="00000000">
              <w:rPr>
                <w:rtl w:val="0"/>
              </w:rPr>
              <w:t xml:space="preserve"> punktu arī kontekstā ar 130.</w:t>
            </w:r>
            <w:r w:rsidR="00000000" w:rsidRPr="00000000" w:rsidDel="00000000">
              <w:rPr>
                <w:vertAlign w:val="superscript"/>
                <w:rtl w:val="0"/>
              </w:rPr>
              <w:t xml:space="preserve">15</w:t>
            </w:r>
            <w:r w:rsidR="00000000" w:rsidRPr="00000000" w:rsidDel="00000000">
              <w:rPr>
                <w:rtl w:val="0"/>
              </w:rPr>
              <w:t xml:space="preserve"> punktu, jo abi ir pirmsškietami savstarpēji saistīti un vērsti uz viena jautājuma risināšanu. Iesakām izvērtēt iespēju tos konsolidēt.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aspekti izvērtēti un pārrunāti 15.04.2026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(tagad 130.</w:t>
            </w:r>
            <w:r w:rsidR="00000000" w:rsidRPr="00000000" w:rsidDel="00000000">
              <w:rPr>
                <w:vertAlign w:val="superscript"/>
                <w:rtl w:val="0"/>
              </w:rPr>
              <w:t xml:space="preserve">18</w:t>
            </w:r>
            <w:r w:rsidR="00000000" w:rsidRPr="00000000" w:rsidDel="00000000">
              <w:rPr>
                <w:rtl w:val="0"/>
              </w:rPr>
              <w:t xml:space="preserve">) punkts no 130.</w:t>
            </w:r>
            <w:r w:rsidR="00000000" w:rsidRPr="00000000" w:rsidDel="00000000">
              <w:rPr>
                <w:vertAlign w:val="superscript"/>
                <w:rtl w:val="0"/>
              </w:rPr>
              <w:t xml:space="preserve">15</w:t>
            </w:r>
            <w:r w:rsidR="00000000" w:rsidRPr="00000000" w:rsidDel="00000000">
              <w:rPr>
                <w:rtl w:val="0"/>
              </w:rPr>
              <w:t xml:space="preserve"> (tagad 130.</w:t>
            </w:r>
            <w:r w:rsidR="00000000" w:rsidRPr="00000000" w:rsidDel="00000000">
              <w:rPr>
                <w:vertAlign w:val="superscript"/>
                <w:rtl w:val="0"/>
              </w:rPr>
              <w:t xml:space="preserve">19</w:t>
            </w:r>
            <w:r w:rsidR="00000000" w:rsidRPr="00000000" w:rsidDel="00000000">
              <w:rPr>
                <w:rtl w:val="0"/>
              </w:rPr>
              <w:t xml:space="preserve">) punkta atšķiras gan ar situāciju, gan ar objektu, uz ko tas attiecās, proti, 130.</w:t>
            </w:r>
            <w:r w:rsidR="00000000" w:rsidRPr="00000000" w:rsidDel="00000000">
              <w:rPr>
                <w:vertAlign w:val="superscript"/>
                <w:rtl w:val="0"/>
              </w:rPr>
              <w:t xml:space="preserve">14</w:t>
            </w:r>
            <w:r w:rsidR="00000000" w:rsidRPr="00000000" w:rsidDel="00000000">
              <w:rPr>
                <w:rtl w:val="0"/>
              </w:rPr>
              <w:t xml:space="preserve">(tagad 130.18)  punkts ir vispārīgāka norma attiecībā pret 130.</w:t>
            </w:r>
            <w:r w:rsidR="00000000" w:rsidRPr="00000000" w:rsidDel="00000000">
              <w:rPr>
                <w:vertAlign w:val="superscript"/>
                <w:rtl w:val="0"/>
              </w:rPr>
              <w:t xml:space="preserve">15</w:t>
            </w:r>
            <w:r w:rsidR="00000000" w:rsidRPr="00000000" w:rsidDel="00000000">
              <w:rPr>
                <w:rtl w:val="0"/>
              </w:rPr>
              <w:t xml:space="preserve"> (tagad 130.19) punktu, savukārt 130.</w:t>
            </w:r>
            <w:r w:rsidR="00000000" w:rsidRPr="00000000" w:rsidDel="00000000">
              <w:rPr>
                <w:vertAlign w:val="superscript"/>
                <w:rtl w:val="0"/>
              </w:rPr>
              <w:t xml:space="preserve">15 </w:t>
            </w:r>
            <w:r w:rsidR="00000000" w:rsidRPr="00000000" w:rsidDel="00000000">
              <w:rPr>
                <w:rtl w:val="0"/>
              </w:rPr>
              <w:t xml:space="preserve">(tagad 130.</w:t>
            </w:r>
            <w:r w:rsidR="00000000" w:rsidRPr="00000000" w:rsidDel="00000000">
              <w:rPr>
                <w:vertAlign w:val="superscript"/>
                <w:rtl w:val="0"/>
              </w:rPr>
              <w:t xml:space="preserve">19</w:t>
            </w:r>
            <w:r w:rsidR="00000000" w:rsidRPr="00000000" w:rsidDel="00000000">
              <w:rPr>
                <w:rtl w:val="0"/>
              </w:rPr>
              <w:t xml:space="preserve">) attiecināms tikai uz nozīmīgām pārbūvēm un regulējumā jau pieļautu atkāpi velosipēdu stāvvietu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Atšķiras arī katra punkta </w:t>
            </w:r>
            <w:r w:rsidR="00000000" w:rsidRPr="00000000" w:rsidDel="00000000">
              <w:rPr>
                <w:i w:val="1"/>
                <w:rtl w:val="0"/>
              </w:rPr>
              <w:t xml:space="preserve">raksturs</w:t>
            </w:r>
            <w:r w:rsidR="00000000" w:rsidRPr="00000000" w:rsidDel="00000000">
              <w:rPr>
                <w:rtl w:val="0"/>
              </w:rPr>
              <w:t xml:space="preserve">, proti 130.</w:t>
            </w:r>
            <w:r w:rsidR="00000000" w:rsidRPr="00000000" w:rsidDel="00000000">
              <w:rPr>
                <w:vertAlign w:val="superscript"/>
                <w:rtl w:val="0"/>
              </w:rPr>
              <w:t xml:space="preserve">14 </w:t>
            </w:r>
            <w:r w:rsidR="00000000" w:rsidRPr="00000000" w:rsidDel="00000000">
              <w:rPr>
                <w:rtl w:val="0"/>
              </w:rPr>
              <w:t xml:space="preserve">(tagad 130.</w:t>
            </w:r>
            <w:r w:rsidR="00000000" w:rsidRPr="00000000" w:rsidDel="00000000">
              <w:rPr>
                <w:vertAlign w:val="superscript"/>
                <w:rtl w:val="0"/>
              </w:rPr>
              <w:t xml:space="preserve">18</w:t>
            </w:r>
            <w:r w:rsidR="00000000" w:rsidRPr="00000000" w:rsidDel="00000000">
              <w:rPr>
                <w:rtl w:val="0"/>
              </w:rPr>
              <w:t xml:space="preserve">)punkts precīzi definē kārtību kādā ir pieļaujamas atkāpes (ar individuālu pamatojumu, kas jāiekļauj dokumentācijā), savukārt 130.</w:t>
            </w:r>
            <w:r w:rsidR="00000000" w:rsidRPr="00000000" w:rsidDel="00000000">
              <w:rPr>
                <w:vertAlign w:val="superscript"/>
                <w:rtl w:val="0"/>
              </w:rPr>
              <w:t xml:space="preserve">15 </w:t>
            </w:r>
            <w:r w:rsidR="00000000" w:rsidRPr="00000000" w:rsidDel="00000000">
              <w:rPr>
                <w:rtl w:val="0"/>
              </w:rPr>
              <w:t xml:space="preserve"> (tagad 130.</w:t>
            </w:r>
            <w:r w:rsidR="00000000" w:rsidRPr="00000000" w:rsidDel="00000000">
              <w:rPr>
                <w:vertAlign w:val="superscript"/>
                <w:rtl w:val="0"/>
              </w:rPr>
              <w:t xml:space="preserve">19</w:t>
            </w:r>
            <w:r w:rsidR="00000000" w:rsidRPr="00000000" w:rsidDel="00000000">
              <w:rPr>
                <w:rtl w:val="0"/>
              </w:rPr>
              <w:t xml:space="preserve">) punkts nosaka situāciju, kurā atkāpe tiek paredzēta pašā normatīvajā aktā, tātad, tiek pieļauta arī tad, ja dokumentācija nesatur pamatojumu attiecīgajai atkāpei.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terminu  “nozīmīga atjaunošana”, ka lielākā daļa pašvaldību projektu automātiski kļūst par “nozīmīgu atjaunošanu”, ar visām jaunajām izmaksu un prasību sekām. šis termins tiek lietots pārāk plaši un attieksies vismaz uz 25 % pašvaldību ēku, kas nav samērīgi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 nozīmiga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2024/1275 neparedz iespēju dalībvalstij mainīt "nozīmīgas atjaunošanas" definīcijā iekļautos 25% uz lielāku piemēram 50% ar mērķi mainīt ēku īpatsvaru, uz kuru attiektos visas "nozīmīgai atjaunošanai" piekritīgās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130.51. — visas jaunās publiskās ēkas (no 2026), termiņs nav reāls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130.51. 2028 gads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un tās spēkā stāšanās laiki izriet no Direktīvas 2024/1275.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alībvalstīm nav dota rīcības brīvība termiņus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uzsverams, ka noteikumu projekts paredz iespēju jaunās prasības neattiecināt uz tām iecerēm, kurām būvatļaujas pieteikums iesniegts līdz 29.05.2025.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punktā noteiktais pienākums jaunas ēkas projektēt kā saules enerģijas risinājumiem piemērojamas rada nesamērīgu un ekonomiski nepamatotu slogu būvniecības ierosinātājam. Minētā prasība paredz nodrošināt papildu konstrukciju nestspēju, rezervēt jumta platību, pielāgot jumta slīpumu un orientāciju, kā arī izbūvēt ar saules enerģijas risinājumiem saistīto infrastruktūru (t.sk. kabeļu šahtas u.c.), tādējādi faktiski uzliekot par pienākumu veikt būvdarbus un konstrukciju pastiprināšanu nākotnē iespējamas, bet nenoteiktas ieceres vajadzībām. Šāda pieeja būtiski palielina projektēšanas un būvniecības izmaksas. Turklāt daļa jumta platības var būt jau rezervēta trauksmes sirēnu un to vadības bloku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neparedz izņēmuma gadījumus, kad saules enerģijas risinājumu ieviešana, ņemot vērā ēkas funkcionālo, konstruktīvo vai arhitektonisko specifiku, nav faktiski iespējama vai ir acīmredzami nelietderīga, kā arī nenosaka kārtību šādu apstākļu individuālai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6.</w:t>
            </w:r>
            <w:r w:rsidR="00000000" w:rsidRPr="00000000" w:rsidDel="00000000">
              <w:rPr>
                <w:vertAlign w:val="superscript"/>
                <w:rtl w:val="0"/>
              </w:rPr>
              <w:t xml:space="preserve">2</w:t>
            </w:r>
            <w:r w:rsidR="00000000" w:rsidRPr="00000000" w:rsidDel="00000000">
              <w:rPr>
                <w:rtl w:val="0"/>
              </w:rPr>
              <w:t xml:space="preserve">. punktā ietverto regulējumu, paredzot elastīgāku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 tas paredz iespēju jaunās prasības neattiecināt uz tām iecerēm, kurām būvatļaujas vai līdzīgas nozīmes pieteikums iesniegts līdz 29.05.2025.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papilināts ar izņēmumiem, proti, būvnormatīvā jau noteiktiem gadījumiem, kad var nepiemērot saules enerģijas ierīkošanas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2021.gada 19.oktobra noteikumu Nr.693 “Būvju vispārīgo prasību būvnormatīvs LBN-200-21” 5.5.apakšpunkts jau šobrīd nosaka, ka būves projektē un būvē tā, lai normālas ekspluatācijas apstākļos visā ekonomiski pamatotā ekspluatācijas laikā, ņemot vērā prognozējamās iedarbes uz būvēm, tās atbilstu Būvniecības likumā noteiktām būtiskām prasībām un nodrošinātu vides pieejamības prasības, kam noteikumos atvēlēta atsevišķa nodaļa “3.Vides pieejamība”. Ievērojot minēto, 6.</w:t>
            </w:r>
            <w:r w:rsidR="00000000" w:rsidRPr="00000000" w:rsidDel="00000000">
              <w:rPr>
                <w:vertAlign w:val="superscript"/>
                <w:rtl w:val="0"/>
              </w:rPr>
              <w:t xml:space="preserve">1</w:t>
            </w:r>
            <w:r w:rsidR="00000000" w:rsidRPr="00000000" w:rsidDel="00000000">
              <w:rPr>
                <w:rtl w:val="0"/>
              </w:rPr>
              <w:t xml:space="preserve">4.apakšpunkts būtu svītrojams, jo tas izriet jau no šobrīd spēkā esošā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iebildums uzskatāms par ņemtu vērā atbilstoši 15.04.2026. starpinstitūciju sanāksmē lemtajam.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6.</w:t>
            </w:r>
            <w:r w:rsidR="00000000" w:rsidRPr="00000000" w:rsidDel="00000000">
              <w:rPr>
                <w:vertAlign w:val="superscript"/>
                <w:rtl w:val="0"/>
              </w:rPr>
              <w:t xml:space="preserve">1</w:t>
            </w:r>
            <w:r w:rsidR="00000000" w:rsidRPr="00000000" w:rsidDel="00000000">
              <w:rPr>
                <w:rtl w:val="0"/>
              </w:rPr>
              <w:t xml:space="preserve">punktu paredz noteikt, ka ārpus sākotnējās ieceres tvēruma papildus risina jautājumus arī vides pieejamības jopmā, tik tālu, cik tas tehniski, funkcionāli un ekonomiski iespējams, proti, "tālāk" nekā to paredz pašlaik spēkā esošais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būvnormatīvi, tajā skaitā LBN 200-21*, piemērojami atbilstoši regulējumam Būvniecības likumā. Būvniecības likuma 9.</w:t>
            </w:r>
            <w:r w:rsidR="00000000" w:rsidRPr="00000000" w:rsidDel="00000000">
              <w:rPr>
                <w:vertAlign w:val="superscript"/>
                <w:rtl w:val="0"/>
              </w:rPr>
              <w:t xml:space="preserve">1</w:t>
            </w:r>
            <w:r w:rsidR="00000000" w:rsidRPr="00000000" w:rsidDel="00000000">
              <w:rPr>
                <w:rtl w:val="0"/>
              </w:rPr>
              <w:t xml:space="preserve">panta otrā daļa nosaka, ka </w:t>
            </w:r>
            <w:r w:rsidR="00000000" w:rsidRPr="00000000" w:rsidDel="00000000">
              <w:rPr>
                <w:i w:val="1"/>
                <w:rtl w:val="0"/>
              </w:rPr>
              <w:t xml:space="preserve">"[b]ūvnormatīvu tehniskās prasības piemēro jaunas būves būvniecībai, novietošanai, inženiertīklu ierīkošanai, būves pārbūvei, atjaunošanai, konservācijai un restaurācijai. </w:t>
            </w:r>
            <w:r w:rsidR="00000000" w:rsidRPr="00000000" w:rsidDel="00000000">
              <w:rPr>
                <w:b w:val="1"/>
                <w:i w:val="1"/>
                <w:rtl w:val="0"/>
              </w:rPr>
              <w:t xml:space="preserve">Atjaunojot, pārbūvējot, restaurējot vai konservējot būvi daļēji, būvnormatīvu tehniskās prasības ir piemērojamas attiecībā uz atjaunojamo, pārbūvējamo, restaurējamo un konservējamo daļu.</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Citiem vārdiem sakot, Latvijas būvnormatīvu piemērošanas vispārējā kārtība neparedz, ka vides pieejamības jautājumi būtu jārisina tad, ja būvniecības iecere faktiski paredz tikai "ēkas siltināšanas pasākumus" un pati sākotnējā būvniecības iecere neparedz skart vides pieejamības jautājumos saistītās konstrukcijas. Minēto iemeslu dēļ 6.</w:t>
            </w:r>
            <w:r w:rsidR="00000000" w:rsidRPr="00000000" w:rsidDel="00000000">
              <w:rPr>
                <w:vertAlign w:val="superscript"/>
                <w:rtl w:val="0"/>
              </w:rPr>
              <w:t xml:space="preserve">1</w:t>
            </w:r>
            <w:r w:rsidR="00000000" w:rsidRPr="00000000" w:rsidDel="00000000">
              <w:rPr>
                <w:rtl w:val="0"/>
              </w:rPr>
              <w:t xml:space="preserve">.4 apakšpunktā minētais regulējums ir nepieciešams, lai tādā veidā vides pieejamības jomas regulējumu noteiktu kā saistošu arī nozīmīgas atjaunošanas gadījumā, proti, arī tad, ja būvniecības ieceres galvenais mērķis un tvērums nebija plānojis skart konstrukcijas, kas iesaistītas vides pieejamības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19.oktobra noteikumi Nr.693 “Būvju vispārīgo prasību būvnormatīvs LBN-200-21”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6</w:t>
            </w:r>
            <w:r w:rsidR="00000000" w:rsidRPr="00000000" w:rsidDel="00000000">
              <w:rPr>
                <w:rtl w:val="0"/>
              </w:rPr>
              <w:t xml:space="preserve">3.punktos noteiktajām prasībām vēršam uzmanību, ka Eiropas zaļā kursa ietvaros tiek piemēroti izņēmumi attiecībā uz operatīvajiem transportlīdzekļiem, ņemot vērā to specifiskās funkcijas un nepieciešamību nodrošināt drošību. Iekšlietu dienestiem nepieciešams autotransports ar augstu veiktspēju un uzticamību, tādēļ priekšroka tiek dota autotransportam ar iekšdedzes dzinējiem, jo elektroauto šīs prasības nespēj nodrošināt. Ievērojot minēto, nav ekonomiski pamatoti un lietderīgi iekšlietu dienestu objektos ierīkot tik apjomīgu elektro uzlādes tīkla infrastruktūru, ņemot vērā, ka šajās vietās pieprasījums ir ļoti zems, kā rezultātā izbūvētā infrastruktūra stāvēs neizmantota faktiski lielāko daļu laika, radot iestādei nesamērīgus izdevumus saistībā ar šādas infrastruktūras ierīkošanu un uzturēšanu,  jo, lai ierīkotu šādu infrastruktūru, būs nepieciešams palielināt elektroenerģijas jaudu, līdz ar ko iestādes būs spiestas maksāt gan par pieslēgumu, kas veido gana augstas izmaksas, gan neizmantotajiem ampēriem. Piemēram, šobrīd jaunajos katastrofu pārvaldības centros uz vidēji 82 stāvvietām tiek izbūvēti vidēji 4 uzlādes punkti, kas iekšlietu dienestu vajadzībām ir absolūti pietiekami. Tāpat jāņem vērā, ka liela daļa šo objektu nav publiski pieejami, līdz ar ko nebūs iespējams ievērot bezīpašnieka pieeju uzlādes punktu izmantošanā. Tas pats attiecināms arī uz infrastruktūras izbūvei nepieciešamo kabeļu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bija informējusi Iekšlietu ministriju, ka šis jautājums tiks atsevišķi pārrunāts gan ar Iekšlietu ministriju, gan iekšlietu dienestiem, taču nekādas konsultācijas šajā sakarā tā arī nav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uzlādes punktu un tiem nepieciešamo komunikāciju ierīkošana rada būtisku ietekmi uz Iekšlietu ministrijas budžetu, kā arī sadārdzina ar būvprojekta īstenošanu saistītās izmaksas, kam nav paredzēts finansējums, būtu jāparedz izņēmumus attiecībā uz iekšlietu dienestu lietošanā esošajiem objektiem, paredzot, ka jaunas būves būvniecības, novietošanas, inženiertīklu ierīkošanas, būves atjaunošanas vai pārbūves gadījumā  ir iespējamas atkāpes no šīm prasībām, neparedzot alternatīvos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jaunu 130.</w:t>
            </w:r>
            <w:r w:rsidR="00000000" w:rsidRPr="00000000" w:rsidDel="00000000">
              <w:rPr>
                <w:vertAlign w:val="superscript"/>
                <w:rtl w:val="0"/>
              </w:rPr>
              <w:t xml:space="preserve">26</w:t>
            </w:r>
            <w:r w:rsidR="00000000" w:rsidRPr="00000000" w:rsidDel="00000000">
              <w:rPr>
                <w:rtl w:val="0"/>
              </w:rPr>
              <w:t xml:space="preserve">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 noteikumu 130.</w:t>
            </w:r>
            <w:r w:rsidR="00000000" w:rsidRPr="00000000" w:rsidDel="00000000">
              <w:rPr>
                <w:i w:val="1"/>
                <w:vertAlign w:val="superscript"/>
                <w:rtl w:val="0"/>
              </w:rPr>
              <w:t xml:space="preserve">6</w:t>
            </w:r>
            <w:r w:rsidR="00000000" w:rsidRPr="00000000" w:rsidDel="00000000">
              <w:rPr>
                <w:i w:val="1"/>
                <w:rtl w:val="0"/>
              </w:rPr>
              <w:t xml:space="preserve">1. un 130.</w:t>
            </w:r>
            <w:r w:rsidR="00000000" w:rsidRPr="00000000" w:rsidDel="00000000">
              <w:rPr>
                <w:i w:val="1"/>
                <w:vertAlign w:val="superscript"/>
                <w:rtl w:val="0"/>
              </w:rPr>
              <w:t xml:space="preserve">6</w:t>
            </w:r>
            <w:r w:rsidR="00000000" w:rsidRPr="00000000" w:rsidDel="00000000">
              <w:rPr>
                <w:i w:val="1"/>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projekta 1.1.apakšpunktā uzskaitīto terminu skaidrojumus, nodrošinot to atbilstību un saskaņotību ar Latvijas Republikā spēkā esošajiem normatīvajiem aktiem un tajos lietoto terminoloģiju, tāpat norādām uz nepieciešamību precizēt vairāku projektā lietoto terminu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saskaņā ar Būvniecības likuma 9.panta 6.punktā noteikto energoefektivitāte jau šobrīd ir noteikta kā viena no būtiskajām būvei izvirzāmajām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nav skaidrs, kādas ir būtiskās atšķirības starp nozīmīgu atjaunošanu un pamatīgu atjaunošanu, jo saskaņā ar projektā sniegto skaidrojumu abos gadījumos galvenais kritērijs ir balstīts uz energoefektivitāti. Norādām, ka no direktīvas 2024/1275 2.panta 22.punkta b) apakšpunkta izriet, ka “nozīmīga atjaunošana” ir ēkas atjaunošana, ja atjaunošanu veic vairāk nekā 25 % norobežojošās konstrukcijas virsmas, un tas netiek saistīts tikai ar energoefektivitātes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skaidrot, kas 3.43.apakšpunkta izpratnē saprotams ar vārdiem “būtiski ēkas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esošais Būvniecības likums un tam pakārtotie normatīvie akti neparedz terminu “renovācija” kā juridiski definētu būvniecības jēdzienu, bet to ir aizstājis precīzāks juridiskais jēdziens “būves atjaunošana”. Ievērojot minēto, attiecīgo terminu 3.44.apakšpunktā nepieciešams svītrot. Vienlaikus norādām, ka nav saprotams, kas ir saprotams ar vārdiem “atjaunošanas (renovācijas) pase”, ņemot vērā, ka saskaņā ar Būvniecības likumā noteikto būvniecības procesuālās darbības atspoguļo un lēmumus izdod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3.43. punktā termina “publiska struktūra” vietā lietot citos normatīvajos aktos lietoto terminu “publiska persona”, neveidojot jaunu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definīciju skaidrojums ir pārskatīts.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iebildums ar atsauci uz Būvniecības likumā noteiktajām būtiskajām būvei noteiktajām prasībām sniegts kontekstā ar noteikumu projektā paredzēto 6.</w:t>
            </w:r>
            <w:r w:rsidR="00000000" w:rsidRPr="00000000" w:rsidDel="00000000">
              <w:rPr>
                <w:vertAlign w:val="superscript"/>
                <w:rtl w:val="0"/>
              </w:rPr>
              <w:t xml:space="preserve">1</w:t>
            </w:r>
            <w:r w:rsidR="00000000" w:rsidRPr="00000000" w:rsidDel="00000000">
              <w:rPr>
                <w:rtl w:val="0"/>
              </w:rPr>
              <w:t xml:space="preserve">punktu </w:t>
            </w:r>
            <w:r w:rsidR="00000000" w:rsidRPr="00000000" w:rsidDel="00000000">
              <w:rPr>
                <w:i w:val="1"/>
                <w:rtl w:val="0"/>
              </w:rPr>
              <w:t xml:space="preserve">"Ēkām, kurām veic nozīmīgu atjaunošanu, risina prasību izpildi energoefektivitātes jomā un [..]",</w:t>
            </w:r>
            <w:r w:rsidR="00000000" w:rsidRPr="00000000" w:rsidDel="00000000">
              <w:rPr>
                <w:rtl w:val="0"/>
              </w:rPr>
              <w:t xml:space="preserve"> tad vēršam uzmanību, ka Būvniecības likums nenodrošina, ka, noteiktās jomas jautājumi tiks risināti vienlaicīgi ar paredzētajām pārbūvēm tikai atsevišķā būves daļā. Tātad, lai energoefektivitātes jomas u.c. direktīvā paredzētās jomas prasības noteiktu kā saistošas ikvienā gadījumā, kad veic nozīmīgu atjaunošanu, ir nepieciešama speciāla norma (6.</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arī Direktīvas 2024/1275 2.panta 22.punkta b) apakšpunktā noteiktās nozīmīgas atjaunošanas definīcijas tiešā veidā neizriet saistība ar energoefektivitātes pasākumu īstenošanu, attiecīgā saistība izriet no Direktīvas 2024/1275 ievada 19.punkta. Noteikumu projektā nozīmīgas atjaunošanas definīcijā minētais papildinājums ietverts ar mērķi novērst pārpratumus, piemēram, par citu saistīto prasību piemērošanu tikai tādēļ, ka paredzēta fasādes pārkrāsošanas platībā, kas pārsniedz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3.43.apakšpunktā minētajiem vārdiem “būtiski ēkas elementi” -  anotācijā skaidrots, ka definīcijā "pamatīga atjaunošana" minētie būtiskie ēkas elementi ir visi ēkas sastāvā esošie risinājumi, konstrukcijas un sistēmas, kam ir vērā ņemama ietekme uz ēkas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Vārds "renovācijas" no 3.44 apakšpunkta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ar vārdiem "atjaunošanas pase" ir domāta Direktīvas 2024/1275 noteiktais termins "renovācijas pase" kuru paredzēts transponēt ar grozījumiem Ēku energoefektivitātes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Sākotnējais termins “publiska struktūra” mainīts. Noteikumu projekts paredz definīciju </w:t>
            </w:r>
            <w:r w:rsidR="00000000" w:rsidRPr="00000000" w:rsidDel="00000000">
              <w:rPr>
                <w:i w:val="1"/>
                <w:rtl w:val="0"/>
              </w:rPr>
              <w:t xml:space="preserve">"3.47. publiskā sektora subjekts – valsts, reģionālās vai vietējās iestādes un subjekti, ko minētās iestādes tieši finansē un pārvalda, bet kam nav komerciāls vai rūpniecisks raksturs;"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(Lidl Latvija SIA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spēkā publiskās apspriešanas laikā izteiktos iebildumus/priekšlikumus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pārkopējot]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Autostāvvieta, kas atrodas fiziski blakus ēkai definīcija (Noteikumu projekta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ir plānots papildināt ar jaunu 3.44. punktu šādā redakcijā: “3.44. autostāvvieta, kas atrodas fiziski blakus ēkai – automašīnai paredzēta vieta, kas paredzēta ēkas iemītnieku, apmeklētāju vai darbinieku lietošanai un kas atrodas ēkas īpašuma teritorijā vai ēkas tiešā tuvumā. Šā apakšpunkta ietvarā tā ir 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Komisijas paziņojuma, kurā sniegti norādījumi par jauniem vai būtiski grozītiem pārstrādātās Ēku energosnieguma direktīvas (ES) 2024/1275 noteikumiem (C/2025/6438) (turpmāk – EPDB paziņojums), jēdziens autostāvvieta nav definēts Eiropas Parlamenta un Padomes Direktīvā (ES) 2024/1275 par ēku energosniegumu (turpmāk – EPBD). Attiecīgi no tā izriet, ka tas ir dalībvalstu kompetencē izlemt to, kas tiek izprasts ar autostāvvietu attiecīgās direktīvas tvērumā, transponējot EPBD normas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nebūtu pamatoti EPBD kontekstā uzskatīt, ka par autostāvvietām būtu uzskatāmas autostāvvietas, kur automašīnas tiek novietotas stāvēšanai īslaicīgi. Attiecīgi īslaicīgai stāvēšanai novietotās automašīnas neizmantos elektrouzlādes pakalpojumu un tādējādi nesasniegs EPDB mērķi – samazināt siltumnīcefekta gāzu emisiju, bet panāks tieši pretēju efektu – tiks radīta papildu siltumnīcu gāzu emisija uzlādes punktu, kabeļu un kabeļkanālu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norādīt, ka mazumtirdzniecības veikaliem, jo īpaši pārtikas veikaliem, ir unikāls darbības modelis, kur automašīnas “nestāv” vārda tradicionālajā nozīmē, bet tikai apstājas uz nelielu brīdi, lai iegādātos veikalā produktus un tos ar automašīnu nogādātu uz nepieciešamo lokāciju. Apmeklētāji šajās vietās parasti pavada aptuveni 30 minūtes. Arī EPBD paziņojumā ir norādīts, ka lielveikalu autostāvvietās automašīnas tiek novietotas mazāk par vienu stundu.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pretēji EPBD mērķim būtu šo definīciju attiecināt uz autostāvvietām, kas tiek izmantotas tikai preču saņemšanai vai piegādei, jo pavadītais laiks, veicot šādas darbības, nebūs pietiekami ilgs, lai būtu lietderīgi veikt elektrouzlādi.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arī, ka EPBD paziņojumā ir noteikts, ka īstenojot “autostāvvietas, kas fiziski atrodas blakus ēkai” definīciju, dalībvalstis var izvēlēties iekļaut autostāvvietas, kas atrodas ēkas īpašuma teritorijā vai ēkas tiešā tuvumā. Šajā gadījumā būtu jāņem vērā apstāklis, ka lielākoties pie nedzīvojamajām ēkām, it īpaši mazumtirdzniecības veikaliem, autostāvvietas tiek paredzētas vairāk nekā tās tiek izmantotas, tāpēc mūsu ieskatā būtu pamatoti attiecināt šo jēdzienu tikai uz ēkas tiešu tuvumu, nevis uz visu nekustamo īpašumu, tādējādi lietderīgi un ekonomiski turpmākos pienākumus attiecinot tikai uz autostāvvietām, kuras klienti un lietotāji parasti praktiski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pienācīgi transponētu EPBD normas un saglabātu EPBD mērķi, šo normu kontekstā būtu nosakāma tāda autostāvvietas definīcija, izslēdzot no tās teritorijas, kurās automašīnas parasti tiek novietotas īslaicīgi uz ne vairāk kā 60 minūtēm vai ir paredzētas preču saņemšanai vai piegādei, kā arī šī definīcija būtu attiecināma tikai uz ēkas tiešu tuvumu.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piedāvājam izteikt 3.44. punktu šādā redakcijā: “3.44. autostāvvieta, kas atrodas fiziski blakus ēkai – autostāvvieta, kas paredzēta ēkas iemītnieku, apmeklētāju vai darbinieku lietošanai un kas atrodas ēkas tiešā tuvumā. Šā apakšpunkta ietvarā tā ir autostāvvieta blakus ēkai ar iekštelpu, kuras vides regulēšanu veic izmantojot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noteikumus ar 3.45. punktu šādā redakcijā: “3.45. autostāvvieta – automašīnas stāvēšanai paredzēta vieta, kurā automašīna parasti tiek novietota stāvēšanai uz laiku ilgāku par 60 minūtēm un nav paredzēta preču saņemšanai vai piegādei.”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Prasības jaunām ēkām un ēkām, kurās veic nozīmīgu atjaunošanu (Noteikumu projekta 1.2. un 1.4.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punktu ir plānots izteikt šādā redakcijā: “4. Būves projektējot, ņem vērā ugunsdrošības, darba drošības, akustikas, higiēnas, optimālas iekštelpu vides kvalitātes, pielāgošanās klimata pārmaiņām, risku, kas saistīti ar spēcīgu seismisko aktivitāti, oglekļa piesaistījumiem, kas saistīti ar oglekļa uzglabāšanu ēkās vai uz tām, vides pieejamība personām ar invaliditāti, būvju emisiju āra vidē un citu regulējošo normatīvo aktu un standartu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ir plānots papildināt ar jaunu 6.1 punktu šādā redakcijā: “6.1 Ēkām, kurās veic nozīmīgu atjaunošanu, ciktāl tas ir tehniski, funkcionāli un ekonomiski iespējams, risina prasību izpildi arī šādās jomās:6.11. optimālas iekštelpu vides kvalitāte;6.12. ugunsdrošība;6.13. pielāgošanās klimata pārmaiņām;6.14. riski, kas saistīti ar spēcīgu seismisko aktivitāti;6.15. vides pieejamība;6.16. bīstamu vielu, tostarp azbesta, nodošana atkritumu apsaimniekotājam;6.17.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Latvijā nav novērojama spēcīga seismiskā aktivitāte, ko būtu nepieciešams atsevišķi ievērot, projektējot jaunas ēkas un ēkas, kurās veic nozīmīgu atjaunošanu. Šāda prasība apsvērt ļoti teorētisku risku radītu papildu administratīvo slogu ēku īpašniekiem projektēšanas laikā. Attiecīgi mūsu ieskatā šī daļa nebūtu piemērojama Latvijas gadījumā un tādējādi tā būtu izslēdzama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jēdziens “personām ar invaliditāti” noteikumu projektā ir lietots neatbilstoši un korekti būtu norādīt “personām ar kustību ierobežojumiem”, lai tādējādi netiktu izslēgtas personas, kam nav invaliditāte, bet ir pārejoši kustību ierobežojumi, piemēram, personas ar traumām, seniori, grūtnieces.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izteikt noteikuma 4. punktu šādā redakcijā: “4. Būves projektējot, ņem vērā ugunsdrošības, darba drošības, akustikas, higiēnas, optimālas iekštelpu vides kvalitātes, pielāgošanās klimata pārmaiņām, oglekļa piesaistījumiem, kas saistīti ar oglekļa uzglabāšanu ēkās vai uz tām, vides pieejamība personām ar kustību traucējumiem, būvju emisiju āra vidē un citu regulējošo normatīvo aktu un standartu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izteikt noteikumu 6.1 punktu šādā redakcijā: “6.1 Ēkām, kurās veic nozīmīgu atjaunošanu, ciktāl tas ir tehniski, funkcionāli un ekonomiski iespējams, risina prasību izpildi arī šādās jomās:6.11. optimālas iekštelpu vides kvalitāte;6.12. ugunsdrošība;6.13. pielāgošanās klimata pārmaiņām;6.14. vides pieejamība;6.15. bīstamu vielu, tostarp azbesta, nodošana atkritumu apsaimniekotājam;6.16. būvju emisija āra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Saules enerģija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ir plānots papildināt ar jaunu 130.2 punktu šādā redakcijā: “130.2 Ja tas ir tehniski piemēroti, ekonomiski un funkcionāli īstenojami, tad saules enerģijas iekārtu izvietošanu paredz:130.21. jaunai ēkai, kas ir publisko struktūru īpašumā. Šā apakšpunkta prasība ir piemērojama no 2026. gada 31. decembra; 130.22. jaunai nedzīvojamai ēkai ar kopējā platību lielāku par 250m2. Šā apakšpunkta prasība ir piemērojama no 2026. gada 31. decembra; 130.23. jaunai dzīvojamai ēkai. Šā apakšpunkta prasība ir piemērojama no 2029. gada 31. decembra; 130.24. jaunai autostāvvietai ar jumtu (tajā skaitā nojumei), kas fiziski atrodas blakus citai ēkai. Šā apakšpunkta prasība ir piemērojama no 2029. gada 31. decembra;130.25. nedzīvojamajās ēkas ar kopējo platību lielāku par 500 m2 nozīmīgas atjaunošanas gadījumā vai veicot darbību, kurai nepieciešams būvvaldes akcepts,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pieredze rāda, ka modernizējot PV sistēmas esošajās ēkās, kā arī ar to saistītās uguns un zibens aizsardzības sistēmas, jāņem vērā ēkas konstrukcijas viengabalainība, piemēram, zaļie jumti, zema plātņu nestspēja vai cits, ēnojums un ugunsdrošība. Vajadzīgā slodzes rezerve papildu PV sistēmai var nebūt pieejama. Tāpēc saules enerģijas ražošana saistās ar vairākiem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nepieciešams pietiekami kvalificēts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nepieciešami materiāli, kam jāatbilst noteiktām tehniskām prasībām un kuru sagāde nav vienkārša.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minētās problēmas, PV sistēmu uzstādīšana var prasīt ievērojami vairāk laika nepietiekama personāla un materiālu dēļ un tādējādi apgrūtināt komercdarbības īstenošanu, kā rezultātā radīt ievērojamu finansiālu slogu un zaudējumus komersantiem. Attiecīgi lūdzam noteikt pēc iespējas garāku termiņu PV sistēmu uzstādīšanai, kā arī iespēju būvniecības procesā noteikt vēlāku termiņu PV sistēmu uzstādīšanai pēc ēkas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bažas, ka tīkla infrastruktūra nav veidota tā, lai ļautu publiskajā tīklā lielos apjomos ievadīt pašražoto elektroenerģiju. Turklāt pārmērīga saražotās elektroenerģijas pārnešana uz kopējo tīklu apdraud elektroapgādes drošību un uzticamību veseliem reģioniem.  Kā galveno faktoru ieviešanā mēs uzskatām uzsvaru uz augstiem pašlietošanas rādītājiem, lai izvairītos no nevēlamas tīkla ievades vai tīkla slodzes. Attiecīgi aicinām normas saskaņot ar Akciju sabiedrību “Sadales tīkls”, izvērtējot gan papildu slodzes, gan arī pieejamās slodzes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savā praksē novērojam, ka saules enerģijas sistēmu izmantošana sniegotos reģionos rada saules sistēmu kopējās efektivitātes samazināšanos, palielinoties temperatūrai saulainos reģionos. Tāpēc pārmērīga PV uzstādīšana nešķiet piemērota no ekonomiskā un ekoloģiskā viedokļa un tas būtu jāņem vērā nosakot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ekoloģisku un ekonomisku iemeslu dēļ kritiski vērtējam PV sistēmu uzstādīšanu uz autostāvvietām ar jumtu. PV autostāvvietu konstrukcijas ir ne tikai daudz dārgākas nekā cita veida jumta sistēmas, bet arī sistēmas sākotnējā CO2 bilance ir ievērojami sliktāka, jo ar tām ir saistīti masīvi pamati un ir liels materiālu patēriņš. Visaptverošas ilgtspējas stratēģijas nolūkos mēs dodam priekšroku zaļajam segumam, kas veicina bioloģisko daudzveidību, nevis papildu būvniecības pasākumiem. Tāpēc mēs aicinām paredzēt iespēju izpildīt prasību par saules enerģijas sistēmām ar alternatīvām zaļās apbūves sistēmām tajā pašā nekustamajā īpašumā, kas ir efektīvāks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aicinām rūpīgi izvērtēt pasākumus attiecībā uz PV paplašināšanu uz nedzīvojamo ēku un autostāvvietu jumtiem un Noteikumu projekta anotācijā noteikt izņēmumus saskaņā ar EPBD 10. panta 4. punktu konkrētos gadījumos, vienlaikus saglabājot EPBD mērķi nodrošināt piemērotu saules enerģijas iekārtu izvietošanu, ja tas ir tehniski piemērots, ekonomiski un funkcionāli īstenojams. Piemēram, izņēmumi būtu nosakāmi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 sistēmas uzstādīšana nav salāgojama ar ēkas konstrukcijas viengabalainību, piemēram, zaļajiem jumtiem, zemu plātņu nestspēju vai citu, ēnojumu un ugunsdrošību;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Neiespējamība nodrošināt vajadzīgo slodzes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Nepietiekama esošā tīkla infrastruktūra, lai spētu droši uzņemt saražoto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Autostāvvietu PV jumta segums tiek aizstāts ar zaļo 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pierādīts, ka 100 % no patērētās elektroenerģijas tiek iegūta no atjaunīgiem enerģijas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Ilgtspējīgas mobilitātes infrastruktūra (Noteikumu projekta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Noteikumus ir plānots papildināt ar jauniem 130.3, 130.4 un 130.5 punktiem šādā redakcijā: “130.3 Jaunām nedzīvojamām ēkām ar vairāk nekā piecām automašīnu stāvvietām un nedzīvojamām ēkām, kurās veic nozīmīgu atjaunošanu, ar vairāk nekā piecām automašīnu stāvvietām:130.31. katrām piecām stāvvietas vietām paredz vismaz vienu uzlādes punktu;130.32. vismaz 50 % automašīnu stāvvietām paredz priekšlaicīgi ierīkotus kabeļus, bet pārējām automašīnu stāvvietām kabeļkanālus (elektrības kabeļiem paredzētus kanālus), lai vēlāk būtu iespējams ierīkot elektrotransportlīdzekļu, ar elektroenerģiju darbināmu velosipēdu un citu L kategorijas transportlīdzekļu tipu uzlādes punktus;130.33. paredz velosipēdu stāvvietas, kas veido vismaz 15 % no nedzīvojamo ēku vidējās lietotāju kapacitātes vai 10 % no kopējās lietotāju kapacitātes, ņemot vērā platību, kas vajadzīga arī lielāka izmēra velosipēdiem nekā standarta velosipēdi130.4 Šī būvnormatīva 130.3 punkta prasību piemēro arī tad, ja vienlaicīgi izpildās šādi kritēriji:130.41. autostāvvieta atrodas ēkas iekšienē;130.42. tiek veikta nozīmīga atjaunošana;130.43. būvniecības ieceres pasākumi ietver vai skar autostāvvietu vai ēkas elektroinfrastruktūru.130.5 Šī būvnormatīva 130.3 punkta prasību piemēro arī tad, ja vienlaicīgi izpildās šādi kritēriji:130.51. autostāvvieta atrodas fiziski blakus ēkai;130.52. tiek veikta nozīmīgas atjaunošana;130.53. būvniecības ieceres pasākumi ietver vai skar autostāvvietu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uzlādes punktu jaudu un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Neapdzīvojamo ēku spektrs ir plašs, piemēram, rūpnīcas, bankas, mazāki un lielāki mazumtirdzniecības veikali, biroji, komerciāli pārvaldītas autostāvvietas. Parasti visām nedzīvojamām ēkām ir autostāvvietas, lai gan to lietotājiem un klientiem autostāvvietu izmantošanas un uzturēšanās laiks ir pilnīgi atšķirīgs. Kā jau iepriekš tika minēts, piemēram, vidējais autostāvvietas izmantošanas laiks pārtikas mazumtirdzniecības veikalos ir tikai apmēram 30 minūtes.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EPBD 14. pantā nav noteikta uzlādes punktu uzstādītā jauda. Kā tas ir zināms, pastāv uzlādes punkti ar dažādu uzlādes jaudu, kas var nodrošināt lēnāku vai ātrāku automašīnas uzlādi. Ātrās uzlādes punktu iegādes un uzstādīšanas izmaksas ir ievērojami augstākas nekā lēnās uzlādes punktu. Tomēr ātrās uzlādes punktu uzstādīšana ir ļoti lietderīga, jo īpaši  mazumtirdzniecības uzņēmumu autostāvvietās. Tas ir tāpēc, ka ātrās uzlādes punkts ar jaudu 150 kW ar 30 minūšu uzlādi var nodrošināt iespēju automašīnai veikt līdz pat aptuveni 220 km lielu attālumu, savukārt ar parasto uzlādes punktu ar parasto jaudu 11 kW var uzlādēt automašīnu tikai aptuveni 30 km attālumam.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var rasties mērķu konflikts, jo, ja EPBD 14. pants tiks transponēts identiski, pastāv risks, ka daudzi īpašnieki izmaksu dēļ izlems (vai pat būs spiesti izlemt) uzstādīt tikai parastās uzlādes punktus, kas ir finansiāli izdevīgākais risinājums, kaut arī ēkas lietotāji vai klienti tos neizmantos uzlādei, jo neuzskatīs par lietderīgu tik īsam apmeklējumam uzlādēt automašīnu nelielam veicamajam attālumam. Pastāv risks, ka EPBD mērķi netiks sasniegti, ja netiks ņemts vērā konkrētais uzlādes ilgums noteiktās nedzīvojamās ēkās, un ka kopējās investīcijas uzlādes infrastruktūrā nebūs ekonomiski pamatotas un tādējādi paliks lielā mērā neizmantotas. Saskaņā ar EPBD 49. apsvērumu lēna uzlāde tiek uzskatīta par ekonomisku. Tomēr tā funkcionālā un loģiskā ziņā nevar tikti paredzēta konkrētām nedzīvojamajām ēkām, piemēram, pārtikas mazumtirdzniecības veikaliem.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EPDB paziņojumā ir noteikts, ka “[d]ažādās ēku kategorijās var ievērojami atšķirties tas, cik ilgi transportlīdzeklis ir novietots stāvvietā. Lielās nedzīvojamās ēkās (ar vairāk nekā 20 automašīnu stāvvietas vietām), piemēram, vairumtirdzniecības un mazumtirdzniecības pakalpojumu ēkās, kurās apmeklētāji parasti novieto automašīnas uz neilgu laiku, t. i., mazāk nekā uz vienu–divām stundām, lieljaudas uzlādes punktu uzstādīšana varētu apmierināt apmeklētāju vajadzības labāk nekā parastas jaudas uzlādes punkti. Tāpēc dalībvalstis var apsvērt iespēju paredzēt noteiktu elastību, izstrādājot savas prasības par uzlādes punktiem šai ēku kategorijai, ja vien tās nodrošina vajadzīgā uzlādes punktu skaita pieejamību, ņemot vērā autostāvvietas lietotāju vajadzības.” Kā tas izriet no EPDB paziņojuma, dalībvalstis var apsvērt elastību šādām ēku kategorijām, ja tiek nodrošināta vajadzīgā uzlādes punktu skaita pieejamība, ņemot vērā autostāvvietas lietotāju vajadzības. No ekoloģiskā un ekonomiskā aspekta būtu loģiski noteikt iespēju izpildīt savas tīri kvantitatīvās saistības uzstādīt konkrētu skaitu uzlādes punktus saskaņā ar EPBD 14. panta formulējumu, pamatojoties uz vajadzību analīzi. Attiecīgi pamatojoties uz lietotāju vai klientu vajadzībām un ņemot vērā ekonomiskos apsvērumus – uzstādīt ātrās uzlādes punktus, nevis lētākus, bet mazāk jaudīgus, parastos uzlādes punktus. Elektromobilitātes izplatībai nav nozīmes, vai, piemēram, 10 automašīnas var sasniegt tādu pašu uzlādi piecās stundās kā divas automašīnas 30 minūtēs. Izšķirošais faktors ir kopējais elektrības apmērs, ko var uzlādēt elektromobiļos.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uzlādes punktus uzskaitītu pēc to skaita, mēs lūdzam ieviest īpašu kvalitatīvu, uz jaudu balstītu noteikumu kā līdzvērtīgu iespēju prasību izpildei. Mēs ierosinām vērtēt uzstādīto uzlādes jaudu pret EPBD noteikto uzlādes punktu skaitu ar uzlādes jaudu 11 kW. Attiecīgi noteikt, ka ir pieļaujams aizstāt kvantitatīvo prasību uz katrām piecām autostāvvietām izvietot vienu uzlādes punktu, ar iespēju izvietot mazāku skaitu lielākas jaudas uzlādes punktus, kuru jauda pārsniegtu šobrīd Noteikumu projektā iekļauto uzlādes punktu skaitu reizinot to ar 11 kW, kas praksē ir uzskatāma par parasto uzlādes jaudu. Piemēram, ja saskaņā ar noteikumiem būtu jāizvieto 20 uzlādes punkti, tad īpašnieks būtu tiesīgs izvēlēties uzstādīt 20 punktus ar jebkādu jaudu, vai arī tos aizstāt ar uzlādes punktiem kuru jauda būtu lielāka par 20x11 kW, kas ir 220 kW. Attiecīgi īpašnieks varētu uzstādīt piecus 50 kW uzlādes punktus. Īstenojot noteikumus valsts mērogā, kas paredz stingru uzlādes punktu skaitu, radīsies masveida nepamatotas investīcijas un pārmērīgs piedāvājums, kurš neatbildīs pieprasījumam. Mēs uzskatām, ka ir nepieciešami elastīgi noteikumi, kuri pamatojas uz lietotāju uzvedību un tehniskajām nepieciešamībām.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šāda pieeja atbilstu Eiropas Savienības tiesību aktiem. Nosakot nepieciešamību uzstādīt lielāku jaudu nekā to būtu pienākums uzstādot vairākas lēnas uzlādes stacijas, tiktu pārsniegtas EPBD 14. pantā noteiktās minimālās prasības. Tas atbilstu arī EPBD 1. panta 3. punkta nosacījumam, kas neliedz dalībvalstīm uzturēt spēkā vai ieviest stingrākus pasākumus, ja tie ir saderīgi ar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EPBD 1. panta 3. punktā noteikto minimālo transponēšanas prasību, šāda aizstāšana, kas balstās uz kvalitatīvu pieeju, atbilstu EPBD 14. panta prasībām, ņemot vērā gan direktīvas mērķi, gan samērīguma principu. Proti, Eiropas Savienības likumdevējam saprotami bija jāstandartizē un jāvispārina EPBD iekļautās normas. Tādējādi tas sākotnēji nenošķīra dažādu uzlādes punktu tipu jaudu, tāpēc tika noteiktas tikai minimālās prasības. Tomēr tas neliedz dalībvalstīm, kurām ir pienākums īstenot direktīvu, sasniegt direktīvas mērķi īstenojot Līguma par Eiropas Savienības darbību 288. panta 3. punktā noteiktos brīvību izvēlēties īstenošanas formas un metodes, izmantojot vēl efektīvākus alternatīvus līdzekļus, kas atsevišķos gadījumos pēc iespējas precīzāk atbilst samērīguma principam. Šāds alternatīvs līdzeklis, kas ne tikai neietekmē EPBD sistēmu un nesamazina tās mērķu sasniegšanas pakāpi, bet vienkārši to papildina, ir iepriekš aprakstītā kvalitatīvā pieeja, kas nodrošina uz vajadzībām balstītu un lietotājiem orientētu uzlādes infrastruktūras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kabeļu priekšlaicīgu ievilkšanu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prasību priekšlaicīgi ierīkot vismaz 50% automašīnu stāvvietām kabeļus vēlamies uzsvērt, ka EPBD paziņojumā ir noteikts, ka dalībvalsts var apsvērt kabeļu iepriekšējas ievilkšanas aizstāšanu ar kabeļkanāliem ar ievilcējvadu. Mūsu ieskatā kabeļkanāli ar ievilcējvadu sasniegtu EPBD mērķi pat vēl labāk, jo netiktu radītas papildu siltumnīcefekta gāzes, priekšlaicīgi ievietojot kabeļus, kas iespējams nākotnē nebūs atbilstoši vai nenodrošinās pietiekamu jaudu, kā rezultātā būvniecība būs jāveic atkārtoti. Papildus vēlamies norādīt, ka Noteikumu projekta anotācijā noteikti būtu uzsverams EPBD paziņojumā noteiktais, ka uzlādes punktu kabeļi tiek ieskaitīti 50% apmērā ar priekšlaicīgi izvietotajiem kabeļiem. Piemēram, autostāvvietā, kurā ir 20 automašīnu stāvvietas vietas, 10 vietās, t. i., 50 %, vajadzētu būt priekšlaicīgi ievilktiem kabeļiem. Turklāt uz katrām piecām stāvvietas vietām jābūt vismaz vienam uzlādes punktam, t. i., šajā piemērā jābūt vismaz četriem uzlādes punktiem. Šie četri uzlādes punkti būtu jāuzstāda četrās no 10 stāvvietas vietām, kurās veikta kabeļu iepriekšēja ievilkšana.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EPBD 14. panta 5. punktā ir noteikts, ka dalībvalstis var nepiemērot Noteikumu projekta 130.3, 130.4 un 130.5 punktus, ja pastāv šajā punktā noteiktie gadījumi. Mūsu ieskatā no ekonomiski lietderīgā aspekta būtu paredzēt EPBD 14. panta 5. punkta b) apakšpunktā paredzēto izņēmumu – uzlādes punktu un kabeļkanālu ierīkošanas izmaksas pārsniedz vismaz 10 % no ēkas nozīmīgās renovācijas kopējām izmaksām, lai noteiktu skaidru izņēmumu, kad ekonomiskais aspekts ir pietiekami būtisks, lai tiktu paredzēts izņēmums no šī pienākuma. Papildus arī vēlamies uzsvērt, ka funkcionāli būtu nepieciešams paredzēt izņēmumu no uzlādes punktu uzstādīšanas pienākuma, ja tā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atbilstoši EPBD 14. panta 3. punktam dalībvalstīm ir tiesības koriģēt prasības attiecībā uz vietu skaitu velosipēdu stāvvietā konkrētām nedzīvojamo ēku kategorijām, kurām parasti ar velosipēdu nepiekļūst. Uzskatām, ka veloinfrastruktūras attīstība ir prioritizējama mērķtiecīgi – tajās pilsētvides zonās, kur pastāv reāls pieprasījums. Kā izņēmumi, kur nepastāvētu pietiekams pieprasījums būtu norādāmi, piemēram, objekti ārpus pilsētām, ražošanas infrastruktūra, noliktavas, palīgēkas u.c. objekti. Nepamatota būvniecības apjomu palielināšana vietās ar zemu pieprasījumu ir pretrunā ar ilgtspējas principiem, jo lieka materiālu izmantošana rada nevajadzīgu siltumnīcefekta gāzu (SEG) emisiju slogu būvniecības procesā. Papildus norādām, ka esošie tehnoloģiskie risinājumi nodrošina elektrovelosipēdu sniedzamību līdz pat 100 km, kas ir pietiekami ikdienas mobilitātes vajadzībām bez papildu uzlādes. Līdz ar to obligāta uzlādes punktu izbūve publiskās stāvvietās šobrīd vispārīgi pat nebūtu uzskatāma par kritisku vai lietderīgu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iepriekšminēto, lūdzam izteikt 130.3 punktu šādā redakcijā: “130.3 Jaunām nedzīvojamām ēkām ar vairāk nekā piecām automašīnu stāvvietām un nedzīvojamām ēkām, kurās veic nozīmīgu atjaunošanu, ar vairāk nekā piecām automašīnu stāvvietām:130.31. katrām piecām stāvvietas vietām paredz vismaz vienu uzlādes punktu;130.32. vismaz 50 % automašīnu stāvvietām paredz priekšlaicīgi ierīkotus kabeļus vai kabeļkanālus ar ievilcējvadu, bet pārējām automašīnu stāvvietām kabeļkanālus (elektrības kabeļiem paredzētus kanālus), lai vēlāk būtu iespējams ierīkot elektrotransportlīdzekļu, ar elektroenerģiju darbināmu velosipēdu un citu L kategorijas transportlīdzekļu tipu uzlādes punktus;130.33. paredz velosipēdu stāvvietas, kas veido vismaz 15 % no nedzīvojamo ēku vidējās lietotāju kapacitātes vai 10 % no kopējās lietotāju kapacitātes, ņemot vērā platību, kas vajadzīga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papildināt ar 130.11 un 130.12 punktiem šādā redakcijā: “130.11 Šo noteikumu130.31. punktā noteikto uzlādes punktu skaitu var aizstāt ar tādu uzlādes punktu skaitu, kuru kumulatīvā uzstādītā jauda būtu lielāka par šo noteikumu 130.31. punktā uzstādāmo uzlādes punktu skaitu reiz 11 kW.130.12 Šo noteikumu 130.3 punkts var nepiemērot, ja uzlādes punktu un kabeļkanālu ierīkošanas izmaksas pārsniedz vismaz 10 % no ēkas nozīmīgas atjaunošanas kopējām izmaksām vai, ja tā rezultātā, rastos būtiskas problēmas vietējās energosistēmas darbībai un tiktu apdraudēta vietējā tīkla stabilitāte.”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Ir ņemts vērā iespēju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paziņojuma 9. pielikuma 4.1. punkts paredz, ka dalībvalstis var apsvērt iespēju paredzēt noteiktu elastību, izstrādājot savas prasības par uzlādes punktiem ēku kategorijai, kurai stāvvietas parasti tiek izmantotas uz lauku līdz divām stundām, piemēram, pie tirdzniecības ēkām. Minētā iespēja tiek izmantota noteikumu projektā [ar jaunu 130.</w:t>
            </w:r>
            <w:r w:rsidR="00000000" w:rsidRPr="00000000" w:rsidDel="00000000">
              <w:rPr>
                <w:vertAlign w:val="superscript"/>
                <w:rtl w:val="0"/>
              </w:rPr>
              <w:t xml:space="preserve">22</w:t>
            </w:r>
            <w:r w:rsidR="00000000" w:rsidRPr="00000000" w:rsidDel="00000000">
              <w:rPr>
                <w:rtl w:val="0"/>
              </w:rPr>
              <w:t xml:space="preserve">.punktu] nosakot iespēju kvantitatīvos rādītājus (uzlādes punktu skaitu) koriģēt (samazināt) to kompensējot ar kvalitatīvo rādītāju palielināšanu, proti, uzstādot lieljaudas uzlādes punktus. Minētā elastība paredz, ka vietās, kur lielāka uzlādes punktu jauda varētu būt efektīvāka un piemērotāja, ir jānodrošina tāda pati jauda, kādu nodrošinātu parastas jaudas uzlādes punkti, ja tie būtu ar 11kW jaudu. 11kW jaudas parametrs izvēlēts divu faktoru dēļ: 1) praksē to uzskata par parasto uzlādes punktu; 2) parametru ziņā minētā jauda ir pa vidu starp 3,7 kW un 22kW, kas ir galējās jaudas robežas uzlādes punktam, kas vēl neklasificējas kā lieljaudas uzlādes punkts [sk. Ministru kabineta 2018. gada 6. februāra noteikumu Nr. 78 "Prasības elektrotransportlīdzekļu uzlādes, dabasgāzes uzpildes, ūdeņraža uzpildes un krasta elektropadeves iekārtām" 24 un 25.p].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vārā daļā par to, vai par autostāvvietu var uzskatīt autostāvvietu, kurā automašīnas tiek novietota īslaicīgi.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Dalībvalstīm nav noteiktas iespējas prasības neattiecināt uz stāvvietām, kurās “automašīnas parasti tiek novietotas līdz 60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nosaka definīciju,</w:t>
            </w:r>
            <w:r w:rsidR="00000000" w:rsidRPr="00000000" w:rsidDel="00000000">
              <w:rPr>
                <w:i w:val="1"/>
                <w:rtl w:val="0"/>
              </w:rPr>
              <w:t xml:space="preserve"> ““autostāvvieta, kas atrodas fiziski blakus ēkai” ir autostāvvieta, kas paredzēta ēkas iemītnieku, apmeklētāju vai darbinieku lietošanai un kas atrodas ēkas īpašuma teritorijā vai ēkas tiešā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transponēšanas vadlīnijām dalībvalstīm nav iespēju diferencēt jeb noteikt, ka automašīnas stāvēšanas tipiskais ilgums varētu būt kritērijs tam vai tā ir autostāvvieta vai nav. Automašīnas stāvēšanas ilguma atšķirības var kalpot par pamatu izvēlei kādus (cik jaudīgus) uzlādes punktus ierīkot un to, vai un kā stāvvietas dalāmas starp darbiniekiem un klientiem, nevis izvēlei par to, vai uzlādes punktus ierīkot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Citāts no vadlīnijām: </w:t>
            </w:r>
            <w:r w:rsidR="00000000" w:rsidRPr="00000000" w:rsidDel="00000000">
              <w:rPr>
                <w:i w:val="1"/>
                <w:rtl w:val="0"/>
              </w:rPr>
              <w:t xml:space="preserve">“Attiecībā uz ēkām, kurās ir stāvvietas vietas gan klientiem, gan darbiniekiem, piemēram, lielveikaliem, valsts noteikumos var paredzēt, ka ēku īpašniekiem, sadalot uzlādes punktus, jāņem vērā paredzamā stāvēšanas ilguma atšķirības. Piemēram, lielveikalā ar 100 stāvvietas vietām, no kurām 10 vietas ir paredzētas darbiniekiem, kopumā būtu vajadzīgi 20 uzlādes punkti. Tos varētu sadalīt, piemēram, 5 parastās uzlādes punktos darbinieku stāvvietas vietās un 15 uzlādes punktos klientiem. Visi klientiem paredzētie uzlādes punkti varētu būt lieljaudas uzlādes punkti. Direktīvas 14. pantā nav noteikta uzlādes punktu uzstādītā jauda. Dažādās ēku kategorijās var ievērojami atšķirties tas, cik ilgi transportlīdzeklis ir novietots stāvvietā. Lielās nedzīvojamās ēkās (ar vairāk nekā 20 automašīnu stāvvietas vietām), piemēram, vairumtirdzniecības un mazumtirdzniecības pakalpojumu ēkās, kurās apmeklētāji parasti novieto automašīnas uz neilgu laiku, t. i., mazāk nekā uz vienu–divām stundām, lieljaudas uzlādes punktu uzstādīšana varētu apmierināt apmeklētāju vajadzības labāk nekā parastas jaudas uzlādes punkti. Tāpēc dalībvalstis var apsvērt iespēju paredzēt noteiktu elastību, izstrādājot savas prasības par uzlādes punktiem šai ēku kategorijai, ja vien tās nodrošina vajadzīgā uzlādes punktu skaita pieejamību, ņemot vērā autostāvvietas lietotāju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citējot vadlīnijas: </w:t>
            </w:r>
            <w:r w:rsidR="00000000" w:rsidRPr="00000000" w:rsidDel="00000000">
              <w:rPr>
                <w:i w:val="1"/>
                <w:rtl w:val="0"/>
              </w:rPr>
              <w:t xml:space="preserve">“Attiecībā uz ēkām, kurās ir stāvvietas vietas gan klientiem, gan darbiniekiem, piemēram, lielveikaliem, valsts noteikumos var paredzēt, ka ēku īpašniekiem, sadalot uzlādes punktus, jāņem vērā paredzamā stāvēšanas ilguma atšķirības. Piemēram, lielveikalā ar 100 stāvvietas vietām, no kurām 10 vietas ir paredzētas darbiniekiem, kopumā būtu vajadzīgi 20 uzlādes punkti. Tos varētu sadalīt, piemēram, 5 parastās uzlādes punktos darbinieku stāvvietas vietās un 15 uzlādes punktos klientiem. Visi klientiem paredzētie uzlādes punkti varētu būt lieljaudas uzlādes punkti. Direktīvas 14. pantā nav noteikta uzlādes punktu uzstādītā jauda”.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Ir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ņemti vērā jau sabiedrības līdzdalības viedokļu apstrādes izvērtēšanā. Noteikumu projektā nav iekļauta seismiskā aktivitāte. tāpat noteikumu projekts nelieto terminu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Ir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precizēts to papildinot ar iespējamajām atkāpēm jeb izņēmumiem, kad saules enerģijas prasības var nepiemērot.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w:t>
            </w:r>
            <w:r w:rsidR="00000000" w:rsidRPr="00000000" w:rsidDel="00000000">
              <w:rPr>
                <w:i w:val="1"/>
                <w:rtl w:val="0"/>
              </w:rPr>
              <w:t xml:space="preserve">130.</w:t>
            </w:r>
            <w:r w:rsidR="00000000" w:rsidRPr="00000000" w:rsidDel="00000000">
              <w:rPr>
                <w:i w:val="1"/>
                <w:vertAlign w:val="superscript"/>
                <w:rtl w:val="0"/>
              </w:rPr>
              <w:t xml:space="preserve">22 </w:t>
            </w:r>
            <w:r w:rsidR="00000000" w:rsidRPr="00000000" w:rsidDel="00000000">
              <w:rPr>
                <w:i w:val="1"/>
                <w:rtl w:val="0"/>
              </w:rPr>
              <w:t xml:space="preserve">Vietās, kur automašīnu paredzēts novietot uz neilgu laiku, piemēram, pie vairumtirdzniecības un mazumtirdzniecības pakalpojumu ēkas, kur parasti to novieto uz laiku līdz divām stundām, šo noteikumu 130.</w:t>
            </w:r>
            <w:r w:rsidR="00000000" w:rsidRPr="00000000" w:rsidDel="00000000">
              <w:rPr>
                <w:i w:val="1"/>
                <w:vertAlign w:val="superscript"/>
                <w:rtl w:val="0"/>
              </w:rPr>
              <w:t xml:space="preserve">6</w:t>
            </w:r>
            <w:r w:rsidR="00000000" w:rsidRPr="00000000" w:rsidDel="00000000">
              <w:rPr>
                <w:i w:val="1"/>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i w:val="1"/>
                <w:vertAlign w:val="superscript"/>
                <w:rtl w:val="0"/>
              </w:rPr>
              <w:t xml:space="preserve">6</w:t>
            </w:r>
            <w:r w:rsidR="00000000" w:rsidRPr="00000000" w:rsidDel="00000000">
              <w:rPr>
                <w:i w:val="1"/>
                <w:rtl w:val="0"/>
              </w:rPr>
              <w:t xml:space="preserve">1. apakšpunktā minētais uzlādes punktu skaits, pieņemot, ka katra jauda būtu 11 kW. Minētais princips piemērojams tik tālu, cik tas nodrošinātu autostāvvietas lietotāju vajadzības par nepieciešamo uzlādes punktu skaitu.</w:t>
            </w:r>
            <w:r w:rsidR="00000000" w:rsidRPr="00000000" w:rsidDel="00000000">
              <w:rPr>
                <w:i w:val="1"/>
                <w:rtl w:val="0"/>
              </w:rPr>
              <w:t xml:space="preserve">130.</w:t>
            </w:r>
            <w:r w:rsidR="00000000" w:rsidRPr="00000000" w:rsidDel="00000000">
              <w:rPr>
                <w:i w:val="1"/>
                <w:vertAlign w:val="superscript"/>
                <w:rtl w:val="0"/>
              </w:rPr>
              <w:t xml:space="preserve">23</w:t>
            </w:r>
            <w:r w:rsidR="00000000" w:rsidRPr="00000000" w:rsidDel="00000000">
              <w:rPr>
                <w:i w:val="1"/>
                <w:rtl w:val="0"/>
              </w:rPr>
              <w:t xml:space="preserve">  Ja pastāv kopējā tīkla ierobežojumi vai ir grūti prognozēt ar iepriekš ierīkotu kabeļu ierīkošanu saistītās tālākās faktiskās vajadzības, tad šo noteikumu 130.</w:t>
            </w:r>
            <w:r w:rsidR="00000000" w:rsidRPr="00000000" w:rsidDel="00000000">
              <w:rPr>
                <w:i w:val="1"/>
                <w:vertAlign w:val="superscript"/>
                <w:rtl w:val="0"/>
              </w:rPr>
              <w:t xml:space="preserve">6</w:t>
            </w:r>
            <w:r w:rsidR="00000000" w:rsidRPr="00000000" w:rsidDel="00000000">
              <w:rPr>
                <w:i w:val="1"/>
                <w:rtl w:val="0"/>
              </w:rPr>
              <w:t xml:space="preserve">2. un 130.</w:t>
            </w:r>
            <w:r w:rsidR="00000000" w:rsidRPr="00000000" w:rsidDel="00000000">
              <w:rPr>
                <w:i w:val="1"/>
                <w:vertAlign w:val="superscript"/>
                <w:rtl w:val="0"/>
              </w:rPr>
              <w:t xml:space="preserve">7</w:t>
            </w:r>
            <w:r w:rsidR="00000000" w:rsidRPr="00000000" w:rsidDel="00000000">
              <w:rPr>
                <w:i w:val="1"/>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metodoloģijas neesamību energosnieguma un emisiju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paredzēta energoefektivitātes, emisiju un izmaksu lietderības izvērtēšana, taču nav noteikta konkrēta metodoloģija, pēc kuras šī izvērtēšana būtu veicama. Ēku energosnieguma aprēķina metodika Latvijā jau ir noteikta Ministru kabineta 2021. gada 8. aprīļa noteikumos Nr. 222 “Ēku energoefektivitātes aprēķina metodes un ēku energosertifikācijas noteikumi”. Minētie noteikumi nosaka ēku energoefektivitātes aprēķina kārtību, primārās enerģijas aprēķina principus, atjaunojamās enerģijas īpatsvara noteikšanu un energosertifikācijas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skaidri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jaunās prasības tiek vērtētas, izmantojot MK noteikumos Nr. 222 noteikto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paredzēta papildu metodika (piemēram, pilna aprites cikla emisiju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veidā jaunās prasības tiks integrētas esošajā energosertifikācijas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skaidras metodoloģiskās sasaistes ar MK noteikumiem Nr. 222 regulējuma prasību izpilde būs apgrūtināta un var radīt strīdus gan būvniecības procesā, gan publiskā finansējuma un grantu programmās, kur atbilstības pārbaude balstās uz formāli definētiem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minētos jautājumus risinās Direktīvas 2042/1275 transponēšanai sagatavotie grozījumi Ministru kabineta 2021. gada 8. aprīļa noteikumos Nr. 222 </w:t>
            </w:r>
            <w:r w:rsidR="00000000" w:rsidRPr="00000000" w:rsidDel="00000000">
              <w:rPr>
                <w:i w:val="1"/>
                <w:rtl w:val="0"/>
              </w:rPr>
              <w:t xml:space="preserve">“Ēku energoefektivitātes aprēķina metodes un ēku energosertifikācijas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ekonomiskās pamatotības kritērija nenoteiktību un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lietots formulējums “ekonomiski pamatoti” vai “ekonomiski iespējams” un “izmakslietderīgi”, taču nav noteikta aprēķina kārtība un izvērtēšanas parametri. Nav definēts vērtēšanas laika horizonts, enerģijas cenu pieņēmumi, diskonta likmes piemērošana, kā arī izvērtējuma skatpunkts (investora, sabiedrības vai klimata politikas kontekstā). Tāpat nav precizēts, kurš eksperts sagatavo un kurš pārbauda ekonomisko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projektā nav skaidri noteikts, kurš speciālists ir atbildīgs par prasību izpildes izvērtēšanu – vai tas ir ēku energoefektivitātes eksperts saskaņā ar MK noteikumiem Nr. 222, AVK projektētājs vai cits būvspeciālists. Šāda nenoteiktība rada profesionālās atbildības risku un var izraisīt atšķirīgu normu interpretāciju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faktoru izvērtēšana nav Latvijas būvnormatīviem piekritīgs jautājums, attiecīgi, iebildums šajā daļā nav attiecināms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būvniecības dalībnieka atbildība ir noteikta citos normatīvajos aktos, tajā skaitā Būvniecības likumā. Atbildību nenosaka būvnormatīvi, līdz ar to iebildums arī šajā jomā nav attiecināms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"Vispārīgās prasības energoefektivitātes un elektromobilitātes jomā"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un 130.</w:t>
            </w:r>
            <w:r w:rsidR="00000000" w:rsidRPr="00000000" w:rsidDel="00000000">
              <w:rPr>
                <w:vertAlign w:val="superscript"/>
                <w:rtl w:val="0"/>
              </w:rPr>
              <w:t xml:space="preserve">19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(ēku atjaunošanai un pārbūvei)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Ja tas ir tehniski piemēroti, ekonomiski un funkcionāli īstenojami, tad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ēkai, kas ir publisko struktūru īpašumā.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kopējā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w:t>
            </w:r>
            <w:r w:rsidR="00000000" w:rsidRPr="00000000" w:rsidDel="00000000">
              <w:rPr>
                <w:color w:val="#c0392b"/>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kabeļkanālus (elektrības kabeļiem paredzētus kanālus), lai vēlāk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 i., elektrības kabeļiem paredzētus kanālus, lai vēlākā stadijā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var nepiemērot izolētai mikrosistēmai, ja prasību izpildes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vajadzības gadījumā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ekspluatāciju, balstoties uz bezīpašnieka un nediskriminējošiem sakaru protokoliem un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14</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sz w:val="20"/>
                <w:vertAlign w:val="superscript"/>
                <w:rtl w:val="0"/>
              </w:rPr>
              <w:t xml:space="preserve">7</w:t>
            </w:r>
            <w:r w:rsidR="00000000" w:rsidRPr="00000000" w:rsidDel="00000000">
              <w:rPr>
                <w:rtl w:val="0"/>
              </w:rPr>
              <w:t xml:space="preserve">3.apakšpunktā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15</w:t>
            </w:r>
            <w:r w:rsidR="00000000" w:rsidRPr="00000000" w:rsidDel="00000000">
              <w:rPr>
                <w:sz w:val="20"/>
                <w:rtl w:val="0"/>
              </w:rPr>
              <w:t xml:space="preserve">.</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Ja tas ir tehniski iespējams un ekonomiski pamatoti, tad jaunu dzīvojamo ēku un nozīmīgi atjaunotu dzīvojamo ēku (izņemot veinģimeņu māju, ja izmaksas pārsniedz ieguvumus)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Ēkas nozīmīgas atjaunošanas gadījumā izvērtē augstas efektivitātes alternatīvu sistēmu izmantošanu, piemēram, nelielu vēja elektrostaciju ierīkošanu,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1</w:t>
            </w:r>
            <w:r w:rsidR="00000000" w:rsidRPr="00000000" w:rsidDel="00000000">
              <w:rPr>
                <w:rtl w:val="0"/>
              </w:rPr>
              <w:t xml:space="preserve"> nodaļā un 12.12. pakšnodaļā vārds "ēka" ir lietots ar nozīmi, ka tā ir būve ar jumtu un sienām, kurai iekštelpu vides regulēšanai izmanto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1.iebildums]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Noteikumu projekta anotācijā skaidrotais risinājums Direktīvas Nr. 2024/1275 10. panta 4. punkta (paredz atkāpi) ieviešanai, paredzot tikai un vienīgi Būvniecības likuma 9.1 panta devītajā daļā paredzētā instrumenta piemērošanu atkāpēm attiecībā uz prasību saules iekārtu uzstādīšanai ēkās, ārējā normatīvajā aktā nenosakot skaidrus izņēmumus atsevišķām ēku grupām, rada bažas, ka tādējādi Latvijas normatīvie tiesību akti būvniecības jomā paredzēs stingrākas prasības nekā Direktīvā Nr. 2024/1275 noteiktās minimālās prasības, negatīvi ietekmējot Latvijas uzņēmumus dažādos tautsaimniecības sektoros. LTRK lūdz Ministrijai atkārtoti izvērtēt Direktīvā Nr. 2024/1275 pieejamās elastības iespējas, tostarp, kontekstā ar Eiropas Komisijas paziņojumu, kurā sniegti norādījumi par jauniem vai būtiski grozītiem pārstrādātās Ēku energosnieguma direktīvas (ES) 2024/1275 noteikumiem (C/2025/6438)[1] (turpmāk – EPDB paziņojums), nodrošinot datos balstītu lēmumu pieņemšanu. Papildus norādāms, ka arī publiskās apspriešanas laikā saņemto viedokļu apkopojumā ir norādīts, ka atkāpes varēs tikt paredzētas tikai saskaņā ar Būvniecības likuma 9.1 pantā paredzēto instrumentu attiecībā uz uzlādes staciju jaudām, kabeļkanāliem un velosipēdu novietnēm. Nenosakot konkrētas atkāpes jau Noteikumu projektā, pastāv iespēja, ka atkāpju piemērošanas prakse nebūs vienveidīga dažādās pašvaldību būvvaldēs, tādējādi ierobežojot attīstītāju iespējas izvēlēties tikpat ekoloģisku vai pat ekoloģiskāku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ievērojot saražotās saules enerģijas projektu apjomu pēdējo divu gadu periodā un esošās neskaidrības ar enerģijas balansēšanas tirgu, saules enerģijas ražošanas aktīvajā periodā elektroenerģijas cenas biržā bieži ir ļoti zemas. Attiecīgi ēku īpašniekiem var būt būtiski apgrūtināta saules enerģijas ražošanā veikto investīciju atpelnīšana. Turklāt šādu prasību ieviešana var veicināt enerģijas ražošanas disbalansu jau tā neskaidrā balansēšanas tirgus situācijā. LTRK ieskatā kā viens no iespējamajiem risinājumiem būtu paredzēt grantu vai citu atbalsta programmu ēku īpašniekiem atjaunojamās enerģijas ģenerācijas investīciju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https://eur-lex.europa.eu/legal-content/LV/TXT/PDF/?uri=OJ:C_202506438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precizēts. Tagad tas nosaka izņēmumus un gadījumus, kad prasības nav saistošas, proti, bez Būvniecības likuma 9.</w:t>
            </w:r>
            <w:r w:rsidR="00000000" w:rsidRPr="00000000" w:rsidDel="00000000">
              <w:rPr>
                <w:vertAlign w:val="superscript"/>
                <w:rtl w:val="0"/>
              </w:rPr>
              <w:t xml:space="preserve">1</w:t>
            </w:r>
            <w:r w:rsidR="00000000" w:rsidRPr="00000000" w:rsidDel="00000000">
              <w:rPr>
                <w:rtl w:val="0"/>
              </w:rPr>
              <w:t xml:space="preserve">pantā noteikto atkāpju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Būvnormatīvi neregulē finanšu atbalstu jautājumus, līdz ar to iebildums daļā par grantu vai citu atbalsta programmu ēku īpašniekiem atjaunojamās enerģijas ģenerācijas investīciju veikšanai nav attiecināms uz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"Vispārīgās prasības energoefektivitātes un elektromobilitātes jomā"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un 130.</w:t>
            </w:r>
            <w:r w:rsidR="00000000" w:rsidRPr="00000000" w:rsidDel="00000000">
              <w:rPr>
                <w:vertAlign w:val="superscript"/>
                <w:rtl w:val="0"/>
              </w:rPr>
              <w:t xml:space="preserve">19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(ēku atjaunošanai un pārbūvei)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Ja tas ir tehniski piemēroti, ekonomiski un funkcionāli īstenojami, tad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ēkai, kas ir publisko struktūru īpašumā.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kopējā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w:t>
            </w:r>
            <w:r w:rsidR="00000000" w:rsidRPr="00000000" w:rsidDel="00000000">
              <w:rPr>
                <w:color w:val="#c0392b"/>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kabeļkanālus (elektrības kabeļiem paredzētus kanālus), lai vēlāk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 i., elektrības kabeļiem paredzētus kanālus, lai vēlākā stadijā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var nepiemērot izolētai mikrosistēmai, ja prasību izpildes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vajadzības gadījumā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ekspluatāciju, balstoties uz bezīpašnieka un nediskriminējošiem sakaru protokoliem un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14</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sz w:val="20"/>
                <w:vertAlign w:val="superscript"/>
                <w:rtl w:val="0"/>
              </w:rPr>
              <w:t xml:space="preserve">7</w:t>
            </w:r>
            <w:r w:rsidR="00000000" w:rsidRPr="00000000" w:rsidDel="00000000">
              <w:rPr>
                <w:rtl w:val="0"/>
              </w:rPr>
              <w:t xml:space="preserve">3.apakšpunktā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15</w:t>
            </w:r>
            <w:r w:rsidR="00000000" w:rsidRPr="00000000" w:rsidDel="00000000">
              <w:rPr>
                <w:sz w:val="20"/>
                <w:rtl w:val="0"/>
              </w:rPr>
              <w:t xml:space="preserve">.</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Ja tas ir tehniski iespējams un ekonomiski pamatoti, tad jaunu dzīvojamo ēku un nozīmīgi atjaunotu dzīvojamo ēku (izņemot veinģimeņu māju, ja izmaksas pārsniedz ieguvumus)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Ēkas nozīmīgas atjaunošanas gadījumā izvērtē augstas efektivitātes alternatīvu sistēmu izmantošanu, piemēram, nelielu vēja elektrostaciju ierīkošanu,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1</w:t>
            </w:r>
            <w:r w:rsidR="00000000" w:rsidRPr="00000000" w:rsidDel="00000000">
              <w:rPr>
                <w:rtl w:val="0"/>
              </w:rPr>
              <w:t xml:space="preserve"> nodaļā un 12.12. pakšnodaļā vārds "ēka" ir lietots ar nozīmi, ka tā ir būve ar jumtu un sienām, kurai iekštelpu vides regulēšanai izmanto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2.iebildums]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attiecībā uz Noteikumu projekta 130.6 punktu, kas paredz noteikt prasības uzlādei, aicina tās pārskatīt, ņemot vērā EPBD paziņojuma 9. pielikuma 4.1. punktā sniegto norādi, ka dalībvalstis var apsvērt iespēju paredzēt noteiktu elastību, izstrādājot savas prasības par uzlādes punktiem šai ēku kategorijai, ja vien tās nodrošina vajadzīgā uzlādes punktu skaita pieejamību, ņemot vērā autostāvvietas lietotāju vajadzības. Tāpat dalībvalstij ir pienākums īstenot direktīvu, sasniegt direktīvas mērķi, īstenojot Līguma par Eiropas Savienības darbību 288. panta 3. punktā noteikto brīvību izvēlēties īstenošanas formas un metodes, izmantojot vēl efektīvākus alternatīvus līdzekļus, kas atsevišķos gadījumos pēc iespējas precīzāk atbilst samērīguma principam. LTRK aicina kopīgi ar nozares uzņēmumiem izvērtēt risinājumu, kas, tā vietā, lai uzlādes punktus vērtētu pēc to skaita, paredz piemērot īpašu kvalitatīvu, uz jaudu balstītu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ekoloģiskā un ekonomiskā aspekta būtu loģiski noteikt iespēju izpildīt savas tīri kvantitatīvās saistības uzstādīt konkrētu skaitu uzlādes punktus, pamatojoties uz vajadzību analīzi. Attiecīgi pamatojoties uz lietotāju vai klientu vajadzībām un ņemot vērā ekonomiskos apsvērumus – uzstādīt ātrās uzlādes punktus, nevis lētākus, bet mazāk jaudīgus, parastos uzlādes punktus. Tā vietā, lai uzlādes punktus uzskaitītu pēc to skaita, būtu lietderīgi ieviest īpašu kvalitatīvu, uz jaudu balstītu noteikumu kā līdzvērtīgu iespēju prasību izpildei. Attiecīgi noteikt, ka ir pieļaujams aizstāt kvantitatīvo prasību uz katrām piecām autostāvvietām izvietot vienu uzlādes punktu, ar iespēju izvietot mazāku skaitu lielākas jaudas uzlādes punktus, kuru jauda pārsniegtu Direktīvā Nr. 2024/1275 noteikto uzlādes punktu skaitu reizinot to ar 11 kW, kas praksē ir uzskatāma par parasto uzlādes jaudu. Piemēram, ja saskaņā ar Direktīvu Nr. 2024/1275 būtu jāizvieto 20 uzlādes punkti, tad īpašnieks būtu tiesīgs izvēlēties uzstādīt 20 punktus ar jebkādu jaudu, vai arī tos aizstāt ar uzlādes punktiem kuru jauda būtu lielāka par 20x11 kW, kas ir 220 kW. Attiecīgi īpašnieks varētu uzstādīt piecus 50 kW uzlādes punktus. Īstenojot noteikumus valsts mērogā, kas paredz stingru uzlādes punktu skaitu, radīsies masveida nepamatotas investīcijas un pārmērīgs piedāvājums, kurš neatbildīs pieprasījumam. Mēs uzskatām, ka ir nepieciešami elastīgi noteikumi, kuri pamatojas uz lietotāju uzvedību un tehniskajām nepieciešamībām. Vēlamies uzsvērt, ka šāda pieeja atbilstu Eiropas Savienības tiesību aktiem. Nosakot nepieciešamību uzstādīt lielāku jaudu nekā to būtu pienākums uzstādot vairākas lēnas uzlādes stacijas, tiktu pārsniegtas direktīvā noteiktās minimālās prasības. Tas atbilstu arī Direktīvas Nr. 2024/1275 nosacījumam, kas neliedz dalībvalstīm uzturēt spēkā vai ieviest stingrākus pasākumus. Šāda aizstāšana balstītos uz kvalitatīvo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 šobrīd Latvijas normatīvajos aktos, tostarp Ēku energoefektivitātes likumā, ir noteiktas konkrētas prasības attiecībā uz minimālo elektrouzlādes staciju skaitu pie publiskām ēkām. Praksē šo prasību īstenošanas gaitā ir identificēta problēma, ka elektroinfrastruktūras operatori, tostarp AS “Sadales tīkls”, nav gatavi būtiskam pieprasījuma pieaugumam pēc augstas jaudas uzlādes stacijām. Vienlaikus zemas jaudas uzlādes risinājumi nav pievilcīgi ne operatoriem, ne lietotājiem. Ņemot vērā arī to, ka elektroauto izmantošanas un pārdošanas apjomi Latvijā nav būtiski pieauguši, šādas infrastruktūras izbūve lielā apjomā var radīt nesamērīgas izmaksas. LTRK ieskatā esošajā situācijā, kad jau ir spēkā minimālās prasības attiecībā uz elektrouzlādes staciju skaitu pie publiskām ēkām, nav pamatoti paplašināt šīs prasības attiecībā uz ēku atjaunošanas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iespēju atkāpties no kvantitatīvo (uzlādes punktu skaita) rādītāju izpildes, ja tiek nodrošināta kvalitatīvo rādītāju izpilde (uzlādes punktu kopējā jauda netiek samazināta).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"Vispārīgās prasības energoefektivitātes un elektromobilitātes jomā"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un 130.</w:t>
            </w:r>
            <w:r w:rsidR="00000000" w:rsidRPr="00000000" w:rsidDel="00000000">
              <w:rPr>
                <w:vertAlign w:val="superscript"/>
                <w:rtl w:val="0"/>
              </w:rPr>
              <w:t xml:space="preserve">19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(ēku atjaunošanai un pārbūvei)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Ja tas ir tehniski piemēroti, ekonomiski un funkcionāli īstenojami, tad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ēkai, kas ir publisko struktūru īpašumā.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kopējā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w:t>
            </w:r>
            <w:r w:rsidR="00000000" w:rsidRPr="00000000" w:rsidDel="00000000">
              <w:rPr>
                <w:color w:val="#c0392b"/>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kabeļkanālus (elektrības kabeļiem paredzētus kanālus), lai vēlāk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 i., elektrības kabeļiem paredzētus kanālus, lai vēlākā stadijā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var nepiemērot izolētai mikrosistēmai, ja prasību izpildes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vajadzības gadījumā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ekspluatāciju, balstoties uz bezīpašnieka un nediskriminējošiem sakaru protokoliem un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14</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sz w:val="20"/>
                <w:vertAlign w:val="superscript"/>
                <w:rtl w:val="0"/>
              </w:rPr>
              <w:t xml:space="preserve">7</w:t>
            </w:r>
            <w:r w:rsidR="00000000" w:rsidRPr="00000000" w:rsidDel="00000000">
              <w:rPr>
                <w:rtl w:val="0"/>
              </w:rPr>
              <w:t xml:space="preserve">3.apakšpunktā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15</w:t>
            </w:r>
            <w:r w:rsidR="00000000" w:rsidRPr="00000000" w:rsidDel="00000000">
              <w:rPr>
                <w:sz w:val="20"/>
                <w:rtl w:val="0"/>
              </w:rPr>
              <w:t xml:space="preserve">.</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Ja tas ir tehniski iespējams un ekonomiski pamatoti, tad jaunu dzīvojamo ēku un nozīmīgi atjaunotu dzīvojamo ēku (izņemot veinģimeņu māju, ja izmaksas pārsniedz ieguvumus)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Ēkas nozīmīgas atjaunošanas gadījumā izvērtē augstas efektivitātes alternatīvu sistēmu izmantošanu, piemēram, nelielu vēja elektrostaciju ierīkošanu,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1</w:t>
            </w:r>
            <w:r w:rsidR="00000000" w:rsidRPr="00000000" w:rsidDel="00000000">
              <w:rPr>
                <w:rtl w:val="0"/>
              </w:rPr>
              <w:t xml:space="preserve"> nodaļā un 12.12. pakšnodaļā vārds "ēka" ir lietots ar nozīmi, ka tā ir būve ar jumtu un sienām, kurai iekštelpu vides regulēšanai izmanto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3.iebildums]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130.</w:t>
            </w:r>
            <w:r w:rsidR="00000000" w:rsidRPr="00000000" w:rsidDel="00000000">
              <w:rPr>
                <w:vertAlign w:val="superscript"/>
                <w:rtl w:val="0"/>
              </w:rPr>
              <w:t xml:space="preserve">6</w:t>
            </w:r>
            <w:r w:rsidR="00000000" w:rsidRPr="00000000" w:rsidDel="00000000">
              <w:rPr>
                <w:rtl w:val="0"/>
              </w:rPr>
              <w:t xml:space="preserve"> 2. punktā noteikto prasību priekšlaicīgi ierīkot vismaz 50% automašīnu stāvvietām kabeļus vēlamies uzsvērt, ka EPBD paziņojumā ir noteikts, ka dalībvalsts var apsvērt kabeļu iepriekšējas ievilkšanas aizstāšanu ar kabeļkanāliem ar ievilcējvadu. Mūsu ieskatā kabeļkanāli ar ievilcējvadu sasniegtu Direktīvas Nr. 2024/1275 mērķi pat vēl labāk, jo netiktu radītas papildu siltumnīcefekta gāzes, priekšlaicīgi ievietojot kabeļus, kas iespējams nākotnē nebūs atbilstoši vai nenodrošinās pietiekamu jaudu, kā rezultātā būvniecība būs jāveic atkārtoti. Papildus vēlamies norādīt, ka Noteikumu projekta anotācijā noteikti būtu uzsverams EPBD paziņojumā noteiktais, ka uzlādes punktu kabeļi tiek ieskaitīti 50% apmērā ar priekšlaicīgi izvietotajiem kabeļiem. Piemēram, autostāvvietā, kurā ir 20 automašīnu stāvvietas vietas, 10 vietās, t. i., 50 %, vajadzētu būt priekšlaicīgi ievilktiem kabeļiem. Turklāt uz katrām piecām stāvvietas vietām jābūt vismaz vienam uzlādes punktam, t. i., šajā piemērā jābūt vismaz četriem uzlādes punktiem. Šie četri uzlādes punkti būtu jāuzstāda četrās no 10 stāvvietas vietām, kurās veikta kabeļu iepriekšēja ievilkšana.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jaunu 11.</w:t>
            </w:r>
            <w:r w:rsidR="00000000" w:rsidRPr="00000000" w:rsidDel="00000000">
              <w:rPr>
                <w:vertAlign w:val="superscript"/>
                <w:rtl w:val="0"/>
              </w:rPr>
              <w:t xml:space="preserve">1 </w:t>
            </w:r>
            <w:r w:rsidR="00000000" w:rsidRPr="00000000" w:rsidDel="00000000">
              <w:rPr>
                <w:rtl w:val="0"/>
              </w:rPr>
              <w:t xml:space="preserve">nodaļu "Vispārīgās prasības energoefektivitātes un elektromobilitātes jomā"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un 130.</w:t>
            </w:r>
            <w:r w:rsidR="00000000" w:rsidRPr="00000000" w:rsidDel="00000000">
              <w:rPr>
                <w:vertAlign w:val="superscript"/>
                <w:rtl w:val="0"/>
              </w:rPr>
              <w:t xml:space="preserve">19</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(ēku atjaunošanai un pārbūvei)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Ja tas ir tehniski piemēroti, ekonomiski un funkcionāli īstenojami, tad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ēkai, kas ir publisko struktūru īpašumā. Šā apakšpunkta prasība ir piemērojama no 2026.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kopējā platību lielāku par 250m</w:t>
            </w:r>
            <w:r w:rsidR="00000000" w:rsidRPr="00000000" w:rsidDel="00000000">
              <w:rPr>
                <w:vertAlign w:val="superscript"/>
                <w:rtl w:val="0"/>
              </w:rPr>
              <w:t xml:space="preserve">2</w:t>
            </w:r>
            <w:r w:rsidR="00000000" w:rsidRPr="00000000" w:rsidDel="00000000">
              <w:rPr>
                <w:rtl w:val="0"/>
              </w:rPr>
              <w:t xml:space="preserve">. Šā apakšpunkta prasība ir piemērojama no 2026. gada 31. decembra;</w:t>
            </w:r>
            <w:r w:rsidR="00000000" w:rsidRPr="00000000" w:rsidDel="00000000">
              <w:rPr>
                <w:color w:val="#c0392b"/>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 Šā apakšpunkta prasība ir piemērojama no 2029. gada 31.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 Šā apakšpunkta prasība ir piemērojama no 2029.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 Šā apakšpunkta prasība piemērojama no 2027. gada 31. 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kabeļkanālus (elektrības kabeļiem paredzētus kanālus), lai vēlāk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 i., elektrības kabeļiem paredzētus kanālus, lai vēlākā stadijā būtu iespējams ierīkot elektrotransportlīdzekļu, ar elektroenerģiju darbināmu velosipēdu un citu L kategorijas transportlīdzekļu tipu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var nepiemērot izolētai mikrosistēmai, ja prasību izpildes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vajadzības gadījumā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ekspluatāciju, balstoties uz bezīpašnieka un nediskriminējošiem sakaru protokoliem un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14</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sz w:val="20"/>
                <w:vertAlign w:val="superscript"/>
                <w:rtl w:val="0"/>
              </w:rPr>
              <w:t xml:space="preserve">7</w:t>
            </w:r>
            <w:r w:rsidR="00000000" w:rsidRPr="00000000" w:rsidDel="00000000">
              <w:rPr>
                <w:rtl w:val="0"/>
              </w:rPr>
              <w:t xml:space="preserve">3.apakšpunktā noteiktās prasības par velosipēdu stāvvietu skaitu var koriģēt ar būvspeciālista pamatojumu, to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15</w:t>
            </w:r>
            <w:r w:rsidR="00000000" w:rsidRPr="00000000" w:rsidDel="00000000">
              <w:rPr>
                <w:sz w:val="20"/>
                <w:rtl w:val="0"/>
              </w:rPr>
              <w:t xml:space="preserve">.</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Ja tas ir tehniski iespējams un ekonomiski pamatoti, tad jaunu dzīvojamo ēku un nozīmīgi atjaunotu dzīvojamo ēku (izņemot veinģimeņu māju, ja izmaksas pārsniedz ieguvumus)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Ēkas nozīmīgas atjaunošanas gadījumā izvērtē augstas efektivitātes alternatīvu sistēmu izmantošanu, piemēram, nelielu vēja elektrostaciju ierīkošanu,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1</w:t>
            </w:r>
            <w:r w:rsidR="00000000" w:rsidRPr="00000000" w:rsidDel="00000000">
              <w:rPr>
                <w:rtl w:val="0"/>
              </w:rPr>
              <w:t xml:space="preserve"> nodaļā un 12.12. pakšnodaļā vārds "ēka" ir lietots ar nozīmi, ka tā ir būve ar jumtu un sienām, kurai iekštelpu vides regulēšanai izmanto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4.iebildums]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atbilstoši Direktīvas Nr. 2024/1275 14. panta 3. punktam dalībvalstīm ir tiesības koriģēt prasības attiecībā uz vietu skaitu velosipēdu stāvvietā konkrētām nedzīvojamo ēku kategorijām, kurām parasti ar velosipēdu nepiekļūst. Uzskatām, ka veloinfrastruktūras attīstība ir prioritizējama mērķtiecīgi – tajās pilsētvides zonās, kur pastāv reāls pieprasījums. Kā izņēmumi, kur nepastāvētu pietiekams pieprasījums būtu norādāmi, piemēram, objekti ārpus pilsētām, ražošanas infrastruktūra, noliktavas, palīgēkas u.c. objekti. Nepamatota būvniecības apjomu palielināšana vietās ar zemu pieprasījumu ir pretrunā ar ilgtspējas principiem, jo lieka materiālu izmantošana rada nevajadzīgu siltumnīcefekta gāzu (SEG) emisiju slogu būvniecības procesā. Papildus norādām, ka esošie tehnoloģiskie risinājumi nodrošina elektrovelosipēdu sniedzamību līdz pat 100 km, kas ir pietiekami ikdienas mobilitātes vajadzībām bez papildu uzlādes. Līdz ar to obligāta uzlādes punktu izbūve publiskās stāvvietās šobrīd vispārīgi pat nebūtu uzskatāma par kritisku vai lietderīgu investīciju.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tajā nosakot ēku kategorijas uz kurām neattiecās velostāvvietu ierīkošanas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neparedz velosipēdu uzlādes vietu (parastu sadzīves rozešu) ierīkošanu uzreiz. Vienlaikus, prasības kabeļu iepriekšējai ierīkošanai un kabeļu kanālu paredzēšanai tiek pamatota ar ideju, ka būtu jānodrošina maksimāli daudz, lai šādu velosipēdu uzlādes vietu (parastu sadzīves rozešu) ierīkošana būtu iespējama un vienkārša, ja parādās šāda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jaunu 11.</w:t>
            </w:r>
            <w:r w:rsidR="00000000" w:rsidRPr="00000000" w:rsidDel="00000000">
              <w:rPr>
                <w:vertAlign w:val="superscript"/>
                <w:rtl w:val="0"/>
              </w:rPr>
              <w:t xml:space="preserve">1 </w:t>
            </w:r>
            <w:r w:rsidR="00000000" w:rsidRPr="00000000" w:rsidDel="00000000">
              <w:rPr>
                <w:rtl w:val="0"/>
              </w:rPr>
              <w:t xml:space="preserve">nodaļu "Energoefektivitāte un elektromobilitāte" ar 130.</w:t>
            </w:r>
            <w:r w:rsidR="00000000" w:rsidRPr="00000000" w:rsidDel="00000000">
              <w:rPr>
                <w:vertAlign w:val="superscript"/>
                <w:rtl w:val="0"/>
              </w:rPr>
              <w:t xml:space="preserve">2</w:t>
            </w:r>
            <w:r w:rsidR="00000000" w:rsidRPr="00000000" w:rsidDel="00000000">
              <w:rPr>
                <w:rtl w:val="0"/>
              </w:rPr>
              <w:t xml:space="preserve">., 130.</w:t>
            </w:r>
            <w:r w:rsidR="00000000" w:rsidRPr="00000000" w:rsidDel="00000000">
              <w:rPr>
                <w:vertAlign w:val="superscript"/>
                <w:rtl w:val="0"/>
              </w:rPr>
              <w:t xml:space="preserve">3</w:t>
            </w:r>
            <w:r w:rsidR="00000000" w:rsidRPr="00000000" w:rsidDel="00000000">
              <w:rPr>
                <w:rtl w:val="0"/>
              </w:rPr>
              <w:t xml:space="preserve">., 130.</w:t>
            </w:r>
            <w:r w:rsidR="00000000" w:rsidRPr="00000000" w:rsidDel="00000000">
              <w:rPr>
                <w:vertAlign w:val="superscript"/>
                <w:rtl w:val="0"/>
              </w:rPr>
              <w:t xml:space="preserve">4</w:t>
            </w:r>
            <w:r w:rsidR="00000000" w:rsidRPr="00000000" w:rsidDel="00000000">
              <w:rPr>
                <w:rtl w:val="0"/>
              </w:rPr>
              <w:t xml:space="preserve">., 130.</w:t>
            </w:r>
            <w:r w:rsidR="00000000" w:rsidRPr="00000000" w:rsidDel="00000000">
              <w:rPr>
                <w:vertAlign w:val="superscript"/>
                <w:rtl w:val="0"/>
              </w:rPr>
              <w:t xml:space="preserve">5</w:t>
            </w:r>
            <w:r w:rsidR="00000000" w:rsidRPr="00000000" w:rsidDel="00000000">
              <w:rPr>
                <w:rtl w:val="0"/>
              </w:rPr>
              <w:t xml:space="preserve">., 130.</w:t>
            </w:r>
            <w:r w:rsidR="00000000" w:rsidRPr="00000000" w:rsidDel="00000000">
              <w:rPr>
                <w:vertAlign w:val="superscript"/>
                <w:rtl w:val="0"/>
              </w:rPr>
              <w:t xml:space="preserve">6</w:t>
            </w:r>
            <w:r w:rsidR="00000000" w:rsidRPr="00000000" w:rsidDel="00000000">
              <w:rPr>
                <w:rtl w:val="0"/>
              </w:rPr>
              <w:t xml:space="preserve">., 130.</w:t>
            </w:r>
            <w:r w:rsidR="00000000" w:rsidRPr="00000000" w:rsidDel="00000000">
              <w:rPr>
                <w:vertAlign w:val="superscript"/>
                <w:rtl w:val="0"/>
              </w:rPr>
              <w:t xml:space="preserve">7</w:t>
            </w:r>
            <w:r w:rsidR="00000000" w:rsidRPr="00000000" w:rsidDel="00000000">
              <w:rPr>
                <w:rtl w:val="0"/>
              </w:rPr>
              <w:t xml:space="preserve">., 130.</w:t>
            </w:r>
            <w:r w:rsidR="00000000" w:rsidRPr="00000000" w:rsidDel="00000000">
              <w:rPr>
                <w:vertAlign w:val="superscript"/>
                <w:rtl w:val="0"/>
              </w:rPr>
              <w:t xml:space="preserve">8</w:t>
            </w:r>
            <w:r w:rsidR="00000000" w:rsidRPr="00000000" w:rsidDel="00000000">
              <w:rPr>
                <w:rtl w:val="0"/>
              </w:rPr>
              <w:t xml:space="preserve">., 130.</w:t>
            </w:r>
            <w:r w:rsidR="00000000" w:rsidRPr="00000000" w:rsidDel="00000000">
              <w:rPr>
                <w:vertAlign w:val="superscript"/>
                <w:rtl w:val="0"/>
              </w:rPr>
              <w:t xml:space="preserve">9</w:t>
            </w:r>
            <w:r w:rsidR="00000000" w:rsidRPr="00000000" w:rsidDel="00000000">
              <w:rPr>
                <w:rtl w:val="0"/>
              </w:rPr>
              <w:t xml:space="preserve">., 130.</w:t>
            </w:r>
            <w:r w:rsidR="00000000" w:rsidRPr="00000000" w:rsidDel="00000000">
              <w:rPr>
                <w:vertAlign w:val="superscript"/>
                <w:rtl w:val="0"/>
              </w:rPr>
              <w:t xml:space="preserve">10</w:t>
            </w:r>
            <w:r w:rsidR="00000000" w:rsidRPr="00000000" w:rsidDel="00000000">
              <w:rPr>
                <w:rtl w:val="0"/>
              </w:rPr>
              <w:t xml:space="preserve">., 130.</w:t>
            </w:r>
            <w:r w:rsidR="00000000" w:rsidRPr="00000000" w:rsidDel="00000000">
              <w:rPr>
                <w:vertAlign w:val="superscript"/>
                <w:rtl w:val="0"/>
              </w:rPr>
              <w:t xml:space="preserve">11</w:t>
            </w:r>
            <w:r w:rsidR="00000000" w:rsidRPr="00000000" w:rsidDel="00000000">
              <w:rPr>
                <w:rtl w:val="0"/>
              </w:rPr>
              <w:t xml:space="preserve">., 130.</w:t>
            </w:r>
            <w:r w:rsidR="00000000" w:rsidRPr="00000000" w:rsidDel="00000000">
              <w:rPr>
                <w:vertAlign w:val="superscript"/>
                <w:rtl w:val="0"/>
              </w:rPr>
              <w:t xml:space="preserve">12</w:t>
            </w:r>
            <w:r w:rsidR="00000000" w:rsidRPr="00000000" w:rsidDel="00000000">
              <w:rPr>
                <w:rtl w:val="0"/>
              </w:rPr>
              <w:t xml:space="preserve">., 130.</w:t>
            </w:r>
            <w:r w:rsidR="00000000" w:rsidRPr="00000000" w:rsidDel="00000000">
              <w:rPr>
                <w:vertAlign w:val="superscript"/>
                <w:rtl w:val="0"/>
              </w:rPr>
              <w:t xml:space="preserve">13</w:t>
            </w:r>
            <w:r w:rsidR="00000000" w:rsidRPr="00000000" w:rsidDel="00000000">
              <w:rPr>
                <w:rtl w:val="0"/>
              </w:rPr>
              <w:t xml:space="preserve">. 130.</w:t>
            </w:r>
            <w:r w:rsidR="00000000" w:rsidRPr="00000000" w:rsidDel="00000000">
              <w:rPr>
                <w:vertAlign w:val="superscript"/>
                <w:rtl w:val="0"/>
              </w:rPr>
              <w:t xml:space="preserve">14</w:t>
            </w:r>
            <w:r w:rsidR="00000000" w:rsidRPr="00000000" w:rsidDel="00000000">
              <w:rPr>
                <w:rtl w:val="0"/>
              </w:rPr>
              <w:t xml:space="preserve">., 130.</w:t>
            </w:r>
            <w:r w:rsidR="00000000" w:rsidRPr="00000000" w:rsidDel="00000000">
              <w:rPr>
                <w:vertAlign w:val="superscript"/>
                <w:rtl w:val="0"/>
              </w:rPr>
              <w:t xml:space="preserve">15</w:t>
            </w:r>
            <w:r w:rsidR="00000000" w:rsidRPr="00000000" w:rsidDel="00000000">
              <w:rPr>
                <w:rtl w:val="0"/>
              </w:rPr>
              <w:t xml:space="preserve">., 130.</w:t>
            </w:r>
            <w:r w:rsidR="00000000" w:rsidRPr="00000000" w:rsidDel="00000000">
              <w:rPr>
                <w:vertAlign w:val="superscript"/>
                <w:rtl w:val="0"/>
              </w:rPr>
              <w:t xml:space="preserve">16</w:t>
            </w:r>
            <w:r w:rsidR="00000000" w:rsidRPr="00000000" w:rsidDel="00000000">
              <w:rPr>
                <w:rtl w:val="0"/>
              </w:rPr>
              <w:t xml:space="preserve">., 130.</w:t>
            </w:r>
            <w:r w:rsidR="00000000" w:rsidRPr="00000000" w:rsidDel="00000000">
              <w:rPr>
                <w:vertAlign w:val="superscript"/>
                <w:rtl w:val="0"/>
              </w:rPr>
              <w:t xml:space="preserve">17</w:t>
            </w:r>
            <w:r w:rsidR="00000000" w:rsidRPr="00000000" w:rsidDel="00000000">
              <w:rPr>
                <w:rtl w:val="0"/>
              </w:rPr>
              <w:t xml:space="preserve">., 130.</w:t>
            </w:r>
            <w:r w:rsidR="00000000" w:rsidRPr="00000000" w:rsidDel="00000000">
              <w:rPr>
                <w:vertAlign w:val="superscript"/>
                <w:rtl w:val="0"/>
              </w:rPr>
              <w:t xml:space="preserve">18</w:t>
            </w:r>
            <w:r w:rsidR="00000000" w:rsidRPr="00000000" w:rsidDel="00000000">
              <w:rPr>
                <w:rtl w:val="0"/>
              </w:rPr>
              <w:t xml:space="preserve">., 130.</w:t>
            </w:r>
            <w:r w:rsidR="00000000" w:rsidRPr="00000000" w:rsidDel="00000000">
              <w:rPr>
                <w:vertAlign w:val="superscript"/>
                <w:rtl w:val="0"/>
              </w:rPr>
              <w:t xml:space="preserve">19</w:t>
            </w:r>
            <w:r w:rsidR="00000000" w:rsidRPr="00000000" w:rsidDel="00000000">
              <w:rPr>
                <w:rtl w:val="0"/>
              </w:rPr>
              <w:t xml:space="preserve">., 130.</w:t>
            </w:r>
            <w:r w:rsidR="00000000" w:rsidRPr="00000000" w:rsidDel="00000000">
              <w:rPr>
                <w:vertAlign w:val="superscript"/>
                <w:rtl w:val="0"/>
              </w:rPr>
              <w:t xml:space="preserve">20</w:t>
            </w:r>
            <w:r w:rsidR="00000000" w:rsidRPr="00000000" w:rsidDel="00000000">
              <w:rPr>
                <w:rtl w:val="0"/>
              </w:rPr>
              <w:t xml:space="preserve">., 130.</w:t>
            </w:r>
            <w:r w:rsidR="00000000" w:rsidRPr="00000000" w:rsidDel="00000000">
              <w:rPr>
                <w:vertAlign w:val="superscript"/>
                <w:rtl w:val="0"/>
              </w:rPr>
              <w:t xml:space="preserve">21</w:t>
            </w:r>
            <w:r w:rsidR="00000000" w:rsidRPr="00000000" w:rsidDel="00000000">
              <w:rPr>
                <w:rtl w:val="0"/>
              </w:rPr>
              <w:t xml:space="preserve">., 130.</w:t>
            </w:r>
            <w:r w:rsidR="00000000" w:rsidRPr="00000000" w:rsidDel="00000000">
              <w:rPr>
                <w:vertAlign w:val="superscript"/>
                <w:rtl w:val="0"/>
              </w:rPr>
              <w:t xml:space="preserve">22</w:t>
            </w:r>
            <w:r w:rsidR="00000000" w:rsidRPr="00000000" w:rsidDel="00000000">
              <w:rPr>
                <w:rtl w:val="0"/>
              </w:rPr>
              <w:t xml:space="preserve">., 130.</w:t>
            </w:r>
            <w:r w:rsidR="00000000" w:rsidRPr="00000000" w:rsidDel="00000000">
              <w:rPr>
                <w:vertAlign w:val="superscript"/>
                <w:rtl w:val="0"/>
              </w:rPr>
              <w:t xml:space="preserve">23</w:t>
            </w:r>
            <w:r w:rsidR="00000000" w:rsidRPr="00000000" w:rsidDel="00000000">
              <w:rPr>
                <w:rtl w:val="0"/>
              </w:rPr>
              <w:t xml:space="preserve">., 130.</w:t>
            </w:r>
            <w:r w:rsidR="00000000" w:rsidRPr="00000000" w:rsidDel="00000000">
              <w:rPr>
                <w:vertAlign w:val="superscript"/>
                <w:rtl w:val="0"/>
              </w:rPr>
              <w:t xml:space="preserve">24</w:t>
            </w:r>
            <w:r w:rsidR="00000000" w:rsidRPr="00000000" w:rsidDel="00000000">
              <w:rPr>
                <w:rtl w:val="0"/>
              </w:rPr>
              <w:t xml:space="preserve">., 130.</w:t>
            </w:r>
            <w:r w:rsidR="00000000" w:rsidRPr="00000000" w:rsidDel="00000000">
              <w:rPr>
                <w:vertAlign w:val="superscript"/>
                <w:rtl w:val="0"/>
              </w:rPr>
              <w:t xml:space="preserve">25</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un 130.</w:t>
            </w:r>
            <w:r w:rsidR="00000000" w:rsidRPr="00000000" w:rsidDel="00000000">
              <w:rPr>
                <w:vertAlign w:val="superscript"/>
                <w:rtl w:val="0"/>
              </w:rPr>
              <w:t xml:space="preserve">26</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Energoefektivitāte un elektromobilitāte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Vispārīgās prasības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 minimālajām prasībām jaunu ēku norobežojošo konstrukciju siltumtehnikai.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 un pārbūves norobežojošo konstrukciju siltumtehnikai.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to risina, lai ēkas vai tās atjaunotās daļas energoefektivitāte tiktu uzlabota, izpildot minimālās prasības energoefektivitātes jomā. Minētās prasības piemēro atjaunojamajai ēkai vai ēkas vienībai kopumā. Papildus vai kā alternatīvu, minimālās prasības energoefektivitātes jomā var piemērot tikai atjaunojamajiem būves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nedzīvojamajās ēkas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darbiem uz jumta vai ēkas inženiertehniskās sistēmas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kurās veic nozīmīgu atjaunošanu, ar vairāk par piecām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sz w:val="20"/>
                <w:vertAlign w:val="superscript"/>
                <w:rtl w:val="0"/>
              </w:rPr>
              <w:t xml:space="preserve">6</w:t>
            </w:r>
            <w:r w:rsidR="00000000" w:rsidRPr="00000000" w:rsidDel="00000000">
              <w:rPr>
                <w:rtl w:val="0"/>
              </w:rPr>
              <w:t xml:space="preserve">1. vismaz vienu uzlādes punktu uz katrām piecām stāvvietām. Biroju ēkas gadījumā vienu uzlādes punktu paredz uz katrām divām 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kurās veic nozīmīgu atjaunošanu, ar vairāk par trim automašīnu stāvvietām,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Šī apakšpunkta prasība ir attiecināma uz jaunām dzīvojamajām ēkām, t.i. dzīvojamās ēkas nozīmīgas atjaunošanas gadījumā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stāvvietām, bet pārējām automašīnu stāvvietām – kabeļkanālus, t.i., elektrības kabeļiem paredzētus kanālus, lai vēlākā stadijā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t.i. ēkai, ēkas sekcijai, stāvam vai dzīvoklim, kas projektēts vai pielāgots patstāvīgai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7 </w:t>
            </w:r>
            <w:r w:rsidR="00000000" w:rsidRPr="00000000" w:rsidDel="00000000">
              <w:rPr>
                <w:rtl w:val="0"/>
              </w:rPr>
              <w:t xml:space="preserve">punktā minētā automašīnu stāvvieta ir gan tā, kas ir ēkā, gan tā, kas atrodas fiziski blakus ēkai.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uzlādes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vajadzības gadījumā nodrošina arī divvirziena uzlādi;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2.apakšpunktā un 130.</w:t>
            </w:r>
            <w:r w:rsidR="00000000" w:rsidRPr="00000000" w:rsidDel="00000000">
              <w:rPr>
                <w:vertAlign w:val="superscript"/>
                <w:rtl w:val="0"/>
              </w:rPr>
              <w:t xml:space="preserve">7</w:t>
            </w:r>
            <w:r w:rsidR="00000000" w:rsidRPr="00000000" w:rsidDel="00000000">
              <w:rPr>
                <w:rtl w:val="0"/>
              </w:rPr>
              <w:t xml:space="preserve">2.apakšpunktā minēto kabeļu iepriekšējā ierīkošanā ierīkoto kabeļu izmēru paredz tādu, lai visās stāvvietas vietās ierīkotos uzlādes punktus varētu izmantot vienlaikus, nepieciešamības gadījumā 130.</w:t>
            </w:r>
            <w:r w:rsidR="00000000" w:rsidRPr="00000000" w:rsidDel="00000000">
              <w:rPr>
                <w:vertAlign w:val="superscript"/>
                <w:rtl w:val="0"/>
              </w:rPr>
              <w:t xml:space="preserve">6 </w:t>
            </w:r>
            <w:r w:rsidR="00000000" w:rsidRPr="00000000" w:rsidDel="00000000">
              <w:rPr>
                <w:rtl w:val="0"/>
              </w:rPr>
              <w:t xml:space="preserve">punktā minētajā gadījumā paredzot arī slodzes vai uzlādes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jaunu dzīvojamo ēku un nozīmīgi atjaunotu dzīvojamo ēku, izņemot viena dzīvokļa māju,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efektīvu vadību, kas nodrošina optimālu enerģijas ražošanu, sadali, uzkrāšanu, izmantojumu un attiecīgā gadījumā arī hidraulisko līdzsvaru;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attiecīgajās izmaiņas veicamas uzlabojot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15  </w:t>
            </w:r>
            <w:r w:rsidR="00000000" w:rsidRPr="00000000" w:rsidDel="00000000">
              <w:rPr>
                <w:rtl w:val="0"/>
              </w:rPr>
              <w:t xml:space="preserve">Šo noteikumu 11.</w:t>
            </w:r>
            <w:r w:rsidR="00000000" w:rsidRPr="00000000" w:rsidDel="00000000">
              <w:rPr>
                <w:vertAlign w:val="superscript"/>
                <w:rtl w:val="0"/>
              </w:rPr>
              <w:t xml:space="preserve">1</w:t>
            </w:r>
            <w:r w:rsidR="00000000" w:rsidRPr="00000000" w:rsidDel="00000000">
              <w:rPr>
                <w:rtl w:val="0"/>
              </w:rPr>
              <w:t xml:space="preserve"> nodaļā un 12.12. apakšnodaļā vārds "ēka" ir lietots ar nozīmi, ka tā ir ar jumtu un sienām esoša būve,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Atkāpes no vispārīgajām prasībām energoefektivitātes un elektromobilitātes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jomas prasības nepiemēro, ja uzlādes punktu infrastruktūra būtu atkarīga no izolētas mikrosistēmas un prasību izpildes rezultātā rastos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3.apakšpupunktā un 130.</w:t>
            </w:r>
            <w:r w:rsidR="00000000" w:rsidRPr="00000000" w:rsidDel="00000000">
              <w:rPr>
                <w:vertAlign w:val="superscript"/>
                <w:rtl w:val="0"/>
              </w:rPr>
              <w:t xml:space="preserve">7</w:t>
            </w:r>
            <w:r w:rsidR="00000000" w:rsidRPr="00000000" w:rsidDel="00000000">
              <w:rPr>
                <w:rtl w:val="0"/>
              </w:rPr>
              <w:t xml:space="preserve">3.apakšpunktā noteiktās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3.apakšpunktā minēto prasību par divām velosipēdu stāvvietām uz katru dzīvojamās ēkas vienību nozīmīgas atjaunošanas gadījumā nav iespējams izpildīt, tad paredz pēc iespējas vairāk velosipēdu stāvvietas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15 </w:t>
            </w:r>
            <w:r w:rsidR="00000000" w:rsidRPr="00000000" w:rsidDel="00000000">
              <w:rPr>
                <w:rtl w:val="0"/>
              </w:rPr>
              <w:t xml:space="preserve">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vai ēka atrodas kultūras pieminekļu teritorijā, vai pašvaldība ēkai noteikusi kultūrvēsturisko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tai noteikti arhitektoniski ierobežojumi, kas nepieļauj saules enerģijas sistēmu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tajā skaitā izglītības iestāžu ēkas, piemēram, skolas, kurās mācību process nenotiek vasaras periodā, kad saules enerģijas sistēmas darbojas visefektīvāk;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izmantošanai periodiski, piemēram, tikai atsevišķu pasākumu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uzstādīšanu būtiski ierobežo pastāvīgs ēnojums vai citi ārējie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 130.</w:t>
            </w:r>
            <w:r w:rsidR="00000000" w:rsidRPr="00000000" w:rsidDel="00000000">
              <w:rPr>
                <w:vertAlign w:val="superscript"/>
                <w:rtl w:val="0"/>
              </w:rPr>
              <w:t xml:space="preserve">20</w:t>
            </w:r>
            <w:r w:rsidR="00000000" w:rsidRPr="00000000" w:rsidDel="00000000">
              <w:rPr>
                <w:rtl w:val="0"/>
              </w:rPr>
              <w:t xml:space="preserve">7.apakšpunkta piemērošanas gadījumā to pamato ar tehniski ekonomisko izvērtējumu, kurā iekļauts saules enerģijas potenciāla novērtējums, izmaksu un ieguvumu analīze un alternatīvu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 tālu, cik tas nodrošinātu autostāvvietas lietotāju vajadzības par nepieciešamo uzlādes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23  </w:t>
            </w:r>
            <w:r w:rsidR="00000000" w:rsidRPr="00000000" w:rsidDel="00000000">
              <w:rPr>
                <w:rtl w:val="0"/>
              </w:rPr>
              <w:t xml:space="preserve">Ja pastāv kopējā tīkla ierobežojumi vai ir grūti prognozēt ar iepriekš ierīkotu kabeļu ierīkošanu saistītās tālākās faktiskās vajadzības, tad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pieļaujams aizstāt ar kabeļkanāliem ar ievilcējvadu, kabeļrenēm iekštelpu autostāvvietās un zonās bez cietā seguma un uzlādes punktu balstiem āra autostāvvietās.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24 </w:t>
            </w:r>
            <w:r w:rsidR="00000000" w:rsidRPr="00000000" w:rsidDel="00000000">
              <w:rPr>
                <w:rtl w:val="0"/>
              </w:rPr>
              <w:t xml:space="preserve">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atrodoties ievērojamā attālumā no apdzīvotām vietām un kalpojot tikai tehnikas, lopu vai izejvielu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25 </w:t>
            </w:r>
            <w:r w:rsidR="00000000" w:rsidRPr="00000000" w:rsidDel="00000000">
              <w:rPr>
                <w:rtl w:val="0"/>
              </w:rPr>
              <w:t xml:space="preserve">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praktiski iespējama, piemēram, tādas specifiskas dažādu sociālo grupu kopdzīvojamās mājās kā patversmes un naktspatversme;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kuras paredzētas īslaicīgai vai pārejošai uzturēšanai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jaunu 12.12.apakšnodaļu "Bezemisiju ēka" un 173.</w:t>
            </w:r>
            <w:r w:rsidR="00000000" w:rsidRPr="00000000" w:rsidDel="00000000">
              <w:rPr>
                <w:vertAlign w:val="superscript"/>
                <w:rtl w:val="0"/>
              </w:rPr>
              <w:t xml:space="preserve">4 </w:t>
            </w:r>
            <w:r w:rsidR="00000000" w:rsidRPr="00000000" w:rsidDel="00000000">
              <w:rPr>
                <w:rtl w:val="0"/>
              </w:rPr>
              <w:t xml:space="preserve">un 173.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4 </w:t>
            </w:r>
            <w:r w:rsidR="00000000" w:rsidRPr="00000000" w:rsidDel="00000000">
              <w:rPr>
                <w:rtl w:val="0"/>
              </w:rPr>
              <w:t xml:space="preserve">Jaunu ēku projektē kā bezemisiju ēku, ja tā ir publiskas struktūras īpašumā. Šā punkta prasība ir piemērojama no 2028. gada 1. janvāra. Līdz 2027. gada 31. decembrim šajā punktā noteikto ēku projektē kā vismaz gandrīz nulles enerģijas ēku, kas atbilst minimālajām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5 </w:t>
            </w:r>
            <w:r w:rsidR="00000000" w:rsidRPr="00000000" w:rsidDel="00000000">
              <w:rPr>
                <w:rtl w:val="0"/>
              </w:rPr>
              <w:t xml:space="preserve">Jaunu ēku projektē kā bezemisiju ēku. Šā punkta prasība ir piemērojama no 2030. gada 1.janvāra. Līdz 2029. gada 31. decembrim jaunu ēku projektē kā vismaz gandrīz nulles enerģijas ēku, kas atbilst minimālajām energoefektivitātes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5.iebildums]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projektā paredzētajām prasībām par nulles emisijas ēku izbūvi norādām, ka šādas prasības noteikšanu uzskatām par nesamērīgu. Atjaunojamo energoresursu pieejamība Latvijā lielā mērā ir ierobežota un būtiski atkarīga no klimatiskajiem apstākļiem. Vienlaikus alternatīva nulles emisiju energoresursiem – centralizētā siltumapgāde – nav pieejama visās Latvijas pilsētās un apdzīvotajās vietās. LTRK ieskatā obligāta nulles emisiju ēku projektēšanas prasība šobrīd nevar tikt vienveidīgi piemērota visos gadījumos. Kā iespējamais risinājums būtu apsverama atbalsta mehānismu ieviešana, kas veicinātu daļēju ēku energopatēriņa segšanu ar atjaunojamiem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"gandrīz nulles enerģijas ēku"  ir jānosaka saskaņā ar Direktīvu 2024/1275. Dalībvalstīm nav iespēju lemt par to, vai šo prasību piemērot vai nē. Noteikumu projekts nenosaka to, kas ir "gandrīz nulles enerģijas ēka", līdz ar to iebildums pēc būtības nav attiecināms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Papildināt ar jaunu 12.12.apakšnodaļu "Bezemisiju ēka" ar 173.</w:t>
            </w:r>
            <w:r w:rsidR="00000000" w:rsidRPr="00000000" w:rsidDel="00000000">
              <w:rPr>
                <w:vertAlign w:val="superscript"/>
                <w:rtl w:val="0"/>
              </w:rPr>
              <w:t xml:space="preserve">4</w:t>
            </w:r>
            <w:r w:rsidR="00000000" w:rsidRPr="00000000" w:rsidDel="00000000">
              <w:rPr>
                <w:rtl w:val="0"/>
              </w:rPr>
              <w:t xml:space="preserve">. un 173.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Bezemisiju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4</w:t>
            </w:r>
            <w:r w:rsidR="00000000" w:rsidRPr="00000000" w:rsidDel="00000000">
              <w:rPr>
                <w:rtl w:val="0"/>
              </w:rPr>
              <w:t xml:space="preserve"> Publiskā sektora subjekta ēku projektē kā bezemisiju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5 </w:t>
            </w:r>
            <w:r w:rsidR="00000000" w:rsidRPr="00000000" w:rsidDel="00000000">
              <w:rPr>
                <w:rtl w:val="0"/>
              </w:rPr>
              <w:t xml:space="preserve">Jaunu ēku projektē kā bezemisiju 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29.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paredzēto prasību ieviešana tajā noteiktajos termiņos objektīvu iemeslu dēļ nav iespējama. Vienlaikus prasību izpilde skartu arī jau uzsāktās būvniecības ieceres, tāpēc to nodrošināšanai nepieciešams ilgāks sagatavošanās periods. Nepieciešams pārskatīt projektā paredzētos ieviešanas termiņus un noteikt reāli izpildāmus termiņus, paredzot, ka prasību piemērošana stājas spēkā ne agrāk kā 2027.gada 29.maijā. Pretējā gadījumā pastāv risks zaudēt ārvalstu finansējumu, jo projekti var netikt īstenoti noteiktajā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iespēju robežās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būtiski papildināts nosakot arī principu, ka jaunās prasības var neievērot, ja pieteikums būvatļaujai vai tamlīdzīgs pieteikums ir iesniegts līdz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prasībām un to termiņiem kopumā - Direktīvas 2024/1275 transponēšanas termiņa datumu ES dalībvalstīm nav paredzēts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projektā  noteikto prasību ieviešanas termiņš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ir tehniski neizpildāms, jo īstenojot šis prasības  vairāki būvprojekti būs jāpārstrādā, automātiski izmainīsies iepirkumu procedūru termiņi , nekur netiek uzrādīta būvprojekta reālās izmaksas. Uzskatām,  ka  šāda bez reāla finansiāli - ekonomiskā izvērtējuma radīs pašvaldību investīciju samazinājumu, publisko ēku projektu realizācijas samazināšanu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ieviešanas termiņu līdz 29.05. 2028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izriet no Direktīvas 2024/1275, kas neparedz ES dalībvalsts iespēju to mainīt.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Energoauditoru asociācija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grozījumu mērķa, problēmas un risinājuma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Ēku energoauditoru asociācija (LEAA) norāda uz neatbilstību starp grozījumu mērķi, identificēto problēmu un piedāvāto risinājumu. Anotācijā kā grozījumu mērķis ir norādīta Eiropas Parlamenta un Padomes Direktīvas (ES) Nr. 2024/1275 par ēku energosniegumu prasību pārņemšana. Savukārt problēmas aprakstā minēts, ka nacionālajā regulējumā nav iekļauta Regulas (ES) 2024/3110 prasība par būvju emisiju āra vidē, un piedāvātajā risinājumā paredzēta šīs regulas prasību iekļaušana LBN 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LEAA ieskatā Direktīva par ēku energosniegumu un Regula par būvizstrādājumiem ir atšķirīgi Eiropas Savienības tiesību instrumenti ar atšķirīgu regulējuma priekšmetu un piemērošanas tvērumu. Ja vienā normatīvajā aktā tiek integrētas abu tiesību aktu prasības, šādai pieejai jābūt skaidri juridiski pamatotai un sistemātiski izskaidrotai anotācijā. Pretējā gadījumā nav skaidrs, kā grozījumu mērķis ir tieši saistīts ar identificēto problēmu un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(1. un arī 5.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vairākas jaunas tiesību normas, kas netiek skaidrotas anotācijā. Attiecīgi lūdzam anotācijas 1.3. apakšsadaļā sniegt pilnīgus projekta normu skaidrojumus, nodrošināt tiesību normu nepieciešamības, satura un ar piemērošanu saistīto aspektu izvērstu izpratni. Lūdzam nodrošināt, lai projekta redakcija ir saprotama viennozīmīgi, tajā skaitā, izvairoties no subjektīvi vērtējamām redakcijām vai skaidrot to izpratni. Minētais attiecas, piemēram, uz "</w:t>
            </w:r>
            <w:r w:rsidR="00000000" w:rsidRPr="00000000" w:rsidDel="00000000">
              <w:rPr>
                <w:u w:val="single"/>
                <w:rtl w:val="0"/>
              </w:rPr>
              <w:t xml:space="preserve">būtiski ietekmē</w:t>
            </w:r>
            <w:r w:rsidR="00000000" w:rsidRPr="00000000" w:rsidDel="00000000">
              <w:rPr>
                <w:rtl w:val="0"/>
              </w:rPr>
              <w:t xml:space="preserve"> norobežojošo konstrukciju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projekta atbilstību arī Noteikumu 1. punktam, no kura izriet, ka tie "</w:t>
            </w:r>
            <w:r w:rsidR="00000000" w:rsidRPr="00000000" w:rsidDel="00000000">
              <w:rPr>
                <w:i w:val="1"/>
                <w:rtl w:val="0"/>
              </w:rPr>
              <w:t xml:space="preserve">nosaka prasības, kādas ievēro, projektējot ēkas, stadionus, arēnas, brīvdabas estrādes un citas brīvdabas izklaides būves, kā arī prasības to novietošanai, jaunai būvniecībai, atjaunošanai, pārbūvei un restaurācijai</w:t>
            </w:r>
            <w:r w:rsidR="00000000" w:rsidRPr="00000000" w:rsidDel="00000000">
              <w:rPr>
                <w:rtl w:val="0"/>
              </w:rPr>
              <w:t xml:space="preserve">", un ietvert atbilstības skaidrojumus anotācijas 1.3. apakšsadaļā, jo no projekta izriet arī nosacījumi attiecībā uz automašīnu un velosipēdu uzlādes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papildus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izvērtēta arī 1.punkta atbilstība attiecīgā būvnormatīva saturam, kā rezultātā secināts, ka minēto jautājumu risina cits projekts [25-TA-1857], kas paredz </w:t>
            </w:r>
            <w:r w:rsidR="00000000" w:rsidRPr="00000000" w:rsidDel="00000000">
              <w:rPr>
                <w:i w:val="1"/>
                <w:rtl w:val="0"/>
              </w:rPr>
              <w:t xml:space="preserve">"papildināt 1. punktu aiz vārdiem "projektējot ēkas" ar vārdiem "transporta 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sniegts kvalitatīvs apraksts par ietekmi uz mērķa grupām, tomēr tas nav pietiekams, lai izpildītu Ministru kabineta 2021. gada 7. septembra noteikumu Nr. 617 “Tiesību akta projekta sākotnējās ietekmes izvērtēšanas kārtība” (turpmāk - noteikumi Nr. 617)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apakšpunktā apvienoti gan kvalitatīvie, gan monetārie aspekti, bet nav veikta sistemātiska ietekmes strukturēšana un monetārs novērtējums atbilstošajās apakšsadaļās –  2.3. (juridiskām personām),  2.4. (fiziskām personām) un 2.5. (atbilstības prasību izmaksas). Ietekmes apraksts ir jāsadala atbilstoši mērķa grupām un jāprecizē, kura ietekme no projektā noteiktajām tiek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nodalīta ietekme uz valsts un pašvaldību iestādēm no privāto tiesību subjektiem, lai gan projektā paredzētās prasības attiecas arī uz publiskām ēkām un to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pārstrukturēt ietekmes izvērtējumu, atstājot kvalitatīvu aprakstu 2.1. apakšpunktā, bet monetāros aprēķinus norādot 2.2.–2.4.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nodalīt ietekmi uz valsts iestādēm, pārceļot izmaksu aprēķinus valsts/pašvaldību institūcijām uz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monetāro novērtējumu atbilstoši noteikumos Nr. 617 izvirzītajām prasībām un PSIM metodikai, nodalot administratīvās izmaksas un atbilstību prasību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2.2.-2.4.apakšpunkti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2.1. apakšpunktā dzēsta norāde uz juridiskām personām "publisko struktūru īpašnieki (valsts, pašvaldības)", jo minētā ietekme norādīta anotācijas 7.sadaļā.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Administratīvās ietekmes nav, jo noteikumu projekts nenosaka pienākumu sniegt vai saņemt informāciju, iesniegumus u.tml. Sadaļa par prasību izpildes izmaksām ir precizēta. Administratīvais slogs nemainās, lai arī tā varētu nešķist sakarā ar noteikumu projektā paredzēto iespēju atkāpties no prasībām paredzēt saules enerģijas risinājumus, ja to pamato ar ekonomisko izvērtējumu, izmaksu un ieguvumu analīzi vai alternatīvu risinājumu izvērtējumu. Tas tādēļ ka regulējums vienlaikus nosaka prasības un arī kārtību par to, kā atkāpties no vispārīgajām prasībām šajā jomā, kas daļā no gadījumiem pēc satura ir prasības un izņēmumi, ar gadīujumiem, kad prasības var nepiemērot. Būvniecības likums nosaka vispārējo kārtību par iespējamajām atkāpēm no būvnormatīvos noteiktajām prasībām, ja to pamato. Lai attiecīgo jomu regulētu detalizētāk un nošķirtu to, kādā gadījumā pamatojums izriet no paša būvmnormatīva (nav jāpamato) un kuros gadījumos tas ir jāpamato, noteikumu projekts vienlaikus paredz 11.12. apakšpnodaļu "Atkāpes no vispārīgajām prasībām energoefektivitātes un elektromobilitātes jomā", nosakot visas opcijas paredzēt atkāpes, vienlaikus nosakot arī to, kuru atkāpju gadījumā tās tāpat ir jāpamato Būvniecības likumā noteiktajā kārtībā. Administratīvais slogs nemainās dēļ tā, ka atkāpju pamatošanas kārtība izriet no Būvniecības likuma un noteikumu projekts šajā jomā izmaiņas neveic, savukārt noteikumu projekts tikai nosaka to, kuros gadījumos atkāpes pamatojamas un kuros pamatojums nav vajadzīgs.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arī nesamazinās, jo noteikumu projekts vienlaikus nosaka ne tikai iespēju bez pamatojuma paredzēt atkāpu no būvnormatīvā noteiktās prasības, bet arī pašas prasības, no kurām attiecīgās atkāpes tiek pieļautas, pēc būtības kopumā nosakot regulējumu un pieļaujamos izņēmumus, nevis atkāpes no prasībām. Papildus jāpiemin, ka Komisijas paziņojuma 8.pielikuma 3.9.punkts paredz, ka "jebkādi izņēmumi no šīm prasībām būtu jānovērtē, izmantojot skaidras procedūras, ko nosaka un uzrauga valsts iestādes". Lai īstenotu minēto skaidrību visas atkāpes apvienotas vienuviet (11.</w:t>
            </w:r>
            <w:r w:rsidR="00000000" w:rsidRPr="00000000" w:rsidDel="00000000">
              <w:rPr>
                <w:vertAlign w:val="superscript"/>
                <w:rtl w:val="0"/>
              </w:rPr>
              <w:t xml:space="preserve">1</w:t>
            </w:r>
            <w:r w:rsidR="00000000" w:rsidRPr="00000000" w:rsidDel="00000000">
              <w:rPr>
                <w:rtl w:val="0"/>
              </w:rPr>
              <w:t xml:space="preserve">2. apakšnodaļā), tajā detalizētāk skaidrot pieļaujamo atkāpju tvērumu un arī to, kuras ir un kuras nav jāpamato.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 sadaļā sniegt pilnīgu un precīzu informāciju par projekta atbilstību Eiropas Savienības tiesību aktiem.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 ailē norāda uz Eiropas Savienības tiesību normas ieviešanu/pārņemšanu pilnībā vai daļēji. Norādot "pārņemts daļēji", to skaidro un norāda, kad un kādā veidā tiks nodrošināta minēto saistību izpilde pilnībā, kā arī institūciju, kura ir atbildīga par šo saistību izpildi pilnībā (atbildīgā institūcija ir noteikta atbilstoši Ministru kabineta 2012. gada 10. aprīļa noteikumiem Nr. 255 "Eiropas Savienības tiesību aktu pārņemšanas un ieviešanas kontroles un koordinācijas noteikumi" 3.–6. punktam). Ja konkrētā tiesību norma vienlaicīgi pārņemta vairākos tiesību aktos un jau ir pilnībā pārņemta, iesakām to norādīt "B" kolonnas ailēs, bet "C" ailē, attiecīgi "pārņemts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skaidrots, kā ir izmantota Eiropas Savienības tiesību aktā paredzētā rīcības brīvība dalībvalstij pārņemt vai ieviest noteiktas tiesību akta normas? Kādēļ? Piemēram, direktīvas 2024/1275 2. panta 22. punks paredz dalībvalstīm iespēju izvēlēties piemērot vienu no divām “nozīmīga renovācija” termina izpratnēm, vai 14.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pārņem arī direktīvas 2024/1275 2. panta 5. punku (Noteikumu 3.47. apakšpunkts) un 35. panta 1. punkta 3. daļu (projekta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neievieš Noteikumos jaunu 16.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tiesa spriedumā lietā C-372/00 Komisija pret Īriju ([2001] ECR I-10303, 13.pkt.) un lietā 420/85 Komisija pret Itāliju ([1987] ECR 2983, 5.pkt.) atzinusi, ka ir pieļaujamas atkāpes no direktīvas transponēšanas pienākuma ģeogrāfisku iemeslu dēļ. Taču arī gadījumos, kad dalībvalstij ir pamats atsaukties uz ģeogrāfiskiem apstākļiem, lai nepārņemtu konkrētu direktīvu, ir būtiski, ka par to savlaicīgi tiek informēta Eiropas Komisija. Tādā veidā izvairoties, ka kompetentās Eiropas Savienības institūcijas vēršas pret Latviju par tai noteikto saistību attiecībā uz direktīvu pārņemšanu savlaicīgu nepildīšanu. Lūdzam skaidrot, vai ir nodrošināta Eiropas Komisijas informēšana. Tāpat lūdzam izvērtēt, vai seismiskā aktivitāte nākotnē nav potenciāla problēma, ar ko jārēķinās, jo Latvijā tāda tiek fiksēta.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Par 2.panta 22.daļu,</w:t>
            </w:r>
            <w:r w:rsidR="00000000" w:rsidRPr="00000000" w:rsidDel="00000000">
              <w:rPr>
                <w:rtl w:val="0"/>
              </w:rPr>
              <w:t xml:space="preserve"> kas dalībvalstīm izvēlēties piemērot a) vai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 izvēli ir izdarījusi transponējot Direktīvas 2010/31/ES 2.panta 10.punktu kā rezultātā Latvijas būvnormatīva LBN 002-19 "Ēku norobežojošo konstrukciju siltumtehnika" 12.punktā noteikts, ka "Ja atjaunošana vai pārbūve skar mazāk par 25 % no ēkas būves elementu kopējās laukuma virsmas, var nepiemērot šā būvnormatīva 9. punktā minētās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tiek izvēlēts b) variants kā risinājums, kas rada vismazāko administratīvo slogu un ir saprotams no būvniecības ieceres tvēruma un tehniskajiem parametriem. a) variants netiek uzskatīts pat atbilstošāko, jo tādā gadījumā būtu papildus jānosaka kārtība vērtības noteikšanas metodikai un, ja tā kādā veidā būtu saistīta ar kadastrālo vērtību, tad a) variants būtu saistīts ar papildus sarežģījumiem un jautājumiem par to, kura vērtību (fiskālo kadastrālo vērtību vai universālo kadastrālo vērtību), kā un par to vai būtu jāņem vērā, kadastrālo vērtību samazinošs koeficients (0,8). Situācijās, kad kadastrālā vērtība nebūtu 1:1 atbilstoša faktiskajai tirgus situācijai būtu papildus riski, kas saistīti ar "nozīmīgas renovācijas" prasību attiecināšanu tikai dēļ pārāk zemes ēkas vērtības noteikšanas, kas nav atbalstāmi. a) varianta gadījumā jebkurā no situācijām būtu jānosaka jauns administratīvais process saistībā nepieciešamību individuālam objektam (ēkai) noteikt tirgus vērtību, kas tiešā veidā varētu kalpot kā "atskaites punkts" nozīmīgas definīcijas kritērija izvērtēšanai, vai arī būtu kadastrālo vērtību precizējoša informācija, ja tiktu lemts izmantot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14.panta 5.punktu</w:t>
            </w:r>
            <w:r w:rsidR="00000000" w:rsidRPr="00000000" w:rsidDel="00000000">
              <w:rPr>
                <w:rtl w:val="0"/>
              </w:rPr>
              <w:t xml:space="preserve">, proti, rīcības brīvību (iespēju noteikt atvieglojumu) izvēle ir skaidrota anotācijas  5.4.1. sadaļā, paskaidrojot, ka 14.panta 5.punkts pārņemts pilnībā, proti, izmantojot attiecīgo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sadaļā ir norādīts atbilstības izmaksu monetārais novērtējums valsts un pašvaldību iestādēm. Norādām, ka sniegtais novērtējums nav izstrādāts atbilstoši Ministru kabineta 2021. gada 7. septembra noteikumu Nr. 617 “Tiesību akta projekta sākotnējās ietekmes izvērtēšanas kārtība”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nav nodalītas informācijas sniegšanas prasības no atbilstības prasībām. Tādējādi nav iespējams noteikt, kāda veida izmaksas ir vērtētas, un vai izvērtējums ir attiecināms uz administratīvā sloga vai atbilstības izmaksu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nav norādīti konkrēti noteikumu projekta punkti, par kuriem veikts aprēķins. Līdz ar to nav iespējams izsekot aprēķina sasaistei ar normatīvā akta saturu. Tāpat nav iespējams pārliecināties, vai visas ietekmes ir iekļautas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anotācijas 7.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atdalot informācijas sniegšanas pienākumus no atbilstības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norādot kuriem konkrētiem noteikumu projekta punktiem atbilst norādītās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2023. gada 13. septembra (ES) direktīva 2023/1791 par energoefektivitāti un ar ko groza Regulu (ES) 2023/955 (pārstrādāta redakcija) un Eiropas Parlamenta un Padomes 2024. gada 24. aprīļa (ES) direktīva 2024/1275 par ēku energosniegumu (pārstrādāta redakcija) ir vērstas, tai skaitā, uz publisko sektoru, Klimata un enerģētikas ministrija aicina Ekonomikas ministriju vienoties par kopīgu "publiskā sektora" definīcijas tvērumu un konceptu, neradot paralēlus konceptus un neradot papildus administratīvo slogu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redakcija precizēta uz KEM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"3.47. publiskā sektora subjekts – valsts, reģionālās vai vietējās iestādes un subjekti, ko minētās iestādes tieši finansē un pārvalda, bet kam nav komerciāls vai rūpniecisks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redakcija: </w:t>
            </w:r>
            <w:r w:rsidR="00000000" w:rsidRPr="00000000" w:rsidDel="00000000">
              <w:rPr>
                <w:i w:val="1"/>
                <w:rtl w:val="0"/>
              </w:rPr>
              <w:t xml:space="preserve">"3.47. publiskās personas iestāde  – valsts, reģionālās vai vietējās iestādes un subjekti, ko minētās iestādes tieši finansē un pārvalda, bet kam nav rūpnieciska vai komerciāla rakstura"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2025. gada 12. novembra piemērojamā Eiropas Parlamenta un Padomes Regula (ES) 2024/1309 (2024. gada 29. aprīlis) par gigabitisku elektronisko sakaru tīklu ierīkošanas izmaksu samazināšanas pasākumiem, Regulas (ES) 2015/2120 grozīšanu un Direktīvas 2014/61/ES atcelšanu (turpmāk – Regula  2024/1309) paredz prasības ēkas iekšējai fiziskajai infrastruktūrai, lai būtu iespējams nodrošināt ļoti augstas veiktspējas elektronisko sakaru tīklus.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2024/1309 10. panta 1. punktu visas jaunceltnes un ēkas, kurās notiek </w:t>
            </w:r>
            <w:r w:rsidR="00000000" w:rsidRPr="00000000" w:rsidDel="00000000">
              <w:rPr>
                <w:b w:val="1"/>
                <w:rtl w:val="0"/>
              </w:rPr>
              <w:t xml:space="preserve">kapitālās renovācijas</w:t>
            </w:r>
            <w:r w:rsidR="00000000" w:rsidRPr="00000000" w:rsidDel="00000000">
              <w:rPr>
                <w:rtl w:val="0"/>
              </w:rPr>
              <w:t xml:space="preserve"> darbi, tostarp kopīpašumā esošajiem elementiem, par ko būvatļauju pieteikumi ir iesniegti pēc 2026. gada 12. februāra, aprīko ar optiskajai šķiedrai gatavu ēkas iekšējo fizisko infrastruktūru un ēkas iekšējo optiskās šķiedras instalāciju, tostarp savienojumiem līdz fiziskajam punktam, kurā galalietotājs pieslēdzas publiskajam tīklam. Savukārt Regulas 2024/1309 10. panta 2. punkts nosaka, ka visas daudzdzīvokļu jaunceltnes vai daudzdzīvokļu ēkas, kurās notiek </w:t>
            </w:r>
            <w:r w:rsidR="00000000" w:rsidRPr="00000000" w:rsidDel="00000000">
              <w:rPr>
                <w:b w:val="1"/>
                <w:rtl w:val="0"/>
              </w:rPr>
              <w:t xml:space="preserve">kapitālās renovācijas</w:t>
            </w:r>
            <w:r w:rsidR="00000000" w:rsidRPr="00000000" w:rsidDel="00000000">
              <w:rPr>
                <w:rtl w:val="0"/>
              </w:rPr>
              <w:t xml:space="preserve"> darbi, par ko būvatļauju pieteikumi ir iesniegti pēc 2026. gada 12. februāra, aprīko ar piekļuves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papildināt noteikumu projektu ar jēdzienu, kas atbilst Regulā 2024/1309 lietotajam jēdzienam </w:t>
            </w:r>
            <w:r w:rsidR="00000000" w:rsidRPr="00000000" w:rsidDel="00000000">
              <w:rPr>
                <w:b w:val="1"/>
                <w:rtl w:val="0"/>
              </w:rPr>
              <w:t xml:space="preserve">“kapitālā renovācija”</w:t>
            </w:r>
            <w:r w:rsidR="00000000" w:rsidRPr="00000000" w:rsidDel="00000000">
              <w:rPr>
                <w:rtl w:val="0"/>
              </w:rPr>
              <w:t xml:space="preserve">, vai arī sniegt attiecīgu skaidrojumu anotācijā, ievērojot Būvniecības likuma pārejas noteikumu 7. punktā noteikto, ka līdz grozījumu izdarīšanai normatīvajos aktos šajā likumā lietotais jēdziens "atjaunošana" atbilst jēdzienam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arī par to, kā tiks nodrošināta atbilstība attiecībā uz ēkas iekšējai infrastruktūrai Regulā 2024/1309 noteiktajām prasībām, tostarp tās 10. panta 5. punktam, kas paredz, ka dalībvalstis nodrošina atbilstību 10. panta 4. punktā minētajiem standartiem vai tehniskajām specifikācijām un lai pierādītu šādu atbilstību, </w:t>
            </w:r>
            <w:r w:rsidR="00000000" w:rsidRPr="00000000" w:rsidDel="00000000">
              <w:rPr>
                <w:b w:val="1"/>
                <w:rtl w:val="0"/>
              </w:rPr>
              <w:t xml:space="preserve">dalībvalstis izveido procedūras</w:t>
            </w:r>
            <w:r w:rsidR="00000000" w:rsidRPr="00000000" w:rsidDel="00000000">
              <w:rPr>
                <w:rtl w:val="0"/>
              </w:rPr>
              <w:t xml:space="preserve">, kas varētu ietvert ēku vai to reprezentatīva parauga pārbaudi uz vietas, kā arī Regulas 2024/1309 10. panta 8. punktam, kas paredz, ka  </w:t>
            </w:r>
            <w:r w:rsidR="00000000" w:rsidRPr="00000000" w:rsidDel="00000000">
              <w:rPr>
                <w:b w:val="1"/>
                <w:rtl w:val="0"/>
              </w:rPr>
              <w:t xml:space="preserve">dalībvalstis, balstoties uz pienācīgi pamatotiem un samērīgiem iemesliem, identificē to ēku veidus</w:t>
            </w:r>
            <w:r w:rsidR="00000000" w:rsidRPr="00000000" w:rsidDel="00000000">
              <w:rPr>
                <w:rtl w:val="0"/>
              </w:rPr>
              <w:t xml:space="preserve">, piemēram, īpašas pieminekļu kategorijas, vēsturiskas ēkas, militāras ēkas un ēkas, ko izmanto valsts drošības vajadzībām, kā noteikts valsts tiesību aktos, kuras ir jāatbrīvo no 1., 2. un 3. punktā paredzētajiem pienākumiem vai kurām šie pienākumi jāpiemēro ar pienācīgiem tehniskiem pielāgojumiem. </w:t>
            </w:r>
            <w:r w:rsidR="00000000" w:rsidRPr="00000000" w:rsidDel="00000000">
              <w:rPr>
                <w:b w:val="1"/>
                <w:rtl w:val="0"/>
              </w:rPr>
              <w:t xml:space="preserve">Informāciju par šādām ēku kategorijām publicē ar vienotā informācijas punkta starpniecību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2024/1275 sasaisti ar Direktīvu 2010/31 un tajā lietotajiem terminiem, kas saistīti arī ar Regulā 2024/1309 izmantoto terminoloģiju, visu minēto regulējumu kontekstā termins "renovācija" kā arī "nozīmīga renovācija" un "pamatīga renovācija" saskaņā ar Būvniecības likuma pārejas noteikumu 7. punktu nacionālajā (Latvijas) regulējumā ir tas pats, kas "atjaunošana", tātad, attiecīgajā kontekstā ir "nozīmīga atjaunošana" vai "pamatīga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Pārējais priekšlikumā minētais nav tieši attiecināms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būtiska ir noteikumu projekta 1.6. apakšpunktā piedāvātā 130.19. punkta redakcija, kas izskaidro 11.1. nodaļas un 12.12. apakšnodaļas darbības lauku — prasības attiecināmas uz ēkām, kurās iekštelpu vides regulēšanai izmanto enerģiju. Dažāda specifiska pielietojuma ēkas, piemēram, transformatoru apakšstaciju ēkas elektroapgādes sistēmā, ir apzināti projektētas tā, lai efektīvi izvadītu ēkā izvietoto elektroiekārtu radīto siltumu. Līdz ar to uz šāda veida ēkām nevajadzētu attiecināt energoefektivitātes prasības, kas noteiktas ēkas 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Tipveida gadījumos šajās ēkās nav paredzēta apkures sistēma iekštelpu vides regulēšanai, lai gan tajās var būt uzstādītas elektriskās apsildes ierīces. Tās tiek ieslēgtas tikai īslaicīgi, lai vajadzības gadījumā nodrošinātu atbilstošus darba vides apstākļus operatīvajam personālam, kas veic iekārtu ieregulēšanu un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būtiski šo būvnormatīva nodaļu lasīt kontekstā ar Ēku energoefektivitātes likuma prasībām, t. sk. ņemot vērā likuma 3. panta otrajā daļā ietverto uzskaitījumu par ēkām, kurām likuma prasības nepiemēro. Ar šo komentāru vēlamies uzsvērt, ka specifiska pielietojuma ēkās apsildes/dzesēšanas risinājumi un iekārtas projekta sadaļās var parādīties, taču ir jāvērtē un jāņem vērā arī tas, kādam nolūkam šīs iekārtas ir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iekārtas ir paredzētas telpas apsildei vai atdzesēšanai tikai īslaicīgi un nepastāvīgi, piemēram, līdz pāris stundām gada laikā, kamēr telpā tiek veikti operatīvie darbi ar elektroiekārtām, vai, piemēram, gaisa kondicionēšanas iekārta ir uzstādīta kā papildu tehniskais risinājums, lai novērstu transformatoru apakšstacijas telpas pārkaršanu un elektroapgādes iekārtu atslēgšanos dažas dienas gadā ekstremāli karsta laika un augstas elektriskās noslodzes situācijās, tas nedrīkstētu būt par pamatojumu šāda tipa ēkas pielāgošanai energoefektivitātes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izpratni ievērot, saprātīgi piemērojot būvnormatīvā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tehnisku apsvērumu dēļ nav iespējams pievienot komentāru tieši pie 130.19. punkta, vēlamies norādīt uz redakcionāla precizējuma nepieciešamību vārdā “apakšnodaļa”. Papildus aicinām izvērtēt iespēju vēl precīzāk skaidrot iekštelpu vides regulēšanas nosacījumus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Šo noteikumu 11.</w:t>
            </w:r>
            <w:r w:rsidR="00000000" w:rsidRPr="00000000" w:rsidDel="00000000">
              <w:rPr>
                <w:vertAlign w:val="superscript"/>
                <w:rtl w:val="0"/>
              </w:rPr>
              <w:t xml:space="preserve">1 </w:t>
            </w:r>
            <w:r w:rsidR="00000000" w:rsidRPr="00000000" w:rsidDel="00000000">
              <w:rPr>
                <w:rtl w:val="0"/>
              </w:rPr>
              <w:t xml:space="preserve">nodaļā un 12.</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b w:val="1"/>
                <w:u w:val="single"/>
                <w:rtl w:val="0"/>
              </w:rPr>
              <w:t xml:space="preserve">a</w:t>
            </w:r>
            <w:r w:rsidR="00000000" w:rsidRPr="00000000" w:rsidDel="00000000">
              <w:rPr>
                <w:rtl w:val="0"/>
              </w:rPr>
              <w:t xml:space="preserve">pakšnodaļā vārds "ēka" ir lietots ar nozīmi, ka tā ir būve ar jumtu un sienām, kurai </w:t>
            </w:r>
            <w:r w:rsidR="00000000" w:rsidRPr="00000000" w:rsidDel="00000000">
              <w:rPr>
                <w:u w:val="single"/>
                <w:rtl w:val="0"/>
              </w:rPr>
              <w:t xml:space="preserve">pastāvīgai vai sezonālai</w:t>
            </w:r>
            <w:r w:rsidR="00000000" w:rsidRPr="00000000" w:rsidDel="00000000">
              <w:rPr>
                <w:rtl w:val="0"/>
              </w:rPr>
              <w:t xml:space="preserve"> iekštelpu vides regulēšanai izmanto </w:t>
            </w:r>
            <w:r w:rsidR="00000000" w:rsidRPr="00000000" w:rsidDel="00000000">
              <w:rPr>
                <w:u w:val="single"/>
                <w:rtl w:val="0"/>
              </w:rPr>
              <w:t xml:space="preserve">šādam nolūkam paredzētu</w:t>
            </w:r>
            <w:r w:rsidR="00000000" w:rsidRPr="00000000" w:rsidDel="00000000">
              <w:rPr>
                <w:rtl w:val="0"/>
              </w:rPr>
              <w:t xml:space="preserve"> 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energoefektivitātes jomas prasības piemērot ēkām, kuras neapsilda vai nedzesē, piemēram, transformatoru apakšstaciju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Ēku energoefektivitātes likuma 3. panta otro daļu attiecīgās jomas prasības pašlaik nepiemēro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kurām enerģiju neizmanto iekštelpu mikroklimata regulēšanai;</w:t>
            </w:r>
            <w:r w:rsidR="00000000" w:rsidRPr="00000000" w:rsidDel="00000000">
              <w:rPr>
                <w:i w:val="1"/>
                <w:rtl w:val="0"/>
              </w:rPr>
              <w:t xml:space="preserve">2) kuras ir kultūras pieminekļi vai kurās atrodas kultūras pieminekļi, kā arī kultūras pieminekļu teritorijās esošām ēkām, ja likuma prasību izpilde apdraud šo kultūras pieminekļu saglabāšanu vai pazemina to kultūrvēsturisko vērtību;</w:t>
            </w:r>
            <w:r w:rsidR="00000000" w:rsidRPr="00000000" w:rsidDel="00000000">
              <w:rPr>
                <w:i w:val="1"/>
                <w:rtl w:val="0"/>
              </w:rPr>
              <w:t xml:space="preserve">3) kuras projektētas un būvētas dievkalpojumiem un citām reliģiskām darbībām;</w:t>
            </w:r>
            <w:r w:rsidR="00000000" w:rsidRPr="00000000" w:rsidDel="00000000">
              <w:rPr>
                <w:i w:val="1"/>
                <w:rtl w:val="0"/>
              </w:rPr>
              <w:t xml:space="preserve">4) kuras ir dzīvojamās ēkas, ko izmanto vai paredzēts izmantot mazāk par četriem mēnešiem gadā vai arī ierobežotu laiku katru gadu, un kuru paredzamais enerģijas patēriņš ir mazāks par 40 kilovatstundām uz kvadrātmetru gadā (piemēram, vasarnīcas, dārza mājas);</w:t>
            </w:r>
            <w:r w:rsidR="00000000" w:rsidRPr="00000000" w:rsidDel="00000000">
              <w:rPr>
                <w:i w:val="1"/>
                <w:rtl w:val="0"/>
              </w:rPr>
              <w:t xml:space="preserve">5) kuras ir brīvi stāvošas un kuru kopējā iekštelpu platība ir mazāka par 50 kvadrātmetriem;</w:t>
            </w:r>
            <w:r w:rsidR="00000000" w:rsidRPr="00000000" w:rsidDel="00000000">
              <w:rPr>
                <w:i w:val="1"/>
                <w:rtl w:val="0"/>
              </w:rPr>
              <w:t xml:space="preserve">6) kuras paredzētas lietošanai uz laiku, ne ilgāku par diviem gadiem;</w:t>
            </w:r>
            <w:r w:rsidR="00000000" w:rsidRPr="00000000" w:rsidDel="00000000">
              <w:rPr>
                <w:i w:val="1"/>
                <w:rtl w:val="0"/>
              </w:rPr>
              <w:t xml:space="preserve">7) kuras ir rūpnieciskās ražošanas ēkas un lauku saimniecību nedzīvojamās ēkas ar zemu enerģijas pieprasījumu (kopējais enerģijas patēriņš nepārsniedz 50 kilovatstundas uz kopējās iekštelpu platības kvadrātmetru gadā);</w:t>
            </w:r>
            <w:r w:rsidR="00000000" w:rsidRPr="00000000" w:rsidDel="00000000">
              <w:rPr>
                <w:i w:val="1"/>
                <w:rtl w:val="0"/>
              </w:rPr>
              <w:t xml:space="preserve">8) kuras ir Latvijas Republikas diplomātiskās un konsulārās pārstāvniecības ēkas ārvalstīs. Šādu ēku projektēšanu, būvniecību un ekspluatācijas uzraudzību organizē valsts akciju sabiedrība "Valsts nekustamie īpašumi", kas koordinē energoefektivitātes principu ievērošanu ēkās, kā arī energoefektivitātes pasākumu veikšanu atbilstoši konkrētās vietas klimatiskajiem apstākļiem un uzņemošās valsts normatīvo aktu prasībām, ja to piemērošana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likuma grozījumu projekts (25-TA-2969) paredz ka šā likuma tvērumā ēka ir</w:t>
            </w:r>
            <w:r w:rsidR="00000000" w:rsidRPr="00000000" w:rsidDel="00000000">
              <w:rPr>
                <w:i w:val="1"/>
                <w:rtl w:val="0"/>
              </w:rPr>
              <w:t xml:space="preserve"> "būve ar jumtu un sienām, kur telpu vides regulēšanai izmanto enerģiju"</w:t>
            </w:r>
            <w:r w:rsidR="00000000" w:rsidRPr="00000000" w:rsidDel="00000000">
              <w:rPr>
                <w:rtl w:val="0"/>
              </w:rPr>
              <w:t xml:space="preserve">, un vienlaikus, ka likuma prasības nepiemēro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kuras kalpo valsts aizsardzības mērķiem, izņemot bruņotajiem spēkiem un citam valsts aizsardzības iestāžu personālam paredzētas atsevišķas dzīvojamās telpas vai biroja ēkas;</w:t>
            </w:r>
            <w:r w:rsidR="00000000" w:rsidRPr="00000000" w:rsidDel="00000000">
              <w:rPr>
                <w:i w:val="1"/>
                <w:rtl w:val="0"/>
              </w:rPr>
              <w:t xml:space="preserve">2) kas kalpo par kulta vietām un ko izmanto reliģiskām darbībām;</w:t>
            </w:r>
            <w:r w:rsidR="00000000" w:rsidRPr="00000000" w:rsidDel="00000000">
              <w:rPr>
                <w:i w:val="1"/>
                <w:rtl w:val="0"/>
              </w:rPr>
              <w:t xml:space="preserve">3) ko izmanto vai paredzēts izmantot vai nu mazāk par četriem mēnešiem gadā, vai arī, alternatīvi, izmantot uz ierobežotu laiku katru gadu un ar paredzamo enerģijas patēriņu, kas ir mazāks nekā 25 % no enerģijas patēriņa, kurš rastos, ja ēka tiktu izmantota visu gadu;</w:t>
            </w:r>
            <w:r w:rsidR="00000000" w:rsidRPr="00000000" w:rsidDel="00000000">
              <w:rPr>
                <w:i w:val="1"/>
                <w:rtl w:val="0"/>
              </w:rPr>
              <w:t xml:space="preserve">4) kuras ir brīvi stāvošas un kuru kopējā iekštelpu platība ir mazāka par 50 kvadrātmetriem;</w:t>
            </w:r>
            <w:r w:rsidR="00000000" w:rsidRPr="00000000" w:rsidDel="00000000">
              <w:rPr>
                <w:i w:val="1"/>
                <w:rtl w:val="0"/>
              </w:rPr>
              <w:t xml:space="preserve">5) pagaidu celtnes, ko izmanto ne ilgāk kā divus gadus, rūpnieciski objekti, darbnīcas, nedzīvojamas lauksaimniecības ēkas ar zemu enerģijas pieprasījumu un nedzīvojamas lauksaimniecības ēkas, ko izmanto kādā nozarē, kuru aptver nacionāls nozaru nolīgums par energoefektivitāti;</w:t>
            </w:r>
            <w:r w:rsidR="00000000" w:rsidRPr="00000000" w:rsidDel="00000000">
              <w:rPr>
                <w:i w:val="1"/>
                <w:rtl w:val="0"/>
              </w:rPr>
              <w:t xml:space="preserve">6) kuras ir Latvijas Republikas diplomātiskās un konsulārās pārstāvniecības ēkas ārvalstīs. Šādu ēku projektēšanu, būvniecību un ekspluatācijas uzraudzību organizē valsts akciju sabiedrība "Valsts nekustamie īpašumi", kas koordinē energoefektivitātes principu ievērošanu ēkās, kā arī energoefektivitātes pasākumu veikšanu atbilstoši konkrētās vietas klimatiskajiem apstākļiem un uzņemošās valsts normatīvo aktu prasībām, ja to piemērošana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130.</w:t>
            </w:r>
            <w:r w:rsidR="00000000" w:rsidRPr="00000000" w:rsidDel="00000000">
              <w:rPr>
                <w:i w:val="1"/>
                <w:vertAlign w:val="superscript"/>
                <w:rtl w:val="0"/>
              </w:rPr>
              <w:t xml:space="preserve">15</w:t>
            </w:r>
            <w:r w:rsidR="00000000" w:rsidRPr="00000000" w:rsidDel="00000000">
              <w:rPr>
                <w:i w:val="1"/>
                <w:rtl w:val="0"/>
              </w:rPr>
              <w:t xml:space="preserve"> Šo noteikumu 11.</w:t>
            </w:r>
            <w:r w:rsidR="00000000" w:rsidRPr="00000000" w:rsidDel="00000000">
              <w:rPr>
                <w:i w:val="1"/>
                <w:vertAlign w:val="superscript"/>
                <w:rtl w:val="0"/>
              </w:rPr>
              <w:t xml:space="preserve">1</w:t>
            </w:r>
            <w:r w:rsidR="00000000" w:rsidRPr="00000000" w:rsidDel="00000000">
              <w:rPr>
                <w:i w:val="1"/>
                <w:rtl w:val="0"/>
              </w:rPr>
              <w:t xml:space="preserve"> nodaļā un 12.12. apakšnodaļā vārds "ēka" ir lietots ar nozīmi, ka tā ir ar jumtu un sienām esoša būve, kuras iekštelpu vides regulēšanai izmanto šādam nolūkam paredzētu enerģiju un ir piemērojams Ēku energoefektivitātes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3.42. nozīmīga atjaunošana – ar ēkas energoefektivitāti saistīta ēkas atjaunošana, kas skar vairāk par 25 % no norobežojošās konstrukcijas virsmas;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konkrētajā kontekstā ir norobežojošā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(ES) 2024/1275 (2024. gada 24. aprīlis) par ēku energosniegumu” izpratnē - “ēkas konstruktīvie elementi, kas atdala tās iekšējās telpas no āra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130.</w:t>
            </w:r>
            <w:r w:rsidR="00000000" w:rsidRPr="00000000" w:rsidDel="00000000">
              <w:rPr>
                <w:i w:val="1"/>
                <w:vertAlign w:val="superscript"/>
                <w:rtl w:val="0"/>
              </w:rPr>
              <w:t xml:space="preserve">16.</w:t>
            </w:r>
            <w:r w:rsidR="00000000" w:rsidRPr="00000000" w:rsidDel="00000000">
              <w:rPr>
                <w:i w:val="1"/>
                <w:rtl w:val="0"/>
              </w:rPr>
              <w:t xml:space="preserve"> Ja tas ir tehniski iespējams un ekonomiski pamatoti, tad jaunu dzīvojamo ēku un nozīmīgi atjaunotu dzīvojamo ēku (izņemot </w:t>
            </w:r>
            <w:r w:rsidR="00000000" w:rsidRPr="00000000" w:rsidDel="00000000">
              <w:rPr>
                <w:b w:val="1"/>
                <w:i w:val="1"/>
                <w:rtl w:val="0"/>
              </w:rPr>
              <w:t xml:space="preserve">veinģimeņu māju</w:t>
            </w:r>
            <w:r w:rsidR="00000000" w:rsidRPr="00000000" w:rsidDel="00000000">
              <w:rPr>
                <w:i w:val="1"/>
                <w:rtl w:val="0"/>
              </w:rPr>
              <w:t xml:space="preserve">, ja izmaksas pārsniedz ieguvumus) paredz ar aprīkojumu, kas nodrošina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konsolidēt terminoloģiju ar Ministru kabineta 2018.gada 16.jūnija noteikumos Nr.326 “Būvju klasifikācijas noteikumi” noteikto, aizvietojot vārdus "vienģimeņu māju" ar vārdiem "viena dzīvokļa māju".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izvairoties no sinonīmu lietošanas, piemēram "atjaunošana (renovācija)". Norādām, ka atbilstoši juridiskās tehnikas prasībām normatīvajā aktā nelieto sinonīmus un vienu lietu konsekventi sauc vienā un tajā pašā vārdā un sinonīma lietošana "()"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izvairīties arī no skaidrojuma sniegšanas iekavās, ierosinām tos ietvert anotācijā vai, ja nepieciešams, nodalīt ar komatiem.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apakšpunkts izteikts bez iekavām: </w:t>
            </w:r>
            <w:r w:rsidR="00000000" w:rsidRPr="00000000" w:rsidDel="00000000">
              <w:rPr>
                <w:i w:val="1"/>
                <w:rtl w:val="0"/>
              </w:rPr>
              <w:t xml:space="preserve">"pakāpeniska pamatīga atjaunošana – pamatīga atjaunošana, ko īsteno vairākos posmos saskaņā ar atjaunošanas pasē noteikto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1.4. apakšpunktā aicinām izmantot jēdzienu "personas ar funkcionāliem traucējumiem", jo tieši šāds jēdziens  ir izvēlēts kā standarta un normatīvi konsekvents termins visā LBN 200‑21 regulējumā. Paskaidrojam, ka kustību ierobežojumi attiecas tikai uz cilvēkiem ar pārvietošanās grūtībām (mobilitātes traucējumiem), savukārt funkcionāli traucējumi ietver gan kustību (mobilitātes) traucējumus, gan redzes, dzirdes un garīga rakstura u.c. traucējumus.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izmantojot terminu "personas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jauno normu piemērošanu un neradītu dažādas interpretācijas iespējas, ierosinām papildināt normatīva akta anotāciju ar skaidrojumu un/vai pārskatīt sekojošos punktos ietverto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- 3.43. apakšpunktā lietotajam jēdzienam “būtiskie ēkas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- 3.45. un 3.46. apakšpunktā lietoto terminu "autostāvvieta", ņemot vērā, ka iekštelpā esoša autonovietne atbilstoši “Būvju klasifikācijas noteikumiem” ir garāža;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w:t>
            </w:r>
            <w:r w:rsidR="00000000" w:rsidRPr="00000000" w:rsidDel="00000000">
              <w:rPr>
                <w:i w:val="1"/>
                <w:rtl w:val="0"/>
              </w:rPr>
              <w:t xml:space="preserve">6 prim </w:t>
            </w:r>
            <w:r w:rsidR="00000000" w:rsidRPr="00000000" w:rsidDel="00000000">
              <w:rPr>
                <w:rtl w:val="0"/>
              </w:rPr>
              <w:t xml:space="preserve">3. apakšpunktā lietoto tekstu “no kopējās lietotāju kapacitātes”, norādot metodiku, pēc kuras kā var noteikt objekta lietotāju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- 130. </w:t>
            </w:r>
            <w:r w:rsidR="00000000" w:rsidRPr="00000000" w:rsidDel="00000000">
              <w:rPr>
                <w:i w:val="1"/>
                <w:rtl w:val="0"/>
              </w:rPr>
              <w:t xml:space="preserve">7 prim</w:t>
            </w:r>
            <w:r w:rsidR="00000000" w:rsidRPr="00000000" w:rsidDel="00000000">
              <w:rPr>
                <w:rtl w:val="0"/>
              </w:rPr>
              <w:t xml:space="preserve"> 3. apakšpunktā  “katrai dzīvojamās ēkas vienībai” kopsakarībā ar jau esošo dzīvokļa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- 130. </w:t>
            </w:r>
            <w:r w:rsidR="00000000" w:rsidRPr="00000000" w:rsidDel="00000000">
              <w:rPr>
                <w:i w:val="1"/>
                <w:rtl w:val="0"/>
              </w:rPr>
              <w:t xml:space="preserve">15 prim</w:t>
            </w:r>
            <w:r w:rsidR="00000000" w:rsidRPr="00000000" w:rsidDel="00000000">
              <w:rPr>
                <w:rtl w:val="0"/>
              </w:rPr>
              <w:t xml:space="preserve"> apakšpunktā lietoto tekstu “paredz pēc iespējas vairāk” , sniedzot skaidrus izpildes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130.</w:t>
            </w:r>
            <w:r w:rsidR="00000000" w:rsidRPr="00000000" w:rsidDel="00000000">
              <w:rPr>
                <w:i w:val="1"/>
                <w:rtl w:val="0"/>
              </w:rPr>
              <w:t xml:space="preserve"> 4 prim</w:t>
            </w:r>
            <w:r w:rsidR="00000000" w:rsidRPr="00000000" w:rsidDel="00000000">
              <w:rPr>
                <w:rtl w:val="0"/>
              </w:rPr>
              <w:t xml:space="preserve">, 130. </w:t>
            </w:r>
            <w:r w:rsidR="00000000" w:rsidRPr="00000000" w:rsidDel="00000000">
              <w:rPr>
                <w:i w:val="1"/>
                <w:rtl w:val="0"/>
              </w:rPr>
              <w:t xml:space="preserve">5 prim</w:t>
            </w:r>
            <w:r w:rsidR="00000000" w:rsidRPr="00000000" w:rsidDel="00000000">
              <w:rPr>
                <w:rtl w:val="0"/>
              </w:rPr>
              <w:t xml:space="preserve"> , 130. </w:t>
            </w:r>
            <w:r w:rsidR="00000000" w:rsidRPr="00000000" w:rsidDel="00000000">
              <w:rPr>
                <w:i w:val="1"/>
                <w:rtl w:val="0"/>
              </w:rPr>
              <w:t xml:space="preserve">16 prim</w:t>
            </w:r>
            <w:r w:rsidR="00000000" w:rsidRPr="00000000" w:rsidDel="00000000">
              <w:rPr>
                <w:rtl w:val="0"/>
              </w:rPr>
              <w:t xml:space="preserve">, 130. </w:t>
            </w:r>
            <w:r w:rsidR="00000000" w:rsidRPr="00000000" w:rsidDel="00000000">
              <w:rPr>
                <w:i w:val="1"/>
                <w:rtl w:val="0"/>
              </w:rPr>
              <w:t xml:space="preserve">17 prim</w:t>
            </w:r>
            <w:r w:rsidR="00000000" w:rsidRPr="00000000" w:rsidDel="00000000">
              <w:rPr>
                <w:rtl w:val="0"/>
              </w:rPr>
              <w:t xml:space="preserve"> , 130 </w:t>
            </w:r>
            <w:r w:rsidR="00000000" w:rsidRPr="00000000" w:rsidDel="00000000">
              <w:rPr>
                <w:i w:val="1"/>
                <w:rtl w:val="0"/>
              </w:rPr>
              <w:t xml:space="preserve">18 prim</w:t>
            </w:r>
            <w:r w:rsidR="00000000" w:rsidRPr="00000000" w:rsidDel="00000000">
              <w:rPr>
                <w:rtl w:val="0"/>
              </w:rPr>
              <w:t xml:space="preserve"> apakšpunktā  lietoto  piebildi “ciktāl tas ir tehniski, funkcionāli un ekonomiski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6.2  punkta tekstu “proti, ar attiecīgu konstrukciju nestspēju, piemērotu jumta slīpumu un orientāciju” un   130. </w:t>
            </w:r>
            <w:r w:rsidR="00000000" w:rsidRPr="00000000" w:rsidDel="00000000">
              <w:rPr>
                <w:i w:val="1"/>
                <w:rtl w:val="0"/>
              </w:rPr>
              <w:t xml:space="preserve">17 prim</w:t>
            </w:r>
            <w:r w:rsidR="00000000" w:rsidRPr="00000000" w:rsidDel="00000000">
              <w:rPr>
                <w:rtl w:val="0"/>
              </w:rPr>
              <w:t xml:space="preserve"> punkta tekstu “piemēram, nelielu vēja elektrostaciju ierīkošanu, un tādu paredz”, norādot konkrētus parametrus (augstumu, jaudu), ierosinām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būtiskajiem ēkas elementiem - </w:t>
            </w:r>
            <w:r w:rsidR="00000000" w:rsidRPr="00000000" w:rsidDel="00000000">
              <w:rPr>
                <w:b w:val="1"/>
                <w:rtl w:val="0"/>
              </w:rPr>
              <w:t xml:space="preserve">ņemts vērā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definīcijā "pamatīga atjaunošana" minētie būtiskie ēkas elementi uz visi ēkas sastāvā esošie risinājumi, konstrukcijas un sistēmas, kam ir vērā ņemama ietekme uz ēkas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terminu "autostāvvieta" un "garāža" - </w:t>
            </w:r>
            <w:r w:rsidR="00000000" w:rsidRPr="00000000" w:rsidDel="00000000">
              <w:rPr>
                <w:b w:val="1"/>
                <w:rtl w:val="0"/>
              </w:rPr>
              <w:t xml:space="preserve">ņemts vērā pārskatot izmantoto terminoloģiju un to atstājot nemainītu.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klasifikācijas objekts ir visa ēka, vai ēkā esoša telpu grupa, savukārt termins "autostāvvieta" lietots ar citu nozīmi, proti, tā var būt arī tikai ar līnijām marķēta vieta telpu grupā, tātad, ēkā, kā arī ārpus ēkas.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kopējo lietotāju kapacitāti </w:t>
            </w:r>
            <w:r w:rsidR="00000000" w:rsidRPr="00000000" w:rsidDel="00000000">
              <w:rPr>
                <w:b w:val="1"/>
                <w:rtl w:val="0"/>
              </w:rPr>
              <w:t xml:space="preserve">- ņemts vērā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6</w:t>
            </w:r>
            <w:r w:rsidR="00000000" w:rsidRPr="00000000" w:rsidDel="00000000">
              <w:rPr>
                <w:rtl w:val="0"/>
              </w:rPr>
              <w:t xml:space="preserve">3. apakšpunktā noteikt prasības velosipēdu stāvvietu skaitam ņemot vērā ēkas kopējās lietotāju kapacitāti. Šajā kontekstā ar kopējo lietotāju kapacitāti saprotams maksimālais cilvēku skaits, kas var droši un ērti apdzīvot vai izmantot ēku. Šis skaits ir cilvēku skaita augšējā robeža saskaņā ar būvnormatīviem, ugunsdrošības jomas regulējumu un citiem noteikumiem arī ēku ekspluatācijas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terminu "dzīvojamās ēkas vienība”" - </w:t>
            </w:r>
            <w:r w:rsidR="00000000" w:rsidRPr="00000000" w:rsidDel="00000000">
              <w:rPr>
                <w:b w:val="1"/>
                <w:rtl w:val="0"/>
              </w:rPr>
              <w:t xml:space="preserve">ņemts vērā pārskatot izmantoto terminoloģiju un to atstājot nemainītu.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2024/1275 nosaka definīciju: </w:t>
            </w:r>
            <w:r w:rsidR="00000000" w:rsidRPr="00000000" w:rsidDel="00000000">
              <w:rPr>
                <w:i w:val="1"/>
                <w:rtl w:val="0"/>
              </w:rPr>
              <w:t xml:space="preserve">"“ēkas vienība” ir ēkas sekcija, stāvs vai dzīvoklis, kas projektēta vai pielāgota patstāvīgai izmantošanai". Šo </w:t>
            </w:r>
            <w:r w:rsidR="00000000" w:rsidRPr="00000000" w:rsidDel="00000000">
              <w:rPr>
                <w:rtl w:val="0"/>
              </w:rPr>
              <w:t xml:space="preserve">definīciju </w:t>
            </w:r>
            <w:r w:rsidR="00000000" w:rsidRPr="00000000" w:rsidDel="00000000">
              <w:rPr>
                <w:i w:val="1"/>
                <w:rtl w:val="0"/>
              </w:rPr>
              <w:t xml:space="preserve">"ēkas vienība"</w:t>
            </w:r>
            <w:r w:rsidR="00000000" w:rsidRPr="00000000" w:rsidDel="00000000">
              <w:rPr>
                <w:rtl w:val="0"/>
              </w:rPr>
              <w:t xml:space="preserve"> paredzēts transponēt ar grozījumiem Ēku energoefektivitātes likumā. Ēkas "vienības tvērums" ir plašāks par termina "dzīvoklis" nozīmi, līdz ar to noteikumu projektā izmantotā terminoloģija atstāta bez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vārdu "pēc iespējas vairāk" nozīmi - </w:t>
            </w:r>
            <w:r w:rsidR="00000000" w:rsidRPr="00000000" w:rsidDel="00000000">
              <w:rPr>
                <w:b w:val="1"/>
                <w:rtl w:val="0"/>
              </w:rPr>
              <w:t xml:space="preserve">ņemts vērā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130.</w:t>
            </w:r>
            <w:r w:rsidR="00000000" w:rsidRPr="00000000" w:rsidDel="00000000">
              <w:rPr>
                <w:vertAlign w:val="superscript"/>
                <w:rtl w:val="0"/>
              </w:rPr>
              <w:t xml:space="preserve">19 </w:t>
            </w:r>
            <w:r w:rsidR="00000000" w:rsidRPr="00000000" w:rsidDel="00000000">
              <w:rPr>
                <w:rtl w:val="0"/>
              </w:rPr>
              <w:t xml:space="preserve">punktu</w:t>
            </w:r>
            <w:r w:rsidR="00000000" w:rsidRPr="00000000" w:rsidDel="00000000">
              <w:rPr>
                <w:i w:val="1"/>
                <w:rtl w:val="0"/>
              </w:rPr>
              <w:t xml:space="preserve"> </w:t>
            </w:r>
            <w:r w:rsidR="00000000" w:rsidRPr="00000000" w:rsidDel="00000000">
              <w:rPr>
                <w:i w:val="1"/>
                <w:rtl w:val="0"/>
              </w:rPr>
              <w:t xml:space="preserve">"130.</w:t>
            </w:r>
            <w:r w:rsidR="00000000" w:rsidRPr="00000000" w:rsidDel="00000000">
              <w:rPr>
                <w:i w:val="1"/>
                <w:vertAlign w:val="superscript"/>
                <w:rtl w:val="0"/>
              </w:rPr>
              <w:t xml:space="preserve">19</w:t>
            </w:r>
            <w:r w:rsidR="00000000" w:rsidRPr="00000000" w:rsidDel="00000000">
              <w:rPr>
                <w:i w:val="1"/>
                <w:rtl w:val="0"/>
              </w:rPr>
              <w:t xml:space="preserve"> Ja šo noteikumu 130.73.apakšpunktā minēto prasību par divām velosipēdu stāvvietām uz katru dzīvojamās ēkas vienību nozīmīgas atjaunošanas gadījumā nav iespējams izpildīt, tad paredz pēc iespējas vairāk velosipēdu stāvvietas vietu". </w:t>
            </w:r>
            <w:r w:rsidR="00000000" w:rsidRPr="00000000" w:rsidDel="00000000">
              <w:rPr>
                <w:i w:val="1"/>
                <w:rtl w:val="0"/>
              </w:rPr>
              <w:t xml:space="preserve"> </w:t>
            </w:r>
            <w:r w:rsidR="00000000" w:rsidRPr="00000000" w:rsidDel="00000000">
              <w:rPr>
                <w:rtl w:val="0"/>
              </w:rPr>
              <w:t xml:space="preserve">Punktā minētais kritērijs "pēc iespējas vairāk" piemērojams atbilstoši principam, kad paredz konkrētajai situācijai tehniski, funkcionāli un ekonomiski atbilstošāko velosipēdu stāvvietas skaitu, kas sabalansēts ar velosipēda stāvvietas tehnisko risinājumu. Velosipēdu stāvvietas tehnisko risinājumu (ēkā esoša telpa, ārpus ēkas esoša vieta zem jumta, pie ēkas iekšpusē vai ēkas ārpusē pie sienas stiprināta konstrukcija velosipēda novietošanai un pieslēgšanai, velosipēdu novietošanas iespējas vienā vai divos līmeņo (viens virs otra) u.tml.) noteikumu projekts nenosaka, līdz ar to, nozīmīgas atjaunošanas gadījumā gan velosipēda stāvvietas tehniskais risinājums, gan stāvvietu skaits nosakāms individuāli - izvēloties racionālāko un sabiedrības interesēm atbilstošāko risinājumu. Papildus vēršam uzmanību, ka minētais punkts pašā būvnormatīvā paredz noteikt situāciju, kurā atkāpe tiek pieļauta, tātad, nozīmīgas atjaunošanas gadījumā nav nepieciešams būvspeciālista sagatavots un būvprojektā iekļauts pamatojums par to, kādēļ velosipēdu stāvvietu skaits ir mazāks par skaitu, kādam būtu jābūt jaunas ēkas būvniecības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skaidrojumu saules enerģijas potenciālam, kas noteikts 6.2.punktā - </w:t>
            </w:r>
            <w:r w:rsidR="00000000" w:rsidRPr="00000000" w:rsidDel="00000000">
              <w:rPr>
                <w:b w:val="1"/>
                <w:rtl w:val="0"/>
              </w:rPr>
              <w:t xml:space="preserve">ņemts vērā papildus skaidrojumu pārnesot uz anotāciju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6.</w:t>
            </w:r>
            <w:r w:rsidR="00000000" w:rsidRPr="00000000" w:rsidDel="00000000">
              <w:rPr>
                <w:vertAlign w:val="superscript"/>
                <w:rtl w:val="0"/>
              </w:rPr>
              <w:t xml:space="preserve">2</w:t>
            </w:r>
            <w:r w:rsidR="00000000" w:rsidRPr="00000000" w:rsidDel="00000000">
              <w:rPr>
                <w:rtl w:val="0"/>
              </w:rPr>
              <w:t xml:space="preserve"> punktu: </w:t>
            </w:r>
            <w:r w:rsidR="00000000" w:rsidRPr="00000000" w:rsidDel="00000000">
              <w:rPr>
                <w:i w:val="1"/>
                <w:rtl w:val="0"/>
              </w:rPr>
              <w:t xml:space="preserve">"Jaunas ēkas projektē tā, lai optimizētu to saules enerģijas ražošanas potenciālu, balstoties uz saules apstarojumu objektā, lai izmakslietderīgā veidā varētu uzstādīt saules enerģijas tehnoloģijas."</w:t>
            </w:r>
            <w:r w:rsidR="00000000" w:rsidRPr="00000000" w:rsidDel="00000000">
              <w:rPr>
                <w:rtl w:val="0"/>
              </w:rPr>
              <w:t xml:space="preserve">  Minētais regulējums nozīmē, ka jaunas ēkas projektē kā saules enerģijas risinājumiem piemērojamu, proti, ar attiecīgu konstrukciju nestspēju, piemērotu jumta slīpumu un orientāciju, ņemot vērā fasāžu integrācijas risinājumus, jumta vietas rezervi un saistītās infrastruktūras (piemēram, jau paredzot kabeļu šahtas) gatavību saules enerģijas risinājuma uzstādīšanai arī tad, ja saules risinājuma uzstādīšanu neparedz uzreiz.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piemēru saistībā ar "nelielu vēja elektrostaciju ierīkošanu" - </w:t>
            </w:r>
            <w:r w:rsidR="00000000" w:rsidRPr="00000000" w:rsidDel="00000000">
              <w:rPr>
                <w:b w:val="1"/>
                <w:rtl w:val="0"/>
              </w:rPr>
              <w:t xml:space="preserve">ņemts vērā no redakcijas dzēšot norādi uz konkrētu piemēru.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130.</w:t>
            </w:r>
            <w:r w:rsidR="00000000" w:rsidRPr="00000000" w:rsidDel="00000000">
              <w:rPr>
                <w:vertAlign w:val="superscript"/>
                <w:rtl w:val="0"/>
              </w:rPr>
              <w:t xml:space="preserve">1</w:t>
            </w:r>
            <w:r w:rsidR="00000000" w:rsidRPr="00000000" w:rsidDel="00000000">
              <w:rPr>
                <w:rtl w:val="0"/>
              </w:rPr>
              <w:t xml:space="preserve">punktā lietot terminu "bezemisiju ēkas", ņemot vērā, ka šo terminu plānots ieviest tikai pēc 2030.gada 1.janvāra, līdz tam lietojams jēdziens “gandrīz nulles enerģijas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atstāta bez izmaiņām ar mērķi maksimāli nodrošināt regulējuma noteiktību.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termina “nozīmīga atjaunošana” iekļaušanu normatīvajā aktā, jo nav skaidrs pēc kādiem kritērijiem tiks noteikta, vai tā ir nozīmīga (tāda, kam ir liela nozīme, svarīga) atjaunošana, vai nav. Jāņem vērā, ka visas darbības, kas veicamas “nozīmīgās atjaunošanas” procesā, šobrīd var veikt ar atsevišķu būvniecības dokumentāciju. Līdz ar to, ja tas viss būtu veikts vienā būvniecības procesā, tad to varētu uzskatīt par “nozīmīgu atjaunošanu”, bet katru atsevišķu darbību nevar. Turklāt to var darīt vienlaicīgi un būvvaldei nav tiesību atteikt izskatīt šādu būvniecības dokumentāciju un likt visas darbības apvienot vienā būvniecības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projektā vai anotācijā precizēt, vai un kāds būs šo prasību kontroles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definīciju "nozīmīga atjaunošana", kas atbilstoši Direktīvai 2024/1275 nosaka skaidru kritēriju - tā ir ar ēkas energoefektivitāti saistīta ēkas atjaunošana, kas skar vairāk par 25 % no norobežojošās konstrukcijas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mehānismu jautājumi nav risināmi ar regulējumu būvnormatīvā, līdz ar to iebildums šajā daļā neattiecās uz noteikumu projektu. Vienlaikus paskaidrojam, ka par aizdomām par to, ka faktiski "nozīmīgas atjaunošanas" gadījumi mākslīgi tiek sadalīti pa vairākām dažādām būvniecības iecerēm ar mērķi izvairīties no saistīto prasību izpildes, ir jāinformē attiecīgās būvniecības ieceres izstrādātāja (sertificēta būvspeciālista) sertificēšanas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pārdomāt mērķa formulējumu. Tiesību akta mērķim būtu jābūt vērstam uz pozitīvām izmaiņām, ko paredzēts panākt Latvijā, nevis tikai ieviest Eiropas Parlamenta un Padomes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direktīvas pārņemšana var būt pamatojums likuma izstrādei, pašā mērķa formulējumā būtu jāatspoguļo, kādus konkrētus uzlabojumus vai ieguvumus tās ieviešana radīs valsts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anotācijā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 vēstulē 6.iebildums]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Ministriju skaidrot, vai un kā Direktīvas Nr. 2024/1275 prasību ieviešana paredz ietekmēt jau šobrīd dažādās projekta attīstības stadijās esošus ēku būvniecības un atjaunošanas projektus, ņemot vēra nepieciešamību uzņēmumu pusē prognozēt riskus investoriem un nekustamo īpašumu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prasības piemērojamas no 29.05.2026. un tās attiecās uz projektēšanas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Transponējot prasības tiek izmantotas visas iespējas un maksimālie termiņi, kādi izpilda Direkstīva 2024/1275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LBN 200-21 regulē būvju un infrastruktūras projektēšanas prasības, savukārt AFIR regula kā tieši piemērojama ES regula nosaka publiski pieejamu uzlādes punktu ekspluatācijas, lietotāju tiesību un tirgus darbības prasības, Satiksmes ministrija rosina anotāciju papildināt ar skaidrojošu norādi, piemēram, sadaļā “Sabiedrības grupas, kuras tiesiskais regulējums ietekmē” vai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uzlādes punkts ir publiski pieejams Eiropas Parlamenta un Padomes 2023. gada 13. septembra regulas (ES) Nr. 2023/1804 par alternatīvo degvielu infrastruktūras ieviešanu izpratnē, uz to neatkarīgi no šo noteikumu prasībām ir tieši piemērojamas minētajā regulā noteiktās ekspluatācijas, lietotāju tiesību un tirgus darbības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Priekšlikumā minētā redakcija iekļauta anotācijas 1.6 apakšsadaļā: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skaidrojumus par projekta ietekmi uz juridiskām personām. Vēršam uzmanību, ka, skaidrojot ietekmi, apraksts sniegts par subjektiem, kas saprotami kā fiziskās personas, piemēram, iedzīvotāji, personas ar invaliditāti u.tml., bet ne, piemēram, par ietekmi uz ar būvniecību saistītiem uzņēmumiem.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projekta anotācijas 4.1. sadaļā precīzi atspoguļot šajā sadaļā norādīto normatīvo aktu saistību ar projektu (kā projekts ietekmē anotācijas 4.1. sadaļā uzskaitītos normatīvos aktus). Pašlaik norādīts tikai uz Direktīvas 2024/1275 pārņemšanu tajos visos, bet ne savstarpējo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4.1.sadaļa precizēta, tajā atstājot norādi uz saistību tikai uz vienu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būvnormatīvs LBN 261-15 "Ēku iekšējā elektroinstalācija" (apstiprināts ar Ministru kabineta 2015. gada 9. jūnija noteikumiem Nr. 294 "Noteikumi par Latvijas būvnormatīvu LBN 261-15 "Ēku iekšējā elektroinstalācija"") III</w:t>
            </w:r>
            <w:r w:rsidR="00000000" w:rsidRPr="00000000" w:rsidDel="00000000">
              <w:rPr>
                <w:vertAlign w:val="superscript"/>
                <w:rtl w:val="0"/>
              </w:rPr>
              <w:t xml:space="preserve">1</w:t>
            </w:r>
            <w:r w:rsidR="00000000" w:rsidRPr="00000000" w:rsidDel="00000000">
              <w:rPr>
                <w:rtl w:val="0"/>
              </w:rPr>
              <w:t xml:space="preserve">. nodaļa nosaka elektrotransportlīdzekļu uzlādes punktu ierīkošanas prasības, kuras noteikumu projekts gan pārņem, gan precizē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iemeslu dēļ vienlaicīgi ar noteikumu projekta stāšanos spēkā ir jāgroza arī Latvijas būvnormatīvs LBN 261-15 "Ēku iekšējā elektroinstalācija", tajā dzēšot III</w:t>
            </w:r>
            <w:r w:rsidR="00000000" w:rsidRPr="00000000" w:rsidDel="00000000">
              <w:rPr>
                <w:vertAlign w:val="superscript"/>
                <w:rtl w:val="0"/>
              </w:rPr>
              <w:t xml:space="preserve">1</w:t>
            </w:r>
            <w:r w:rsidR="00000000" w:rsidRPr="00000000" w:rsidDel="00000000">
              <w:rPr>
                <w:rtl w:val="0"/>
              </w:rPr>
              <w:t xml:space="preserve">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atspoguļot, kā projekts un Ministru kabineta 2021. gada 19. oktobra noteikumi Nr. 693 "Būvju vispārīgo prasību būvnormatīvs LBN 200-21" īsteno no direktīvas 2024/1275 preambulas 83. punkta izrietošo nosacījumu. Piemēram, uz kurām direktīvas normām šo noteikumu kontekstā attiecināts, ka "</w:t>
            </w:r>
            <w:r w:rsidR="00000000" w:rsidRPr="00000000" w:rsidDel="00000000">
              <w:rPr>
                <w:i w:val="1"/>
                <w:rtl w:val="0"/>
              </w:rPr>
              <w:t xml:space="preserve">Pienākums transponēt šo direktīvu valsts tiesību aktos būtu jāattiecina vienīgi uz tiem noteikumiem, kuri, salīdzinot ar iepriekšējo direktīvu, ir grozījumi pēc būtības. Pienākums transponēt noteikumus, kas nav mainīti, izriet no iepriekšējās direktīvas</w:t>
            </w:r>
            <w:r w:rsidR="00000000" w:rsidRPr="00000000" w:rsidDel="00000000">
              <w:rPr>
                <w:rtl w:val="0"/>
              </w:rPr>
              <w:t xml:space="preserve">". Lūdzam izvērtēt, vai uz projekta atbilstību Eiropas Savienības tiesību aktiem, korekti attiecināts preambulas 83. punkts, ņemot vērā, ka atbilstoši Noteikumu iepriekšējām anotācijām, tie nav pārņēmuši Eiropas Parlamenta un Padomes 2010. gada 19. maija Direktīvu 2010/31/ES par ēku energoefektivitāti (no 2026. gada 30. maija atcels un aizstās Direktīva 2024/1275). Saprotams, ka, Noteikumu kontekstā, katra direktīvas nosacījuma pārņemšana ir jauna un pilnībā atspoguļojama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izvērtēts. Anotācijas 4.1.1.sadaļa papildināta ar izvērstāku skaidrojumu par minēto saistību.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24. aprīļa Direktīva 2024/1275 (turpmāk - Direktīva 2024/1275) atceļ Eiropas Parlamenta un Padomes 2010. gada 19. maija Direktīvu 2010/31/ES (pārstrādāto versiju) (turpmāk - Direktīva 2010/31/ES). Direktīvā 2010/31/ES  noteiktās prasības elektrouzlādes punktu ierīkošanai tika transponētas Latvijas būvnormatīvā LBN 261-15 "Ēku iekšējā elektroinstalācija" (apstiprināts ar Ministru kabineta 2015. gada 9. jūnija noteikumiem Nr. 294 "Noteikumi par Latvijas būvnormatīvu LBN 261-15 "Ēku iekšējā elektroinstalācija""). Minētā būvnormatīva III</w:t>
            </w:r>
            <w:r w:rsidR="00000000" w:rsidRPr="00000000" w:rsidDel="00000000">
              <w:rPr>
                <w:vertAlign w:val="superscript"/>
                <w:rtl w:val="0"/>
              </w:rPr>
              <w:t xml:space="preserve">1 </w:t>
            </w:r>
            <w:r w:rsidR="00000000" w:rsidRPr="00000000" w:rsidDel="00000000">
              <w:rPr>
                <w:rtl w:val="0"/>
              </w:rPr>
              <w:t xml:space="preserve">nodaļa nosaka elektrotransportlīdzekļu uzlādes punktu ierīkošanas prasības, kuras noteikumu projekts gan pārņem, gan precizē vienlaikus, tādā veidā transponējot attiecīgās prasības no Direktīvas 2024/1275. Minēto iemeslu dēļ vienlaicīgi ar noteikumu projekta stāšanos spēkā ir jāgroza arī Latvijas būvnormatīvs LBN 261-15 "Ēku iekšējā elektroinstalācija", tajā dzēšot III</w:t>
            </w:r>
            <w:r w:rsidR="00000000" w:rsidRPr="00000000" w:rsidDel="00000000">
              <w:rPr>
                <w:vertAlign w:val="superscript"/>
                <w:rtl w:val="0"/>
              </w:rPr>
              <w:t xml:space="preserve">1</w:t>
            </w:r>
            <w:r w:rsidR="00000000" w:rsidRPr="00000000" w:rsidDel="00000000">
              <w:rPr>
                <w:rtl w:val="0"/>
              </w:rPr>
              <w:t xml:space="preserve"> nodaļu un informatīvo atsauci uz Direktīvu 2010/31/ES.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Ministru kabineta 2024. gada 15. oktobra noteikumus Nr. 639 "Sabiedrības līdzdalības kārtība attīstības plānošanas procesā" un to, ka publiskā apspriešana jānodrošina pirms attiecīgais projekts tiek virzīts saskaņošanai, nevis vienlaicīgi ar to vai paralēli tam. Norādām, ka tikai pēc publiskās apspriešanas termiņa noslēgšanās projekts ir virzāms saskaņošanai, aizpildot projekta anotācijas 6.3. apakšpunktu ar informāciju par publiskās apspriešanas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sabiedrības līdzdalības procesu, aicinām ievērot Valsts kancelejas izstrādātajām vadlīnijām sabiedrības līdzdalības iespēju nodrošināšanai valsts pārvaldē, kas pieejamas: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nodrošināta pirms projekta virzības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25-TA-1187</w:t>
    </w:r>
    <w:r>
      <w:br/>
    </w:r>
    <w:r w:rsidR="00000000" w:rsidRPr="00000000" w:rsidDel="00000000">
      <w:rPr>
        <w:rtl w:val="0"/>
      </w:rPr>
      <w:t xml:space="preserve">15.06.2026. 23.38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25-TA-1187</w:t>
    </w:r>
    <w:r>
      <w:br/>
    </w:r>
    <w:r w:rsidR="00000000" w:rsidRPr="00000000" w:rsidDel="00000000">
      <w:rPr>
        <w:rtl w:val="0"/>
      </w:rPr>
      <w:t xml:space="preserve">15.06.2026. 23.38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Izziņa_25-TA-1187.docx</dc:title>
</cp:coreProperties>
</file>

<file path=docProps/custom.xml><?xml version="1.0" encoding="utf-8"?>
<Properties xmlns="http://schemas.openxmlformats.org/officeDocument/2006/custom-properties" xmlns:vt="http://schemas.openxmlformats.org/officeDocument/2006/docPropsVTypes"/>
</file>