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24-TA-2730: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darbnespējas lapu izsniegšanas uzraudzību un sūdzību izskatīšanu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InfoZinojumsDNL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secinājumu 4.punktā vārdu "arodslimības", jo iepriekš Informatīvajā ziņojumā tās ir norādītas kā viens no DNL cēloņiem, līdz ar to jārod atsauce uz tām arī secinājumu daļā (piemēram, Informatīvajā ziņojumā teikts: "Pārbaužu gaitā lielākajā daļā gadījumu DNL izrādās pamatotas un bieži vien ir saistītas ar arodslimību paasinājumu").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LBAS, iebildumu atsaukts. Skatīt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tabula Inspekcijas izskatītie iesniegumi par DNL no 2021. gada līdz 2024. 1.pusgadam parāda, ka 2024. gada 1. pusgadā korektīvo darbību īpatsvars ir būtiski pieaudzis (53 no 180 jeb ~29%), kas ir augstāks salīdzinājumā ar 2023. gadu (50 no 287 jeb ~17%) un 2022. gadu (47 no 312 jeb ~15%). Pamatojoties uz datiem, šķiet, ka Veselības Inspekcija ir pastiprinājusi korektīvo darbību īpatsvaru, taču tas nav minēts Informatīvajā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korektīvo darbību īpatsvara pieaugumam, kā arī cik lielā mērā mērķtiecīgāka pārkāpumu novēršana un veikto korektīvo darbību un pārbaužu īstenošana ir palīdzējusi uzlabot DNL sistēmas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konkrētus piemērus no Veselības inspekcijas izskatītajiem iesniegumiem saistībā ar darbnespējas lapu izsniegšanas izvērtēšanu, kāda veida korektīvas darbības (no kā - uz ko) bija nepieciešamas. Lūgums precizēt Informatīvā ziņojuma 2. sadaļu Kārtība, kādā Inspekcija uzrauga DNL izsniegšanu. Lūdzam ietvert šo informāciju arī secinājumu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grafikā redzams, ka 2023. gadā pilnībā anulētas 7 DNL, savukārt 2024. gada 1. pusgadā – jau 17 DNL. Lūdzam sniegt skaidrojumu par anulētajām darbnespējas lapām, pievienojot konkrētus piemērus, identificējot galvenās problēmas un jomas, kur visbiežāk tiek konstatēti pārkāpumi. Lūgums precizēt Informatīvā ziņojuma 2. sadaļu Kārtība, kādā Inspekcija uzrauga DNL izsniegšanu. Lūdzam ietvert šo informāciju arī secinājumu sadaļā.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Ekonomikas ministrija aicina papildināt informatīvo ziņojumu ar secinājumiem un izrietošajiem priekšlikumiem par izsniegto DNL pamatotības kontroli un pārbaudi. Iepriekšējās diskusijās ar uzņēmējiem izrietēja, ka DNL pamatotības pārbaude Latvijā notiek formāli dokumentācijas līmenī, kā rezultātā nav iespējams konstatēt DNL izsniegšanas faktisko pamatojumu - darbnespēju.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tiek secināts, ka DNL skaita pieaugums tiek novērots arī laikā, kad skolēniem ir Ziemassvētku brīvlaiks, Ekonomikas ministrija lūdz skaidrot korelācijas starp korektīvajām slimības lapām gada griezumā, tostarp skolēnu Ziemassvētku brīvlaika laikā. Tāpat arī lūdzam skaidrot, vai Veselības inspekcija ir konstatējusi iesniegumus no darba devējiem par nepamatoti izsniegtām DNL attiecībā uz vecāku personīgajām slimības lapām skolēnu brīvlaikos ? Lūdzam precizēt Informatīvā ziņojuma 3. sadaļu Esošā statistika un attiecīgi lūdzam precizēt 5. sadaļas Secinājumi 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uz nepieciešamību papildināt 3.3. nodaļu ar datiem, kas salīdzina darba devēja faktiskās izmaksas darbinieka darbanespējas gadījumā. Tas palīdzēs precizāk iztirzāt Projekta ievaddaļā minēto problēmu -  Latvijas uzņēmumu konkurētspējas situāciju Baltijā, un priekšlikumi, kā nodrošināt ar pārējām Baltijas valstīm salīdzināmu darbnespējas apmaksas regulējumu, kā arī izstrādāt atbilstošus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iebildumu pret vārda “arodslimības” ietveršanu Projekta Secinājumu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darba devēji gan maksājot augstākus darba nodokļus, nekā pārējās Baltijas valstīs, gan apmaksājot lielāku darbnespējas dienu skaitu, gan arī daļa darba devēju papildus apmaksājot veselības apdrošināšanas polises, ir iesaistīti nodarbināto veselības veicināšanā un saglabāšanā. Attiecībā uz nelaimes gadījumiem darbā šis punkts ir pamatots, savukārt attiecībā uz arodslimībām Latvijas normatīvais regulējums par darbmūža laikā un dabīgas novecošanas procesā iegūtiem darbspēju ierobežojumiem uzliek saistības darba devējam, kurš nodarbina personu laikā, kad arodslimība tiek fiksēta. Centieni vēl vairāk palielināt darba devēja saistības, palielina nenodarbinātības riskus personām pirmspensijas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Secinājumu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Secinājumu daļā nav ietverti secinājumi par ievaddaļā minēto problēmu -  Latvijas uzņēmumu konkurētspējas situāciju Baltijā, un priekšlikumi, kā nodrošināt ar pārējām Baltijas valstīm salīdzināmu darbnespējas apmaksas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secinājumu daļu ar secinājumiem un priekšlikumiem, kā risināt ievaddaļā minēto problēmu -  Latvijas uzņēmumu konkurētspējas nodrošināšanu Baltijā.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vienādot un precizēt Projekta 3.3.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Visām trijām valstīm darba devēja apmaksājamo darbnespējas dienu skaitu norādīt vienādā veidā (vienota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Pievienot apmaksas līmeni (procentos no Bruto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Igaunijā koriģēt neapmaksāto darbnespējas dienu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sadaļu ar A darbnespējas perioda vidējās darba devēja izmaksas Latvijā un pārējās Baltijas valstīs pie vidējā Bruto atalgojuma līmeņa.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Veselības ministrijas (turpmāk - VM) izstrādāto projektu “Informatīvais ziņojums “Par darbnespējas lapu izsniegšanas uzraudzību un sūdzību izskatīšanu”” (turpmāk arī Projekts) un izsaka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Ievadu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Ievadā  VM piedāvā terminu “darbaspēka konkurētspēja”, kam nav tiešas saistības ar konkrēto Projektu. Šis Projekts ir jāskata no Latvijas uzņēmējdarbības vides konkurētspējas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 šo pozīciju Ievadā, sadaļā 3.2. un 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augstu vērtē Veselības ministrijas sagatavoto informatīvo ziņojumu par darbnespējas lapu (turpmāk – DNL) izsniegšanas uzraudzību un sūdzību izskatīšanu (turpmāk – Ziņojums), ņemot vērā, cik ārkārtīgi sensitīvs un tajā pašā laikā būtisks šis jautājums ir daudziem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tomēr nevar piekrist atsevišķām atziņām, kas iekļautas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Problēmai ar DNL regulējuma ļaunprātīgu izmantošanu un izsniegšanas uzraudzību Latvijā ir sena vēsture. Nenoliedzot faktu, ka sabiedrības kopējais veselības stāvoklis nav apmierinošs, FICIL biedru pieredze rāda, ka ir regulāri novērojams, ka darbinieki saņem DNL arī situācijās, kad ir radušies kādi konflikti ar darba devēju, netiek piešķirts atvaļinājums darbinieka pieprasītajā laika posmā vai tuvojas kādi svētki. Tāpēc FICIL arī nevar piekrist Ziņojumā ietvertajam atzinumam, ka neesot novērojama korelācija starp lielāku DNL skaitu un tuvojošām svētku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jāuzsver, ka faktiskais sūdzību skaits Veselības inspekcijai par DNL izsniegšanu diemžēl nav reprezentējošs rādītājs tieši tā iemesla dēļ, ka daudzi darba devēji uzskata šo procesu par neefektīvu un lēnu. Būtu vieglprātīgi uzskatīt, ka, ņemot vērā kopējo DNL skaitu 1,2 miljonu apmērā, darba devējiem tikai vidēji 250 gadījumos ir bijušas šaubas par izsniegtās DNL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jau vārāku gadu garumā ir uzsvēris nepieciešamību pārskatīt VI kompetenci un tiesības, piešķirot VI papildu pilnvaras DNL pārbaudes procesā. Tāpēc nevaram piekrist Ziņojumā ietvertajam secinājumam, ka esošā VI nodrošinātā uzraudzības kārtība būtu saglabājama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FICIL nenoliedz arī darba devēju atbildību par drošas un veselībai nekaitīgas darba vides nodrošināšanu, vēlamies uzsvērt, ka primāri valstij būtu jārūpējas par sabiedrības veselības stāvokli. Tāpat arī Ziņojums neietver pamatojumu secinājumam, ka tieši darba devējiem būtu kādā veidā vēl vairāk jāiesaistās drošas un veselībai labvēlīgas darba vides nodrošināšanā nekā jau paredzēts normatīvajos tiesību aktos un nesatur rīcības plānu, kuru apņemot realizēt valsts pārvalde no savas puses. FICIL arī atgādina, ka tā ir vairāku gadu garumā norādījusi uz problēmām obligātajā veselības pārbaudes (turpmāk – OVP) kārtībā, kurai arī ir būtiska ietekme uz drošas un veselībai labvēlīgas darba vides nodrošināšanu. Proti, OVP process rada bažas par objektīvas un kvalitatīvas veselības pārbaudes nodrošināšanu un attiecīgi risku, ka darba izpildei tiek pielaisti darbinieki, kuru veselības stāvoklis tomēr neatbilst veicamajam darbam. DNL uzraudzības un OVP veikšanas process ir cieši saistīti jautājumi, kurus nevar risināt izolēti.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Visbeidzot, DNL apmaksas jautājums ir bijis dienas kārtībā vairāku gadu garumā un, kā jau tas vairākkārtīgi norādīts, līdz kamēr DNL apmaksas lielākais slogs būs uz darba devēju pleciem, nevaram sagaidīt arī efektīvāku DNL izsniegšanas uzraudzības kārtību. Latvijā darba devēji apmaksā 8 darbnespējas dienas, kas salīdzinot ar pārējām Baltijas valstīm ir ievērojami lielāks dienu skaits. Ziņojums arī nesatur pamatojumu,  kāpēc tas būtu saglabājams, ņemot vērā arī daudzu darba devējus pārstāvošu organizāciju jau izteiktus iebildumus šajā sakarā. Ziņojumā nav analizēta DNL izsniegšanas uzraudzības problemātika pārējās Baltijas valstīs, lai varētu objektīvā veidā salīdzināt vidējo DNL dienu skaitu uz vienu cilvēku un citus rādītājus un izdarīt no tiem pamatotus secinājumus.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papildināts informātivais ziņojums. Jautājumā par OVP skaidrojam, ka informatīvais ziņojums ir vērsts uz darbnespējas lapu izsniegšanas un uzraudzības kārtības pilnveidi, tostarp Veselības inspekcijas kompetenci sūdzību izskatīšanā. OVP process sākas un tiek īstenots ārpus darbnespējas lapu izsniegšanas kārtības, un šajā ziņojumā tas netiek padziļināti analizēts, jo mērķis ir tieši DNL izsniegšanas un kontroles uzlabošana, nevis obligāto veselības pārbaužu prakses izvērtējums vai to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noslēdzošo teikumu: "Ņemot vērā atsevišķu jautājumu par DNL aktualitāti un jaunu risinājumu izstrādes virzību, atbildīgajām iestādēm nepieciešamības gadījumā virzīt grozījumus normatīvajos aktos." (17.lpp.), papildinot ar informāciju, kuri konkrēti ir tie jautājumi, kuri ir aktuāli un kuriem nepieciešami jauni risinājumi.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5.nodaļā 4.punkts paredz, ka būtu nepieciešams pārskatīt darba devēja lielāku iesaisti un atbildību nodarbināto veselības veicināšanā un saglabāšanā. Ņemot vērā to, ka ziņojumā šis jautājums nav detalizētāk apskatīts, nav skaidrs šī secinājuma, kā arī 4.priekšlikuma saturs. Lūdzam atbilstoši precizēt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secinājumu daļā ministrijas ieskatā uzmanība būtu vēršama arī uz izglītojošā darba veikšanu ģimenes ārstu lokā, lai viņi spētu atpazīt agrīnas veselības stāvokļa izmaiņas un līdz ar to darbiniekiem būtu efektīvi un ātri pieejama rehabilitācija un ārstēšana. Veselības aprūpes un rehabilitācijas pakalpojuma pieejamība ir svarīga savlaicīgai veselības traucējumu risināšanai, lai jau preventīvi novērstu arodslimību vai citu slimību attīstību. Tāpat būtiska būtu e-veselības sistēmas pilnveide, lai ārstiem (gan ģimenes, gan arodslimību ārstiem) būtu pieejama pilna informācija par pacientu (slimību vēsture, izmeklējumi), lai to varētu vērtēt kopumā, nevis tikai pēc orgānu sistēmām vai ķermeņa daļām. Svarīga ir arī obligāto veselības pārbaužu digitalizācija, lai vienotā sistēmā ir dati par nodarbināto veselības pārbaudēm un to rezultātu, kā arī lai ģimenes ārsts saņemtu informāciju par obligātās veselības pārbaudes laikā konstatēto, kas bieži vien ir ģimenes ārsta kompetences jautājums un nav ar arodslimību saistīts. Jāatzīmē, ka obligātā veselības pārbaude ir kā sava veida skrīnings nodarbinātajai sabiedrības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galvenais mērķis ir uzlabot darbnespējas lapu izsniegšanas un uzraudzības kārtību, koncentrējoties uz Veselības inspekcijas kompetenci sūdzību izskatīšanā un kontroles mehānismu pilnveidi. Savukārt obligāto veselības pārbaužu (OVP) joma regulējuma līmenī un procesi, kas saistīti ar to digitalizāciju un paplašināšanu, pārsniedz šī ziņojuma tiešo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2.nodaļā pie apraksta par Valsts darba inspekciju lūdzam precizēt tekstu. Vēršam uzmanību uz to, ka sadarbība notiek ne tikai gadījumos, kad ir jālabo cēlonis - nelaimes gadījums darba vietā, bet gan arī tad, kad tas ir labots no nelaimes gadījuma darba vietā uz citu cēloni. Vienlaikus jānorāda, ka Valsts darba inspekcijai nav lomas darbnespējas lapu izsniegšanās kārtības uzraudzībā.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1.nodaļas pirmajā rindkopā 1.zemsvītras atsauci ar norādi uz likuma "Par maternitātes un slimības apdrošināšanu" 36.pantu, jo tieši šajā regulējumā ir noteikts darba devēja pienākums izmaksāt darbiniekam no saviem līdzekļiem slimības naudu.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"Kuldīgas slimnīca"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6.lpp norādīts, ka "Administratīvais sods tiek piešķirts, ja: DNL tiek izsniegta bez personas klātienes apskates...., DNL tiek turpināta bez personas klātienes apskates; DNL izsniegta ar atpakaļejošu datumu." - šāds formulējums rada maldīgu priekšstatu, jo 2024.gada 25.jūnija MK noteikumos Nr. 409 "Darbnespējas lapu izsniegšanas un anulēšanas kārtība" 6 - 9.punktā ir minēti priekšnosacījumi, kuros atļauts atvērt DNL bez apskates klātienē, kā arī izsniegt ar atpakaļejošu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11.lpp norādīts, ka MK Nr.409 stājās spēkā 2024.gada</w:t>
            </w:r>
            <w:r w:rsidR="00000000" w:rsidRPr="00000000" w:rsidDel="00000000">
              <w:rPr>
                <w:u w:val="single"/>
                <w:rtl w:val="0"/>
              </w:rPr>
              <w:t xml:space="preserve"> 26 jūnijā</w:t>
            </w:r>
            <w:r w:rsidR="00000000" w:rsidRPr="00000000" w:rsidDel="00000000">
              <w:rPr>
                <w:rtl w:val="0"/>
              </w:rPr>
              <w:t xml:space="preserve">, bet likumi.lv portālā redzams, ka MK noteikumi pieņemti 25.jūnijā, bet stājās spēkā 28.jūnijā.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kurā būtu skaidri minēts, ka sods tiek piešķirts tikai minētajos gadījumos, ja netiek ievērota MK 409 noteiktā kārtība un izņēmumi.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MK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informatīvajā ziņojumā paredzēto pasākumu īstenošanai izskatīt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sēdes protokollēmuma projekta 3.punktam paredzēts Labklājības ministrijai līdz 02.12.2025. vēl tikai izvērtēt iespēju īstenot informatīvajā ziņojumā ietvertos priekšlikumus, kā arī ņemot vērā informatīvā ziņojuma projekta 6.sadaļas 1.punktā norādīto nelielo papildu nepieciešamā finansējuma apmēru e-veselības sistēmas funkcionalitātes paplašināšanai, uzskatām, ka Veselības ministrijai paredzētā risinājuma izstrādi, testēšanu un ieviešanu jānodrošina tai piešķirto valsts budžeta līdzekļu ietvaros. Līdz ar to precizējams informatīvā ziņojuma projekts un svītrojams MK sēdes protokollēmuma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InfoZinojumsDNL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precizēto projektu “Informatīvais ziņojums “Par darbnespējas lapu izsniegšanas uzraudzību un sūdzību izskatīšanu”” un izsaka priekšlikumu sadaļā 2.2. teikumu: “Saskaņā ar Igaunijas tiesību aktiem atrašanās darbnespējā neliedz izbeigt darba līgumu” papildināt ar informāciju, vai tas attiecas uz darba devēja uzteikumu.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darba ņēmēja tiesības izbeigt darba līgumu darbnespējas laikā nav ierobežotas, no konteksta izriet, ka minētā norma ir attiecināma uz darba devēja uzteikumu, tomēr LDDK ieskatā teksts tikai iegūtu, ja tas būtu pateikts nepārprotami.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ir papildināts atbilstoši Igaunijas Darba līgumu likuma (</w:t>
            </w:r>
            <w:r w:rsidR="00000000" w:rsidRPr="00000000" w:rsidDel="00000000">
              <w:rPr>
                <w:i w:val="1"/>
                <w:rtl w:val="0"/>
              </w:rPr>
              <w:t xml:space="preserve">angl. Employment Contracts Act</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InfoZinojumsDNL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14.lapā rindkopu "Lai gan tendence katru gadu palielināties DNL skaitam ar cēloni “nelaimes gadījums darbā” ir minimāla, tā joprojām norāda uz nepieciešamību darba devējiem vairāk iesaistīties drošas un labvēlīgas darba vides nodrošināšanā nodarbinātajiem." papildināt ar šādu teikumu: "Vienlaikus jāatzīmē, ka DNL skaita pieaugums ar cēloni "nelaimes gadījums darbā" var liecināt arī par darba devēju un nodarbināto labāku informētību, jo nelaimes gadījumi netiek slēpti un tiek izmeklēti."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tendence katru gadu palielināties DNL skaitam ar cēloni “nelaimes gadījums darbā” ir minimāla, tā joprojām norāda uz nepieciešamību darba devējiem vairāk iesaistīties drošas un labvēlīgas darba vides nodrošināšanā nodarbinātajiem. Vienlaikus jāatzīmē, ka DNL skaita pieaugums ar cēloni "Nelaimes gadījums darbā" var liecināt arī par darba devēju un nodarbināto labāku informētību, jo nelaimes gadījumi netiek slēpti un tiek izmeklēti."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papildināts ar sniegto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precizēt Informatīvā ziņojuma  3.2. sadaļas  A DNL rādītāji pirmajā rindkopā norādīto tekstu: "Ņemot vērā, ka A DNL apmaksā darba devējs, no darba devēju puses tiek norādīts, ka DNL noteikumu uzraudzība nav pilnīga un ārstējošie ārsti izsniedz DNL, pilnvērtīgi neizvērtējot tās nepieciešamību, kas var vājināt uzņēmumu un darbaspēka konkurētspēju. Secīgi šīs sadaļas galvenā uzmanība pievērsta A DNL."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 DNL apmaksā darba devējs, no darba devēju puses tiek norādīts, ka DNL noteikumu uzraudzība nav pilnīga un ārstējošie ārsti izsniedz DNL, pilnvērtīgi neizvērtējot tās nepieciešamību, kas var </w:t>
            </w:r>
            <w:r w:rsidR="00000000" w:rsidRPr="00000000" w:rsidDel="00000000">
              <w:rPr>
                <w:b w:val="1"/>
                <w:rtl w:val="0"/>
              </w:rPr>
              <w:t xml:space="preserve">vājināt uzņēmumu konkurētspēju un darbaspēka produktivitāti.</w:t>
            </w:r>
            <w:r w:rsidR="00000000" w:rsidRPr="00000000" w:rsidDel="00000000">
              <w:rPr>
                <w:rtl w:val="0"/>
              </w:rPr>
              <w:t xml:space="preserve"> Secīgi šīs sadaļas galvenā uzmanība pievērsta A DNL."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precizēt Informatīvā ziņojuma 6. sadaļas Priekšlikumi turpmākai darbībai 4. priekšlikumu un to papildināt ar skaidrojošo tekstu. Atbilstoši lūgums precizēt MK protokollēmuma 3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darba devēja iesaisti un atbildību par drošas un veselībai labvēlīgas darba vides nodrošināšanu nodarbinātajiem, </w:t>
            </w:r>
            <w:r w:rsidR="00000000" w:rsidRPr="00000000" w:rsidDel="00000000">
              <w:rPr>
                <w:b w:val="1"/>
                <w:rtl w:val="0"/>
              </w:rPr>
              <w:t xml:space="preserve">izstrādājot konkrētus pasākumus darba devēju informētībai un zināšanu paplašināšanai, darba vides risku novērtēšanai, darbinieku apmācībām un darbinieku veselības veicināšanai.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skaidrot Informatīvā ziņojuma 6. sadaļas Priekšlikumi turpmākai darbībai 5. priekšlikumu, jo jau šobrīd nav liegta iespēja nodarbinātajiem pēc abpusējas vienošanās ar darba devēju nepildīt darba pienākumus akūtu slimību vai citu personisko apstākļu gadījumā, neizmantojot DNL.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papildināt Informatīvā ziņojuma 6. sadaļas Priekšlikumi turpmākai darbībai 3. priekšlikuma skaidrojošo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ir svarīgs no DNL datu kvalitātes un pārskatāmības viedokļa. Lai mazinātu administratīvo slogu darba devējiem, kuriem DNL ar nepabeigtu statusu apgrūtina darba tiesisko attiecību risināšanu, jānosaka skaidru termiņu, pēc kura DNL ar neaktualizētu informāciju tiek automātiski anulētas, nodrošināt elektronisku brīdinājumu, kas informē ārstniecības personu, darba devēju un darba ņēmēju par tuvojošos anulēšanas termiņam, kā arī jādefinē situācijas, kurās anulēšana nenotiek automātiski, piemēram, ja ir objektīvi iemesli informācijas neaktualizēšanai (ārstniecības iestādes kļūda vai specifiski ārstēšanas gadījumi)."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Informatīvā ziņojuma 3. sadaļā DNL radītāji Baltijas valstīs apskata un analizē galvenos DNL apmaksas un izsniegšanas nosacījumus katrā no Baltijas valstīm, taču būtu noderīgi arī izpētīt citas iespējamās atšķirības, piemēram, DNL izsniegšanas procedūras un administratīvās prasības Lietuvā un Igaunijā, kā tās atšķiras no Latvijas. Aicinām Veselības ministriju papildināt Informatīvā ziņojuma 3. sadaļu par DNL izsniegšanas procedūrām un administratīvajām prasībām Lietuvā un Igaunijā.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iespēju robežās no publiski pieejamās informācija ir papildinājusi saturu 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ilgtspējīgu risinājumu ieviešanu, Ekonomikas ministrija aicina Veselības ministriju iesaistīt visas attiecīgās puses – valsts iestādes, ārstniecības iestādes, darba devēju pārstāvjus, kā arī arodbiedrības – lai kopīgi izdiskutētu un izstrādātu priekšlikumus un risinājumus, izmantojot sanāksmes vai darba grupas formātu. Šāda pieeja nodrošinās visaptverošu un pārdomātu risinājumu izstrādi, balstoties uz dažādiem skatījumiem un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izvērst pamatojumu zemāk norādītājā tekstā attiecībā uz apgalvojumu: "decembrī, kad ir skolēniem ir Ziemassvētku brīvlaiks"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ir novērojums DNL skaita pieaugums septembra sākumā, kad bērniem atsākas mācības un decembrī, kad ir skolēniem ir Ziemassvētku brīvlaiks. Taču jāņem vērā, ka septembrī, bērniem atgriežoties izglītības iestādēs, sākas augšējo elpceļu slimību sezona."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otrajā daļā "Kārtība, kādā Inspekcija uzrauga DNL izsniegšanu" tiek minēts: “2023. gadā Inspekcija kopumā izskatīja 404 iesniegumus, no kuriem korektīvas darbības tika veiktas 79 gadījumos, pilnībā anulētas tika 7 DNL jeb vien 1.7%. Saistībā ar DNL izsniegšanas pamatotību tika saņemti 287 iesniegumus, no kuriem korektīvas darbības tika veiktas 50 jeb 17,4% gadījumos, bet saistībā ar izsniegšanas kārtību tika saņemti 29 iesniegumi, no kuriem korektīvas darbības veica 14 jeb 48,3% DNL.” Aicinām papildināt informatīvi rindkopu ar informāciju par to, kādu īpatsvaru veido 2023.gadā Inspekcijā izskatīto iesniegumu skaits pret 2023.gadā kopumā reģistrētajām DNL.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 grafiks  sniedz informāciju par DNL skaitu dalījumā pēc lapas saņēmēja vecuma 2020.-2023. gadā. Lai objektīvāk gūtu izpratni par DNL skaita izmaiņām,  aicinām grafikā DNL skaitu pa vecuma grupām atspoguļot kā skaita attiecību pret valstī kopējo iedzīvotāju skaitu attiecīgajā vecuma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kopējais iedzīvotāju skaits valstī konkrētā vecumā neatspoguļo nodarbinātības īpatsvaru konkrētajā vecumā, salīdzinājums nesniegtu objektīvu redzējumu uz situāciju.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9. tabulā  ir ietverta informācija par vidējo DNL dienu skaitu uz vienu cilvēku. Šobrīd nav skaidri saprotams, vai vidējais DNL dienu skaits ir tikai par apmaksātām dienām (katrā valstī apmaksas nosacījumi atšķiras), vai visām darbnespējas dienām, sākot jau ar pirmo dienu (apmaksas nosacījums netiek ņemts vērā). Ņemot vērā, ka katrā valstī DNL apmaksas nosacījumi atšķiras, aicinām precizēt ziņojuma tekstu, lai skaidrāk izprastu darbnespējas ilguma salīdzināmību starp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aicinām 9. tabulai pievienot atsauci par statistikas datu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E-veselības sistēmas funkcionalitātes paplašināšanu, lūdzam ņemt vērā, ka SSK-10 diagnozi un precīzu DNL cēloni būs nepieciešams nodot arī Veselības un darbspēju ekspertīzes ārstu valsts komisijai, kuras kompetencē saskaņā ar Noteikumu Nr. 409 22.punktu ir izsniegt atzinumu par darbnespējas lapas pagarināšanu darbnespējas periodā, kas turpinās ilgāk par 26 nedēļām, bet ne ilgāk par 52 nedēļām, ja darbnespēja turpinās ilgāk par 26 nedēļām.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Veselības un darbspēju ekspertīzes ārstu valsts komisijas ārstiem ir piekļuve E-veselības sistēmā esošajiem datiem. Šobrīd norit diskusijas par iespējamiem ilgtermiņa un īstermiņa risinājumiem, lai nodrošinātu E-veselības sistēmas funkcionalitātes paplašināšanu, lai veicinātu Veselības un darbspēju ekspertīzes ārstu valsts komisijas ārstu darbu, taču tas pārsniedz šī informatīvā ziņojuma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3.tabulas ailes “Ieskatīti iesniegumi” nosaukumu uz “Izskatīti iesniegumi”.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projektā pirmo reizi lietoto saīsinājumu “Noteikumi Nr.409” papildināt ar pilnu MK noteikumu nosaukumu un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papildināts ar pilno noteikumu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2.punktā, informatīvā ziņojuma projekta 1.sadaļā “Ievads” un informatīvā ziņojuma projekta 5.sadaļā “Secinājumi” norādīto MK sēdes protokollēmuma Nr.26 datumu uz 25.jūniju.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24-TA-2730</w:t>
    </w:r>
    <w:r>
      <w:br/>
    </w:r>
    <w:r w:rsidR="00000000" w:rsidRPr="00000000" w:rsidDel="00000000">
      <w:rPr>
        <w:rtl w:val="0"/>
      </w:rPr>
      <w:t xml:space="preserve">18.06.2025. 17.13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24-TA-2730</w:t>
    </w:r>
    <w:r>
      <w:br/>
    </w:r>
    <w:r w:rsidR="00000000" w:rsidRPr="00000000" w:rsidDel="00000000">
      <w:rPr>
        <w:rtl w:val="0"/>
      </w:rPr>
      <w:t xml:space="preserve">18.06.2025. 17.13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Izziņa_24-TA-2730.docx</dc:title>
</cp:coreProperties>
</file>

<file path=docProps/custom.xml><?xml version="1.0" encoding="utf-8"?>
<Properties xmlns="http://schemas.openxmlformats.org/officeDocument/2006/custom-properties" xmlns:vt="http://schemas.openxmlformats.org/officeDocument/2006/docPropsVTypes"/>
</file>