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13. novembra noteikumos Nr. 766 "Kuģu tilpības mērīšanas un tilpību apliecinošu dokumentu izsniegšanas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(29.11.2007.)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02.09.2025. 12:24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5. sadaļu, ņemot vērā, ka noteikumu projekta 1.2. apakšpunktā (noteikumu 3.1. un 3.3. apakšpunktā) attiecīgi iekļautas norādes uz </w:t>
            </w:r>
            <w:r w:rsidR="00000000" w:rsidRPr="00000000" w:rsidDel="00000000">
              <w:rPr>
                <w:i w:val="1"/>
                <w:rtl w:val="0"/>
              </w:rPr>
              <w:t xml:space="preserve">1969. gada Starptautiskās konvencijas par kuģu tilpības mērīšanu</w:t>
            </w:r>
            <w:r w:rsidR="00000000" w:rsidRPr="00000000" w:rsidDel="00000000">
              <w:rPr>
                <w:rtl w:val="0"/>
              </w:rPr>
              <w:t xml:space="preserve"> un</w:t>
            </w:r>
            <w:r w:rsidR="00000000" w:rsidRPr="00000000" w:rsidDel="00000000">
              <w:rPr>
                <w:i w:val="1"/>
                <w:rtl w:val="0"/>
              </w:rPr>
              <w:t xml:space="preserve"> Eiropas Parlamenta un Padomes 2017. gada 14. jūnija Regulas (ES) Nr. 2017/1130, kas nosaka zvejas kuģu īpašības</w:t>
            </w:r>
            <w:r w:rsidR="00000000" w:rsidRPr="00000000" w:rsidDel="00000000">
              <w:rPr>
                <w:rtl w:val="0"/>
              </w:rPr>
              <w:t xml:space="preserve"> (turpmāk - Regula Nr. 2017/1130) normām. Skaidrojam, ka, lai gan regulas ir tieši piemērojamas visās dalībvalstīs, to prasību ievērošana un nacionālo tiesību aktu sasaiste ir jāatspoguļo anotācijas 5.4. sadaļas 1. tabulā. Tas ir īpaši svarīgi, ja tiesību aktā ir ietvertas atsauces uz regulas normām. Minētās tabulas mērķis ir skaidri parādīt, kā noteikumu projekts atbilst attiecīgajam Eiropas Savienības tiesību aktam, kā arī starptautiskajām saistībām un nodrošina to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netiek izpildītas ne saistības pret Eiropas Savienību, ne arī kādas citas starptautiskās saistības, nav pamata aizpildīt anotācijas 5.1., 5.2., 5.4. vai 5.5. apakšsadaļu. Vienlaikus, ņemot vērā, ka Projektā tiek izdarītas atsauces uz 1969. gada Starptautisko konvenciju par kuģu tilpības mērīšanu un Eiropas Parlamenta un Padomes 2017. gada 14. jūnija Regulu (ES) Nr. 2017/1130, kas nosaka zvejas kuģu īpašības, anotācijas 5.3. apakšsadaļā iekļauts skaidrojums par korelāciju starp minētajiem starptautiskajiem tiesību aktiem un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Speciālie noteikumi attiecībā uz mazizmēra kuģiem un zvejas kuģiem, kuru garums ir mazāks par 12 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apakšpunkts ievieš jaunu nodaļu "VII. Speciālie noteikumi attiecībā uz mazizmēra kuģiem un </w:t>
            </w:r>
            <w:r w:rsidR="00000000" w:rsidRPr="00000000" w:rsidDel="00000000">
              <w:rPr>
                <w:b w:val="1"/>
                <w:rtl w:val="0"/>
              </w:rPr>
              <w:t xml:space="preserve">zvejas kuģiem, kuru garums ir mazāks par 12 metriem</w:t>
            </w:r>
            <w:r w:rsidR="00000000" w:rsidRPr="00000000" w:rsidDel="00000000">
              <w:rPr>
                <w:rtl w:val="0"/>
              </w:rPr>
              <w:t xml:space="preserve">". Saskaņā ar Regula Nr. 2017/1130 4. panta 2. punktu </w:t>
            </w:r>
            <w:r w:rsidR="00000000" w:rsidRPr="00000000" w:rsidDel="00000000">
              <w:rPr>
                <w:b w:val="1"/>
                <w:rtl w:val="0"/>
              </w:rPr>
              <w:t xml:space="preserve">zvejas kuģiem, kuru lielākais garums ir mazāks nekā 15 metri</w:t>
            </w:r>
            <w:r w:rsidR="00000000" w:rsidRPr="00000000" w:rsidDel="00000000">
              <w:rPr>
                <w:rtl w:val="0"/>
              </w:rPr>
              <w:t xml:space="preserve">, kopējo tonnāžu nosaka saskaņā ar Regulas Nr. 2017/1130 I pielikumu. Skaidrojam, ka regulas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skaidrojumu, vai noteikumu projekta 1.9. apakšpunkts, ietverot prasības uz zvejas kuģiem, kuru garums ir mazāks par 12 metriem, nav pretrunā Regulas Nr. 2017/1130 normām, kas attiecināmas uz zvejas kuģiem, kuru lielākais garums ir mazāks nekā 15 metri. Ja skaidrojumu nav iespējams sniegt, lūdzam svītrot noteikumu projekta 1.9. apakšpunktā attiecināmo uz zvejas kuģiem, kuru garums ir mazāks nekā 12 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atbilstošu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Speciālie noteikumi attiecībā uz mazizmēra kuģiem un zvejas kuģiem, kuru garums ir mazāks par 12 metriem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25-TA-1871</w:t>
    </w:r>
    <w:r>
      <w:br/>
    </w:r>
    <w:r w:rsidR="00000000" w:rsidRPr="00000000" w:rsidDel="00000000">
      <w:rPr>
        <w:rtl w:val="0"/>
      </w:rPr>
      <w:t xml:space="preserve">24.10.2025. 11.22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25-TA-1871</w:t>
    </w:r>
    <w:r>
      <w:br/>
    </w:r>
    <w:r w:rsidR="00000000" w:rsidRPr="00000000" w:rsidDel="00000000">
      <w:rPr>
        <w:rtl w:val="0"/>
      </w:rPr>
      <w:t xml:space="preserve">24.10.2025. 11.22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Izziņa_25-TA-1871.docx</dc:title>
</cp:coreProperties>
</file>

<file path=docProps/custom.xml><?xml version="1.0" encoding="utf-8"?>
<Properties xmlns="http://schemas.openxmlformats.org/officeDocument/2006/custom-properties" xmlns:vt="http://schemas.openxmlformats.org/officeDocument/2006/docPropsVTypes"/>
</file>