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26-TA-196: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Aizsardzības ministrijai uzņemties valsts budžeta ilgtermiņa saistības, lai nodrošinātu Latvijas iesaisti projektos un pasākumos Eiropas Komisijas tieši administrētajās programmās.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25.03.2026. 13:26</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atsauces uz Eiropas Savienības tiesību aktiem noformēt atbilstoši Ministru kabineta 2009. gada 3. februāra noteikumu Nr. 108 "</w:t>
            </w:r>
            <w:r w:rsidR="00000000" w:rsidRPr="00000000" w:rsidDel="00000000">
              <w:rPr>
                <w:i w:val="1"/>
                <w:rtl w:val="0"/>
              </w:rPr>
              <w:t xml:space="preserve">Normatīvo aktu projektu sagatavošanas noteikumi</w:t>
            </w:r>
            <w:r w:rsidR="00000000" w:rsidRPr="00000000" w:rsidDel="00000000">
              <w:rPr>
                <w:rtl w:val="0"/>
              </w:rPr>
              <w:t xml:space="preserve">”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sadaļa "Pamatojums" labots ar tekstu šādā redakcijā: "Eiropas Parlamenta un Padomes 2024. gada 19. decembra Regulu (ES) 2025/38, kas nosaka pasākumus, kuri stiprina solidaritāti un spējas Savienībā atklāt kiberdraudus un incidentus tiem sagatavoties un uz tiem reaģēt, un ar ko groza Regulu (ES) 2021/694."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sadaļa "Problēmas apraksts" labots ar tekstu šādā redakcijā: "Eiropas Parlamenta un Padomes 2022. gada 14. decembra Direktīvas (ES) 2022/2555, ar ko paredz pasākumus nolūkā panākt vienādi augstu kiberdrošības līmeni visā Savienībā un ar ko groza Regulu (ES) Nr. 910/2014 un Direktīvu (ES) 2018/1972 un atceļ Direktīvu (ES) 2016/1148."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paredz piešķirt finansējumu no publiskiem līdzekļiem, lūdzam tā anotāciju papildināt ar izvērtējumu komercdarbības atbalsta kontroles kontekstā. No anotāciijas pirmšķietami ir secināms, ka AM ir deleģējusi valsts funkciju izpildi LUMII šajā projektā (būt par valsts kibercentru), līdz ar to skaidrojam, ka gadījumā, ja publiskie līdzekļi tiek novirzīti, piemēram, valsts funkciju veikšanai, atbalsts atbilstoši Komisijas paziņojuma par Līguma par Eiropas Savienības darbību 107. panta 1. punktā minēto valsts atbalsta jēdzienu (C/2016/2946) 17.punktā noteiktajam nav uzskatāms par atbalstu saimnieciskai darbībai, kas ļautu secināt, ka publisko līdzekļu piešķiršana pasākumā nav arī attiecīgi kvalificējama kā komercdarbības atbalsts. Savukārt, ja, veicot izvērtējumu, tiktu secināts, ka tomēr vienlaikus izpildās visas Komercdarbības atbalsta kontroles likuma 5. pantā minētās pazīmes, pasākums būtu ieviešams, tikai piemērojot atbilstoša komercdarbības atbalsta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“Risinājuma apraksts” papildināts šādā redakcijā: “Ņemot vērā, ka projekta ietvaros LUMII tiek deleģēta valsts funkcijas izpilde, finansējums  nav paredzēt saimnieciskās darbībās veikšanai un komercdarbības atbalstam. Līdz ar to secināms, ka projektā paredzētais finansējums nav kvalificējams kā komercdarbības atbalsts Komercdarbības atbalsta kontroles likuma izpratnē.”</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 informācija, ka Latvijas kā projekta konsorcija dalībvalsts līdzfinansējums 2027. līdz 2029. gadam ir plānots 135 676 euro apmērā, bet sadalījums pa gadiem plānots 70 681,65 euro apmērā ik gadu, kas kopā sastāda 212 044,95 euro. Ņemot vērā iepriekš minēto lūdzam korekti aizpildīt anotācijas 3. sadaļu, nepārsniedzot 2027. līdz 2029. gadam plānoto kopējo līdzfinansējuma apmēru sadalījumā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nodrošināt priekšfinansējumu un līdzfinansējumu, lai LUMII varētu uzsākt dalību projektā, kopējais nepieciešamais finansējuma apjoms periodā no 2027. gada līdz 2029. gadam ir 271 352 eiro. Attiecīgi nepieciešamais līdzfinansējums katrā attiecīgā perioda gadā ir 90 450 eiro.  Anotācijas 3. sadaļa "Tiesību akta projekta ietekme uz valsts budžetu un pašvaldību budžetiem", papildināta atbilstoši. AM pēc projekta noslēguma nodrošinās līdzekļu ieskaitīšanu valsts pamatbudžeta ieņēmumos, lai valsts budžetā atmaksātu saņemto un izlietoto valsts budžeta priekšfinansējumu.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5.4. sadaļas 1. tabulu attiecībā uz anotācijas 1.3. sadaļā skaidroto rīkojuma projekta sasaisti ar </w:t>
            </w:r>
            <w:r w:rsidR="00000000" w:rsidRPr="00000000" w:rsidDel="00000000">
              <w:rPr>
                <w:i w:val="1"/>
                <w:rtl w:val="0"/>
              </w:rPr>
              <w:t xml:space="preserve">Eiropas Parlamenta un Padomes 2024. gada 19. decembra Regulu (ES) 2025/38, kas nosaka pasākumus, kuri stiprina solidaritāti un spējas Savienībā atklāt kiberdraudus un incidentus, tiem sagatavoties un uz tiem reaģēt, un ar ko groza Regulu (ES) 2021/694</w:t>
            </w:r>
            <w:r w:rsidR="00000000" w:rsidRPr="00000000" w:rsidDel="00000000">
              <w:rPr>
                <w:rtl w:val="0"/>
              </w:rPr>
              <w:t xml:space="preserve">, kā arī ar </w:t>
            </w:r>
            <w:r w:rsidR="00000000" w:rsidRPr="00000000" w:rsidDel="00000000">
              <w:rPr>
                <w:i w:val="1"/>
                <w:rtl w:val="0"/>
              </w:rPr>
              <w:t xml:space="preserve">Eiropas Parlamenta un Padomes 2022. gada 14. decembra Direktīvu (ES) 2022/2555, ar ko paredz pasākumus nolūkā panākt vienādi augstu kiberdrošības līmeni visā Savienībā un ar ko groza Regulu (ES) Nr. 910/2014 un Direktīvu (ES) 2018/1972 un atceļ Direktīvu (ES) 2016/1148</w:t>
            </w:r>
            <w:r w:rsidR="00000000" w:rsidRPr="00000000" w:rsidDel="00000000">
              <w:rPr>
                <w:rtl w:val="0"/>
              </w:rPr>
              <w:t xml:space="preserve">. Alternatīvi, lūdzam, sniegt skaidrojumu anotācijas 5.3. sadaļā "Cita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iekļauta sadaļa “5.3. “Cita infromācija”” ar tekstu šādā redakcijā “Rīkojuma projekta sasaiste ar Eiropas Parlamenta un Padomes 2024. gada 19. decembra Regulu (ES) 2025/38, kas nosaka pasākumus, kuri stiprina solidaritāti un spējas Savienībā atklāt kiberdraudus un incidentus, tiem sagatavoties un uz tiem reaģēt, un ar ko groza Regulu (ES) 2021/694 ir izklāstīta Ministru kabineta 2025. gada 4. novembra informatīvajā ziņojumā un sēdes protokollēmumā Nr. 25-TA-2193.”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(ES) 2022/2555, ar ko paredz pasākumus nolūkā panākt vienādi augstu kiberdrošības līmeni visā Savienībā un ar ko groza Regulu (ES) Nr. 910/2014 un Direktīvu (ES) 2018/1972 un atceļ Direktīvu (ES) 2016/1148 rīkojuma projektā tiek minētā, lai skaidrotu terminu “CSIRT” (Computer Security Incident Response Team) šīs direktīvas izpratnē</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26-TA-196</w:t>
    </w:r>
    <w:r>
      <w:br/>
    </w:r>
    <w:r w:rsidR="00000000" w:rsidRPr="00000000" w:rsidDel="00000000">
      <w:rPr>
        <w:rtl w:val="0"/>
      </w:rPr>
      <w:t xml:space="preserve">20.04.2026. 12.36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26-TA-196</w:t>
    </w:r>
    <w:r>
      <w:br/>
    </w:r>
    <w:r w:rsidR="00000000" w:rsidRPr="00000000" w:rsidDel="00000000">
      <w:rPr>
        <w:rtl w:val="0"/>
      </w:rPr>
      <w:t xml:space="preserve">20.04.2026. 12.36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Izziņa_26-TA-196.docx</dc:title>
</cp:coreProperties>
</file>

<file path=docProps/custom.xml><?xml version="1.0" encoding="utf-8"?>
<Properties xmlns="http://schemas.openxmlformats.org/officeDocument/2006/custom-properties" xmlns:vt="http://schemas.openxmlformats.org/officeDocument/2006/docPropsVTypes"/>
</file>