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saskaņošanas ietvaros savstarpēji vienotos par korektu valsts atbalsta nosacījumu risinājumu, Finanšu ministrija atzinumu par precizēto noteikumu projektu sniegs līdz 22.01.2025.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ceturtajā kārtā viena projekta pieteikuma ietvaros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noteiktais rezultāta rādītājs nav mazāks par 100 hektāriem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izslēgt</w:t>
            </w:r>
            <w:r w:rsidR="00000000" w:rsidRPr="00000000" w:rsidDel="00000000">
              <w:rPr>
                <w:rtl w:val="0"/>
              </w:rPr>
              <w:t xml:space="preserve"> MK noteikumu projekta 7. punktu, jo 100 ha ir nesamērīgi liels apjoms un tas uzliek ierobežojumus konkursā pieteikt teritorijas, kuras atbilst MK noteikumos noteiktajam mērķim. Piemēram, teritorijā jāveic krasta kāpu stiprināšanas vai antropogēno slodzi mazinošas infrastruktūras izveides pasākumi, bet to kopējā platība nesasniedz 100ha. Esošā redakcija liegtu pieteikt šādu teritoriju atbalsta saņemšanai. Rīgas Metropoles ieskatā būtiski ir sasniegt mērķi, neierobežojot platību apjomus.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rezultāta rādītāja– atjaunotas degradētas ekosistēmas - vērtību veido teritorijas vai biotopa platības Natura 2000 vai tai piegulošā teritorijā, kurā īstenotas darbības ES nozīmes biotopos un sugu dzīvotnēs, kurām ir nelabvēlīgs statuss un nepieciešami uzlabojumi saskaņā ar sugu, biotopu vai dabas aizsardzības plāniem. Tāpat šajā rādītāja tiek ieskaitītas platības, kurās īstenoti invazīvo sugu ierobežošanas pasākumi, kā arī degradētu ekosistēmu atjaunošana par dabisku ekosistēmu, piemēram, vēsturisko kūdras ieguves vietu renaturalizācija, ja nevar tikt piemērots princips “piesārņotājs maksā” un arī citu degradētu, dabisku ekosistēmu atjaunošana par dabisku ekosistēmu kā pļava, mežs, ezers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īstenojot vēsturisko kūdras ieguves vietu renaturalizāciju, kas ir degradētas teritorijas atjaunošana, rādītāja vērtību veido visa atjaunotā platība. Invazīvo sugu ierobežošanas gadījumā, rādītāja vērtību veido teritorijas platība vai biotopa platība, ne tikai katras individuālās invazīvās sugas summētā platība, kurās veikti invazīvo sugu izplatību mazinoši pasākumi, ņemot vērā saprātīgu biotopa platību pret veiktajām darbībām. Saldūdens biotopos, piemēram, veicot biotehniskus pasākumus biomasas apjoma mazināšanai, kā niedru pļaušanu vai līdzīgus var tikt ieskaitīta tiešās ietekmes platība, kurā ieskaita ezera daļu, kas saņem tiešu ieguvumu no īstenotajām darbībām kurā veikta pļaušana un mazāka izmēra ezeros tas var būt arī viss ezers, lielu ezeru gadījumā tieši ietekmētā ezera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projekta iesniedzējus piesaistīt sadarbības partnerus, kas var būt gan fiziskas un juridiskas personas, gan citas pašvaldības un to iestādes, kā arī valsts vai pašvaldību kapitālsabiedrības, lai īstenotu mērķtiecīgus degradēto ekosistēmu atjaunošanas darbus un sasniegtu rezultāta rādītāju. Tāpat gatavojot projekta pieteikumus aicinām iepazīties ar dabas aizsardzības plānos norādītajām apsaimniekošanas darbībām, lai īstenotu biotopu un sugu dzīvotņu kvalitātes uzlabošanu un saglabāšanu, kā arī jautājumu gadījumos sazināties sugu un biotopu ekspertiem.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ceturtajā atlases kārtā viena projekta pieteikuma ietvaros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noteiktais rezultāta rādītājs nav mazāks par 100 hektāriem.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ietvaros netiek atbalstītas projekta iesniedzēja un sadarbības partnera aktivitātes, kurām sniegtais atbalsts kvalificējams kā komercdarbības atbalsts, izņemot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minētos nosacījumus, kā arī pasākuma ietvaros projekta iesniedzējam un sadarbības partneriem atbalsts tiek sniegts pārvaldes funkciju īstenošanai un pārvaldes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 punktā vārdus "kā arī pasākuma ietvaros projekta iesniedzējam un sadarbības partneriem atbalsts tiek sniegts pārvaldes funkciju īstenošanai un pārvaldes uzdevumu izpildei", ņemot vērā, ka atbalsts tiek sniegts noteikumu projektā ietverto atbalstāmo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aktivitātes veic un atbalsts tiek sniegts finansējuma saņēmējam, nevis projekta iesniedzējam, un sadarbības partnerim, lūdzam aizstāt noteikumu projekta 30. punktā vārdus "projekta iesniedzēja" ar vārdiem "finansējuma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ietvaros netiek atbalstītas finansējuma saņēmēja un sadarbības partnera aktivitātes, kurām sniegtais atbalsts kvalificējams kā komercdarbības atbalsts, izņemot šo noteikumu 29.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punktā precizējumi nav nepieciešami,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MK noteikumu projekta 20. punktam projekta iesniedzējs kļūst par finansējuma saņēmēju tikai pēc projekta iesnieguma apstiprināšanas. Bet gatavojot projekta iesniegumu projekta iesniedzējam un pieaicinātajiem sadarbības partneriem ir jāidentificē kādas darbības tiks īstenotas projektā un, lai šīs aktivitātes tiktu plānotas atbilstoši MK noteikumu projekta 30. apakšpunktam, kurš nosaka ka netiek sniegts atbalsts aktivitātēm, kurām tas var tikt kvalificētas kā komercdarbības atbalsts. Projekta iesnieguma vērtēšana, kas notiek pirms projekta iesniedzējs kļuvis par finansējuma saņēmēju, tiek veikta atbilstoši vērtēšanas kritērijiem, kur tiek pārbaudīta projekta iesniedzēja un sadarbības partneru atbilstība, lai sniegtais atbalsts nekvalificētos kā komercdarbības atbalsts, izņemot MK noteikumu 29. punktā minētos nosacījumos. Līdz ar to noteikumu projekta 30. punkts ir iekļauts noteikumu projekta II. sadaļā, kas attiecas uz prasībām projekta iesniedzējam un sadarbības partnerim (ja to pieaicina).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30. punktā vārdi "kā arī pasākuma ietvaros projekta iesniedzējam un sadarbības partneriem atbalsts tiek sniegts pārvaldes funkciju īstenošanai un pārvaldes uzdevumu izpildei" nav dzēsti, jo bez tā, ka atbalsts tiek sniegts aktivitātēm, kuras nav kvalificējamas kā komercdarbības atbalsts, tāpat atbalsts tiek sniegts projektu iesniedzējiem un sadarbības partneriem pārvaldes funkciju un deleģēto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divām atlases kārtām: trešo un ceturto. Noteikumu projektam jāsatur pēc iespējas precīzāki norādījumi potenciālajiem projektu iesniegumu iesniedzējiem, nepieļaujot juridisko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Pasākuma ietvaros netiek atbalstītas projekta iesniedzēja un sadarbības partnera aktivitātes, kurām sniegtais atbalsts kvalificējams kā komercdarbības atbalsts, kā arī pasākuma ietvaros projekta iesniedzējam un sadarbības partneriem atbalsts tiek sniegts pārvaldes funkciju īstenošanai un pārvaldes uzdevumu izpildei, izņemot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minētos gadījumus.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invazīvo sugu izplatības ierobežošana un izplatības mazināšana saskaņā ar Dabas aizsardzības pārvaldes invazīvo sugu faktu lapās iekļautajām sugām un nosacījumiem to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attiecībā uz atsevišķu invazīvo augu sugu ierobežošanu valsts jau ir kā pienākumu noteikusi katram zemes īpašniekam par to parūpēties obligāti, tajos gadījumos ir attiecināms “piesārņotājs maksā” princips, t.i. ir jānodrošina Komisijas 2014. gada 17. jūnija Regulas (ES) Nr. 651/2014, ar ko noteiktas atbalsta kategorijas atzīst par saderīgām ar iekšējo tirgu, piemērojot Līguma 107. un 108. pantu (turpmāk – regula Nr. 651/2014)45. panta 5. punkta nosacījumi par principa “piesārņotājs maksā” ievērošana. Lūdzam pārskatīt un precizēt noteikumus un sniegt skaidrojumu anotācijā tā, lai būtu noteikts, kādu invazīvo augu sugu ierobežošana ir/nav pieļaujama pasākuma ietvaros kā komercdarbības atbalsts saskaņā ar regulas Nr. 651/2014 45.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izstrādē esošā Viedās administrācijas un reģionālās attīstības ministrijas Dabas aizsardzības departamenta noteikumu projektā “Invazīvo sugu introdukcijas un izplatīšanās profilakses un pārvaldības noteikumi”, tiek paredzēta iespēju piešķirt publiskus līdzekļus invazīvo sugu ierobežošanai un izplatības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principa “piesārņotājs maksā” piemērošana invazīvo sugu izplatības mazināšanai nav attiecināma, jo, kā jau MK noteikumu projekta anotācijā ir aprakstīts, invazīvo sugu izplatība ir notikusi un notiek dabiskos ceļos un nav identificētas tādas sugas, kas būtu apzināti introducētas Latvijā pēc Latvijas Republikas neatkarības atjaunošanas un kuru invazīvā ietekme būtu noteikta pirms Eiropas Parlamenta un Padomes Regula (ES) Nr. 1143/2014 (2014. gada 22. oktobris) par invazīvu svešzemju sugu introdukcijas un izplatīšanās profilaksi un pārvaldību vai arī pirms tika izvērtēts sugas statuss Latvijas teritorijā, sagatavojot invazīvo sugu faktu lapas (sākot ar 2015.gadu), kas pieejamas Dabas aizsardzības mājaslapā - https://www.daba.gov.lv/lv/invazivas-sugas.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minētajam MK noteikumu projekta anotācija paredz piesaistītajiem sadarbības partneriem, kas ir fiziskas vai juridiskas personas, kuru īpašumā, turējumā vai valdījumā ir Natura 2000 teritorija vai tai pieguloša teritorija, kurā ir izplatījušās invazīvās sugas, sniegt apliecinājumu, ka sugu izplatība notikusi dabiskā izplatības ceļā un tā nav apzināti introducēta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invazīvo sugu apjoma mazināšana tās iznīcinot saskaņā ar Dabas aizsardzības pārvaldes invazīvo sugu faktu lapās iekļautajām sugām un nosacījumiem to izskaušanai;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zemes īpašuma vērtības noteikšana, ko veic neatkarīgs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36.4. apakšpunktā paredzēta zemes īpašuma vērtības noteikšana, ko veic neatkarīgs eksperts. Lai gan projekta anotācijā norādīts, ka šīs izmaksas saistītas ar zemes vai īpašuma vērtības pieauguma noteikšanu invazīvo sugu ierobežošanas un izplatības mazināšanas pasākumu rezultātā, nav skaidrots, kāpēc šāds vērtējums ir nepieciešams, kā arī vai šāda pieeja varētu būt saistīta ar nekustamo īpašumu atsavināšanu, tostarp Natura 2000 teritorijās. Lūdzam precizēt šīs izmaksu pozīcijas pamatotību un tās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36.4. apakšpunkts labots norādot, kādos gadījumos tiek attiecināta zemes īpašuma vērtības noteikšanas izmaksas un anotācijā pievienots papildu skaidrojums, par zemes īpašuma vērtības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gadījumos, ja tiek īstenota invazīvo sugu ierobežošana sadarbības partneru īpašumā, valdījumā vai turējumā esošās Natura 2000 vai tai piegulošās teritorijās, kuri ir saimnieciskās darbības veicēji saskaņā ar MK noteikumu projekta 29. punktu, tad  no invazīvo sugu ierobežošanas attiecināmo izmaksu apmēra ir jāatņem zemes vai īpašuma vērtības pieaugums, kā to paredz Eiropas Komisijas 2014. gada 17. jūnija Regulas (ES) Nr. 651/2014, ar ko noteiktas atbalsta kategorijas, kas atzīstamas par saderīgām ar iekšējo tirgu, piemērojot Līguma 107. un 108. pantu, (turpmāk – regula Nr. 651/2014) 45. panta 6.punkts, bet regulas Nr.651/2014 7. punkts paredz, ka vērtības pieaugumu nosaka neatkarīgs, kvalificēts eksperts un attiecīgi šāda eksperta izmaksas iekļautas MK noteikumu projekta 36.4.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2.2.3.3. pasākuma trešās un ceturtās atlases kārtas ietvaros nav paredzēta zemes atsavināšana, kā arī netiek paredzēts atbalsts kompensāciju veikšanai Natura 2000 zemju īpašniekiem, valdītājiem vai turētājiem.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izmaksas ir attiecināmas no 2024. gada 1. janvāra. Projekta darbības nevar būt pabeigtas pirms projekta iesnieguma iesniegšanas sadarbības iestādē. Ja tiek piesaistīts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sadarbības partneris, projekta izmaksas ir attiecināmas no 2024. gada 1. janvāra, atbilstoši Eiropas Komisijas 2014. gada 17. jūnija Regulas (ES) Nr. 651/2014, ar ko noteiktas atbalsta kategorijas atzīst par saderīgām ar iekšējo tirgu, piemērojot Līguma 107. un 108. pantu (turpmāk – regula Nr. 651/2014) 6.panta 5.punkta “m” un “n” apakšpunktu, kurš nosaka stimulējošās ietekmes izņēmumu.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projekta izmaksas ir attiecināmas no 2024. gada 1. janvāra, atsaucoties uz Eiropas Komisijas 2014. gada 17. jūnija Regulu (ES) Nr. 651/2014, ar ko noteiktas atbalsta kategorijas, kas atzīstamas par saderīgām ar iekšējo tirgu, piemērojot Līguma 107. un 108. pantu, (turpmāk – regula Nr. 651/2014) un tās 6. panta 5. punkta “m” un “n” apakšpunktu, kas nosaka stimulējošās ietekmes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nav sniegts pietiekams skaidrojums par šo izmaksu attiecināšanas pamatotību, ņemot vērā, ka projekta darbības nevar būt pabeigtas pirms projekta iesnieguma iesniegšanas sadarbības iestādē. Lūdzam detalizēti pamatot, kā tiek nodrošināta atbilstība regulas Nr. 651/2014 prasībām un kāpēc izmaksu attiecināšanas sākuma datums ir noteikts tieši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projektam, projekta iesniedzējs var piesaistīt sadarbības partneri projekta darbību īstenošanai, kurš veic saimniecisko darbību tā īpašumā, valdījumā vai turējumā esošās Natura 2000 teritorijās vai piegulošā teritorijā. Šiem sadarbības partneriem tiek piemērota regulas 651/2014 45.panta 1. punkta “c” apakšpunkts, ar kuru tiek noteiktas atbalstāmās izmaksas bioloģiskās daudzveidības vai ekosistēmu aizsardzībai vai atjaunošanā nolūkā palīdzēt ekosistēmām sasniegt labu stāvokli vai aizsargāt ekosistēmas, kas jau ir labā stāvoklī var tikt īstenotas arī dažādas tehniskas darbības, kā piemēram, hidrotehniski un melioratīvi pasākumi ar mērķi atjaunot hidroloģisko režīmu, kas ir atbilstošs un biotopu raksturojošs. Lai to īstenotu ir iepriekš jāveic hidroloģiskā vai hidroģeoloģiskā modeļa un hidroloģisko aprēķinu sagatavošana, lai noteiktu veicamās darbības un to secību un paši būvdarbi. Attiecīgi, nosakot izmaksu attiecināmību no 2024. gada 1. janvāra vēlamies sniegt atbalstu tiem projekta īstenotājiem, kuri arī pirms 2.2.3.3. pasākuma trešās un ceturtās atlases kārtas ir uzsākuši  plānot un gatavot aprēķinus, modeļus, būvniecības ieceres dokumentus, būvdarbu tāmes, u.tml., bet darbības vēl nav pabeigtas. Atbilstoši regulas 651/2014. 45. panta 1.punkta “b” apakšpunktam, kurš nosaka atbalsta sniegšanu degradētu dabisko dzīvotņu un ekosistēmu atjaunošanai, 2.2.3.3. pasākuma trešās un ceturtās atlases kārtas ietvaros tiek sniegts atbalsts invazīvo sugu ierobežošanai. Šo sugu izplatības mazināšanu var būt nepieciešams īstenot ilgākā laika posmā, lai sasniegtu vēlamo rezultātu un likvidētu invazīvo sugu klātbūtni teritorijā. Var būt nepieciešams katru gadu iznīcinot jaunās atvases, kas veidojas no sēklām, kuras akumulējušās augsnē un neuzdīgst vienlaicīgi vai viena gada ietvaros. Tādējādi ļoti bieži invazīvo sugu ierobežošana ir mērķtiecīgs vairāku gadu darbs, lai nodrošinātu ekosistēmas atjaunošanos tādā līmenī, kas mazina iespēju invazīvajām sugām plaši izplatīties teritorijā atkārtoti, jo ir sasniegta optimāla ekosistēmas dabiskā kvalitāte un atjaunojusies dabiskā noturība pret nelabvēlīgiem ārējiem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6.panta 5.punkta “m” un “n” apakšpunkts nosaka izņēmumu attiecībā uz atbalsta stimulējošās ietekmes prasību izpildi, ja tiek  sniegts atbalsts bioloģiskās daudzveidības aizsardzībai un ja ir izpildīti regulas Nr. 651/2014 45. panta nosacījumi, kuri tiek izpildīti nosakot prasības MK noteikumu projekta V sadaļā Komercdarbības atbalsta regulējums, kurš nosaka 49.6 apakšpunktā atbalsta nepiešķiršanu dabas katastrofu novēršanai, 49.7. apakšpunktā pēc ieguves darbību pabeigšanas, 49.8. apakšpunkts par atbalstu nepiešķiršanu kompensācijas pasākumu īstenošanai un 49.9. nosaka principa “piesārņotājs maksā” ievērošanu. Attiecīgi projektu iesniegumu vērtēšanas kritērijos, kas izskatīti Eiropas Savienības fondu 2021.-2027.gada plānošanas perioda 2. politikas mērķa “Zaļāka Eiropa” apakškomitejas 2024. gada 28. novembra sēdē un tiek virzīti apstiprināšanai ES fondu 2021.–2027.gada plānošanas perioda Uzraudzības Komitejā ietver specifisko atbilstības kritēriju, kas nosaka nepieciešamību pārliecināties par sadarbības partnera, kurš ir saimnieciskās darbības veicējs atbilstību MK noteikumos par SAMP īstenošanu noteiktajām komercdarbības atbalsta piešķiršanas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“Pašreizējā situācija, problēmas un risinājumi” papildināta skaidrojot izmaksu attiecināmības pamatotību saskaņā ar Regulas Nr. 651/2014 6.panta 5.punkta “m” un “n”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izmaksas ir attiecināmas no 2024. gada 1. janvāra. Projekta darbības nevar būt pabeigtas pirms projekta iesnieguma iesniegšanas sadarbības iestādē. Ja tiek piesaistīts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sadarbības partneris, projekta izmaksas ir attiecināmas no 2024. gada 1. janvāra, atbilstoši Eiropas Komisijas 2014. gada 17. jūnija Regulas (ES) Nr. 651/2014, ar ko noteiktas atbalsta kategorijas atzīst par saderīgām ar iekšējo tirgu, piemērojot Līguma 107. un 108. pantu (turpmāk – regula Nr. 651/2014) 6.panta 5.punkta “m” un “n” apakšpunktu, kurš nosaka stimulējošās ietekmes izņēmumu.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attiecināmas ir šo noteikumu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minētās izmaksas atbilstoši regulas Nr. 651/2014 45.panta 2. punkta  “b”  un “c”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regulas Nr. 651/2014 45.panta 2. punkta  “b”  un “c” apakšpunktā noteiktajām darbībām ir attiecināmi dažādi nosacījumi, lūdzam juridiskai noteiktībai precizēt noteikumu projekta 42.1.apakšpunktu, nosakot, kuras no plānotajām atbalstāmajām izmaksām ir attiecināmas uz regulas Nr. 651/2014 45.panta 2. punkta  “b”  un kuras uz “c” apakšpunktā noteiktajām darbībām. Vienlaikus lūdzam attiecīgi pārskatīt arī citus saistītos noteikumu projekta punktus un iekļaut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redakcija noteikumu projekta 42.1. apakšpunktam un pārskatīta saistītā anotācijas daļa, kā arī citi saistītie noteikumu projekta punkti un anotācija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attiecināmas ir šo noteikumu </w:t>
            </w:r>
            <w:r w:rsidR="00000000" w:rsidRPr="00000000" w:rsidDel="00000000">
              <w:rPr>
                <w:rtl w:val="0"/>
              </w:rPr>
              <w:t xml:space="preserve">36.2. </w:t>
            </w:r>
            <w:r w:rsidR="00000000" w:rsidRPr="00000000" w:rsidDel="00000000">
              <w:rPr>
                <w:rtl w:val="0"/>
              </w:rPr>
              <w:t xml:space="preserve">apakšpunktā</w:t>
            </w:r>
            <w:r w:rsidR="00000000" w:rsidRPr="00000000" w:rsidDel="00000000">
              <w:rPr>
                <w:rtl w:val="0"/>
              </w:rPr>
              <w:t xml:space="preserve"> minētās izmaksas atbilstoši regulas Nr. 651/2014 45.panta 2. punkta “c”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1. panta 4. punkta "c" apakšpunktam, ka atbalsts netiek piešķirts grūtībās nonākušam komersantam, attiecībā uz kuru pastāv vismaz viena regulas Nr. 651/2014 2. panta 18. punktā minētā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Nr.651/2014 2.panta 18.punkta nosacījumi ir jāvērtē/jāpiemēro uzņēmuma grupas līmenī (regulas Nr.651/2014 angliskajā versijā nosacījumi, kas ir attiecināmi uz ‘undertaking’, ir jāpārbauda/jāpiemēro uzņēmuma grupas līmenī), lūdzam precizēt noteikumu projekta 49.4. apakšpunktu, lai nodrošinātu, ka ar terminu "saņēmējs" tiek saprasts, ka projekta iesniedzējs tiek vērtēts grupas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aspektu lūdzam precizēt arī noteikumu projekta 49.3. apakšpunktu, lai nodrošinātu, ka ar terminu "saņēmējs" tiek saprasts, ka saņēmējs tiek vērtēts grupas līmenī. Papildus lūdzam anotāciju papildināt ar skaidrojumu par šo nosacījuma 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49.4. apakšpunkts labots atbilstoši norādītajam, papildinot, ka atbalsts netiek sniegts komersantam uzņēmumu grupas līmenī,  ja īstenojas vismaz viena regulas 651/2014. 2. panta 18. punktā minētā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49.3. apakšpunkts precizēts, norādot saņēmēju, kā arī ar saņēmēju saistīto uzņēmumu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pievienota prasība, ka attiecībā uz 49.3. apakšpunktā noteikto projekta iesniedzējam jāsniedz apliecinājums, ka attiecībā uz to nav iestājusies Komisijas regulas Nr. 651/2014 1. panta 4. punkta "a" apakšpunkta situācija un tas neatbilst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1. panta 4. punkta "c" apakšpunktam, ka atbalsts netiek piešķirts grūtībās nonākušam komersantam, kuram uzņēmumu grupas līmenī konstatējama  vismaz viena regulas Nr. 651/2014 2. panta 18. punktā minētā situācija;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Maksimālā Eiropas Reģionālā attīstības fonda finansējuma intensitāte sadarbības partnerim šo noteikumu </w:t>
            </w:r>
            <w:r w:rsidR="00000000" w:rsidRPr="00000000" w:rsidDel="00000000">
              <w:rPr>
                <w:rtl w:val="0"/>
              </w:rPr>
              <w:t xml:space="preserve">36.2. </w:t>
            </w:r>
            <w:r w:rsidR="00000000" w:rsidRPr="00000000" w:rsidDel="00000000">
              <w:rPr>
                <w:rtl w:val="0"/>
              </w:rPr>
              <w:t xml:space="preserve">apakšpunktā minēto izmaksu segšanai, ievērojot regulas Nr. 651/2014 45. panta 9. punkta “b” apakšpunktu, ir šāda: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pasākumā plānots piemērot arī intensitātes palielinājumu MVU saskaņā ar regulas Nr. 651/2014 45. panta 10. punktu, lūdzam noteikumu projekta 52.punktu papildināt ar atsauci uz 45. panta 10. punktu, kā arī anotācijas 5.4. sadaļas 1. tabulā pie noteikumu projekta 52.1.apakšpunkta izvērtējuma norādīt, ka noteikumi paredz stingrākas prasības, nekā pieļauj regula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52. punkts ar atsauci uz regulas 651/2014 45. panta 10. apakšpunktu un atbilstoši izziņā norādītajam papildināta MK noteikumu projekta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Maksimālā Eiropas Reģionālā attīstības fonda finansējuma intensitāte sadarbības partnerim šo noteikumu </w:t>
            </w:r>
            <w:r w:rsidR="00000000" w:rsidRPr="00000000" w:rsidDel="00000000">
              <w:rPr>
                <w:rtl w:val="0"/>
              </w:rPr>
              <w:t xml:space="preserve">36.2. </w:t>
            </w:r>
            <w:r w:rsidR="00000000" w:rsidRPr="00000000" w:rsidDel="00000000">
              <w:rPr>
                <w:rtl w:val="0"/>
              </w:rPr>
              <w:t xml:space="preserve">apakšpunktā minēto izmaksu segšanai, ievērojot regulas Nr. 651/2014 45. panta 9. punkta “b” apakšpunktu un </w:t>
            </w:r>
            <w:r w:rsidR="00000000" w:rsidRPr="00000000" w:rsidDel="00000000">
              <w:rPr>
                <w:rtl w:val="0"/>
              </w:rPr>
              <w:t xml:space="preserve">10. </w:t>
            </w:r>
            <w:r w:rsidR="00000000" w:rsidRPr="00000000" w:rsidDel="00000000">
              <w:rPr>
                <w:rtl w:val="0"/>
              </w:rPr>
              <w:t xml:space="preserve">punktu</w:t>
            </w:r>
            <w:r w:rsidR="00000000" w:rsidRPr="00000000" w:rsidDel="00000000">
              <w:rPr>
                <w:rtl w:val="0"/>
              </w:rPr>
              <w:t xml:space="preserve">, ir šāda: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ka, ievērojot regulā Nr.651/2014 noteikto, atbildīgā iestāde 20 darba dienu laikā pēc noteikumu spēkā stāšanās iesniegs Eiropas Komisijai pasākuma kopsavilkuma informāciju,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5.4. 1. tabula “Tiesību akta projekta atbilstība ES tiesību aktiem” pie ES tiesību akta, kas ir regula Nr. 651/2014,  20 darba dienu laikā no noteikumu spēkā stāšanās, izmantojot Komisijas elektroniskās paziņošanas sistēmu (SANI2), tiks nosūtīta Eiropas Komisijai kopsavilkuma informācija par šo atbalsta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2.1.apakšpunktā norādīto sadalījumu pa gadiem, ņemot vērā, ka kopsummām šajā punktā ir jāveidojas no Eiropas Reģionālās attīstības fonda (turpmāk – ERAF)  līdzfinansējuma un valsts budžeta līdzfinansējuma plānotajiem līdzekļiem attiecīgajos gados, vienlaikus precizējot arī pārējos anotācijas 3.sadaļas 3.1., 3.3., 5.1. un 5.3.apakšpunktus, nodrošinot, ka informācija savstarpēji sakrīt anotācijas 1.-5.punktos un to apakšpunktos ar 6.punktā norādīto finansējuma sadalījumu konkrētiem gadiem. Vēršam uzmanību, ka šobrīd 5.1. un 5.3.apakšpunktos manuāli ievadītas neprecīzas summas un tām pēc būtības ir jāsakrīt arī ar  3.1. un 3.3.apakšpunktos norādītajām precizētajām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3.sadaļas 5.3.apakšpunktu, kur precizētā finansiālā ietekme uz pašvaldību budžetiem jānorāda tādā pašā apmērā kā norādīta finansiālā ietekme uz pašvaldību budžetiem 3.3.apakšpunktā.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kancelejas vadlīnijas sākotnējās ietekmes tiesību akta projekta sākotnējās ietekmes novērtēšanai un novērtējuma ziņojuma sagatavošanai vienotajā tiesību aktu izstrādes un saskaņošanas  portālā ir pieejama detalizēta informācija par anotācijas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labota norādot precīzus aprēķinus Budžeta tabulā 2.1., 2.3., 3.1., 3.1., 5.1., 5.3., un 6.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skaidrojumu par  ailēs “Pēcuzturēšana (10 gadu pēcuzturēšanas periods pēc projekta noslēguma) EUR KOPĀ ar PVN” un “Pēcuzturēšana (5 gadu pēcuzturēšanas periods pēc projekta noslēguma) EUR KOPĀ ar PVN” norādīto finansējumu un tā saistību ar ikgadējām uzturēšanas izmaksām, jo šobrīd nav izsekojamas norādītās uzturēšanas izmaksas un to nepieciešamais apmērs 1 kalendārā gada ietvaros. Papildus lūdzam norādīt gadu, ar kuru plānots pieprasīt nepieciešamās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norādītās pozīcijas nesniedz skaidrojumu, kādas tieši uzturēšanas izmaksas būs vajadzīgas, bet norāda uz aktivitāti, kuru pasākuma ietvaros plānots īstenot, attiecīgi arī to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anotācijas 3.sadaļas punktu “Cita informācija” ar norādi, ka attiecībā uz Dabas aizsardzības pārvaldes pasākuma ietvaros izveidotās infrastruktūras uzturēšanas izmaksas tiks pieprasītas normatīvajos aktos noteiktajā kārtībā (atbilstoši Likuma par budžetu un finanšu vadību 9.1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labojot pēcuzraudzības tabulu norādot pēcuzraudzības izmaksas ik gadu un norādot gadu, ar kuru plānots pieprasīt uzturēšanas izmaksas un pozīciju.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papildināta ar norādi, ka uzturēšanas izmaksas tiks pieprasītas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6. punktā noteikto, ka pasākuma trešo un ceturto atlases kārtu īsteno līdz 2029. gada 31. decembrim, lūdzam precizēt anotācijas 3.sadaļas 6.punktu, kur nepieciešams svītrot norādīto finansējumu 2030.gadam, vienlaikus precizējot izdevumu procentuālo sadalījumu pa gadiem, lai kopsummā veidotos 100%, kā arī matemātiski precizēt finansējuma procentuālos aprēķinus pa gadiem, ievērojot proporcionālo ERAF un nacionālā līdzfinansējuma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2021. - 2027. gada plānošanas perioda MS Excel “Maksājumu, budžeta un N+3 izpildes prognozes” (pieejams: https://www.esfondi.lv/profesionaliem/ieviesana/ieviesanas-plani-un-to-izpilde/es-fondi-2021-2027-3) ir plānoti maksājumi arī 2030. gadā. Maksājumi 2030. gadā ir plānoti ne tikai 2.2.3.3. pasākuma trešajai un ceturtajai kārtai, bet arī citiem pasākumiem un to kārtām, kas ir saistīts ar to, ka noslēguma maksājums tiek veikts pēc projekta īstenošanas, kas 2.2.3.3. pasākuma trešās un ceturtās kārtas ietvaros ir iespējama līdz 2029.gada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daļas Budžet tabulā ir veikti korekti pārrēķini.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ceturtajā atlases kārtā iznākuma rādītāja sasniegšanu apliecina Dabas aizsardzības pārvaldes izsniegts atzinums par aizsardzības un atjaunošanas pasākumu īstenošanas platību projekta Natura 2000 teritorijā atbilstoši Dabas aizsardzības pārvaldes metodiskajiem norādījumiem un rezultāta rādītāja sasniegšanu apliecina sugu vai biotopu eksperta izdots atzinums par atjaunoto degradēto Eiropas Savienības nozīmes biotopu teritoriju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lūdzam salāgot MK noteikumu 9.punkta un anotācijas nosacījumus par rādītāju plānošanu un sasniegšanu 4.kārtai, papildinot anotācijā rindkopu par rādītāja plānošanu un sasniegšanu, ka projekta noslēgumā tiešo darbību platību apliecina tieši Dabas aizsardzības pārvaldes izsniegts sugu un biotopu eksperta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iznākuma rādītāju sasniegšanu apliecina Dabas aizsardzības pārvaldes izsniegts atzinums, bet rezultāta rādītāja sasniegšanu apliecina sugu un biotopu eksperta atzinums. Kā tas arī ir noradīts MK noteikumu projekta 9. punktā un arī skaidrots anotācijā. Sugu un biotopu ekspertiem, kas sniedz atzinumu par rezultāta radītāja sasniegšanu nav obligāti jābūt nodarbinātiem Dabas aizsardzības pārvaldē un var sniegt šo atzinumu patstāvīgi.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ceturtajā atlases kārtā iznākuma rādītāja sasniegšanu apliecina Dabas aizsardzības pārvaldes izsniegts atzinums par aizsardzības un atjaunošanas pasākumu īstenošanas platību projekta </w:t>
            </w:r>
            <w:r w:rsidR="00000000" w:rsidRPr="00000000" w:rsidDel="00000000">
              <w:rPr>
                <w:i w:val="1"/>
                <w:rtl w:val="0"/>
              </w:rPr>
              <w:t xml:space="preserve">Natura 2000</w:t>
            </w:r>
            <w:r w:rsidR="00000000" w:rsidRPr="00000000" w:rsidDel="00000000">
              <w:rPr>
                <w:rtl w:val="0"/>
              </w:rPr>
              <w:t xml:space="preserve"> teritorijā atbilstoši Dabas aizsardzības pārvaldes metodiskajiem norādījumiem un rezultāta rādītāja sasniegšanu apliecina sugu vai biotopu eksperta izdots atzinums par atjaunoto degradēto Eiropas Savienības nozīmes biotopu teritoriju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trešās atlases kārtas īstenošanai pieejamais finansējums ir 18 823 530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kas nepārsniedz 2 823 530 </w:t>
            </w:r>
            <w:r w:rsidR="00000000" w:rsidRPr="00000000" w:rsidDel="00000000">
              <w:rPr>
                <w:i w:val="1"/>
                <w:rtl w:val="0"/>
              </w:rPr>
              <w:t xml:space="preserve">euro</w:t>
            </w:r>
            <w:r w:rsidR="00000000" w:rsidRPr="00000000" w:rsidDel="00000000">
              <w:rPr>
                <w:rtl w:val="0"/>
              </w:rPr>
              <w:t xml:space="preserve"> vai pašvaldību, vai privātais līdzfinansējums.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FM iebildumu pie noteikumu projekta 14.punkta, lūdzam noteikumu projekta 13.punktu izteikt piedāvātajā redakcijā, lai nodrošinātu vienotu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trešās atlases kārtas īstenošanai pieejamais finansējums ir 18 823 530 euro, tai skaitā Eiropas Reģionālās attīstības fonda finansējums 16 000 000 euro un nacionālais līdzfinansējums, ko veido valsts budžeta līdzfinansējums, kas nepārsniedz 2 823 530 euro, kā arī pašvaldības budžeta vai privātais līdzfinansējums, ja projekta īstenošanā kā sadarbības partneris tiek piesaistīta pašvaldība, tās iestāde, pašvaldības kapitālsabiedrība, fiziska vai juridiska persona saskaņā ar šo noteikumu 21.1.2., 21.1.3. un 21.1.4.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MK noteikumu projekta 13. punkts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trešās atlases kārtas īstenošanai pieejamais finansējums ir 18 823 530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 </w:t>
            </w:r>
            <w:r w:rsidR="00000000" w:rsidRPr="00000000" w:rsidDel="00000000">
              <w:rPr>
                <w:rtl w:val="0"/>
              </w:rPr>
              <w:t xml:space="preserve">un nacionālais līdzfinansējums, ko veido valsts budžeta līdzfinansējums, kas nepārsniedz 2 823 530 </w:t>
            </w:r>
            <w:r w:rsidR="00000000" w:rsidRPr="00000000" w:rsidDel="00000000">
              <w:rPr>
                <w:i w:val="1"/>
                <w:rtl w:val="0"/>
              </w:rPr>
              <w:t xml:space="preserve">euro</w:t>
            </w:r>
            <w:r w:rsidR="00000000" w:rsidRPr="00000000" w:rsidDel="00000000">
              <w:rPr>
                <w:rtl w:val="0"/>
              </w:rPr>
              <w:t xml:space="preserve">, kā arī pašvaldības budžeta vai privātais līdzfinansējums, ja projekta īstenošanā kā sadarbības partneris tiek piesaistīta pašvaldība, tās iestāde, pašvaldības kapitālsabiedrība, fiziska vai juridiska persona saskaņā ar šo noteikumu </w:t>
            </w:r>
            <w:r w:rsidR="00000000" w:rsidRPr="00000000" w:rsidDel="00000000">
              <w:rPr>
                <w:rtl w:val="0"/>
              </w:rPr>
              <w:t xml:space="preserve">21.1.2.</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trešās atlases kārtas īstenošanai pieejamais finansējums ir 18 823 530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kas nepārsniedz 2 823 530 </w:t>
            </w:r>
            <w:r w:rsidR="00000000" w:rsidRPr="00000000" w:rsidDel="00000000">
              <w:rPr>
                <w:i w:val="1"/>
                <w:rtl w:val="0"/>
              </w:rPr>
              <w:t xml:space="preserve">euro</w:t>
            </w:r>
            <w:r w:rsidR="00000000" w:rsidRPr="00000000" w:rsidDel="00000000">
              <w:rPr>
                <w:rtl w:val="0"/>
              </w:rPr>
              <w:t xml:space="preserve"> vai privātais līdzfinansējums. Privātais līdzfinansējums tiek paredzēts šo noteikumu </w:t>
            </w:r>
            <w:r w:rsidR="00000000" w:rsidRPr="00000000" w:rsidDel="00000000">
              <w:rPr>
                <w:rtl w:val="0"/>
              </w:rPr>
              <w:t xml:space="preserve">21.1.4. </w:t>
            </w:r>
            <w:r w:rsidR="00000000" w:rsidRPr="00000000" w:rsidDel="00000000">
              <w:rPr>
                <w:rtl w:val="0"/>
              </w:rPr>
              <w:t xml:space="preserve"> apakšpunktā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un 14. punktu izdalot nacionālo līdzfinansējumu pa finansējuma avotiem.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13.punktā paredzēt arī pašvaldību līdzfinansējumu, gadījumā, ja trešajā atlases kārtā tiek plānota pašvaldības vai tās iestādes kā sadarbības partnera piesaiste atbilstoši 21.1.2. apakšpunktam. Tāpat lūdzam papildināt 13.punkta teikumu par privātā līdzfinansējuma paredzēšanu ar atsauci arī uz 21.1.3.apakšpunktu.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13. punkta redakcija pievienojot līdzfinansējumu avotiem iespēju piesaistīt pašvaldību līdzfinansējumu, ja kā sadarbības partneris tiek piesaistīta pašvaldība vai tās iestāde un anotācijā skaidroti līdzfinansējuma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norādītas atsauces uz MK noteikumu projekta 21.1.2. un 21.1.3. apakšpunktiem juridiskās skaidrības nodrošināšanai, jo piesaistot valsts kapitālsabiedrību, kas īsteno valsts deleģēto pārvaldes uzdevumu izpildi, līdzfinansējumu veido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izdalīt konkrētas līdzfinansējuma summas pa valsts budžeta, pašvaldību budžeta vai privātā finansējuma avotiem, jo tas ir atkarīgs no projekta iesniedzēja piesaistītajiem sadarbības partneriem, attiecīgi piesaistot sadarbības partnerus par privāto daļu vai pašvaldību līdzfinansēto daļu samazināsies pārējos līdzfinansējumu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trešās atlases kārtas īstenošanai pieejamais finansējums ir 18 823 530 </w:t>
            </w:r>
            <w:r w:rsidR="00000000" w:rsidRPr="00000000" w:rsidDel="00000000">
              <w:rPr>
                <w:i w:val="1"/>
                <w:rtl w:val="0"/>
              </w:rPr>
              <w:t xml:space="preserve">euro</w:t>
            </w:r>
            <w:r w:rsidR="00000000" w:rsidRPr="00000000" w:rsidDel="00000000">
              <w:rPr>
                <w:rtl w:val="0"/>
              </w:rPr>
              <w:t xml:space="preserve">, tai skaitā Eiropas Reģionālās attīstības fonda finansējums 16 000 000 </w:t>
            </w:r>
            <w:r w:rsidR="00000000" w:rsidRPr="00000000" w:rsidDel="00000000">
              <w:rPr>
                <w:i w:val="1"/>
                <w:rtl w:val="0"/>
              </w:rPr>
              <w:t xml:space="preserve">euro </w:t>
            </w:r>
            <w:r w:rsidR="00000000" w:rsidRPr="00000000" w:rsidDel="00000000">
              <w:rPr>
                <w:rtl w:val="0"/>
              </w:rPr>
              <w:t xml:space="preserve">un nacionālais līdzfinansējums, ko veido valsts budžeta līdzfinansējums, kas nepārsniedz 2 823 530 </w:t>
            </w:r>
            <w:r w:rsidR="00000000" w:rsidRPr="00000000" w:rsidDel="00000000">
              <w:rPr>
                <w:i w:val="1"/>
                <w:rtl w:val="0"/>
              </w:rPr>
              <w:t xml:space="preserve">euro</w:t>
            </w:r>
            <w:r w:rsidR="00000000" w:rsidRPr="00000000" w:rsidDel="00000000">
              <w:rPr>
                <w:rtl w:val="0"/>
              </w:rPr>
              <w:t xml:space="preserve">, kā arī pašvaldības budžeta vai privātais līdzfinansējums, ja projekta īstenošanā kā sadarbības partneris tiek piesaistīta pašvaldība, tās iestāde, pašvaldības kapitālsabiedrība, fiziska vai juridiska persona saskaņā ar šo noteikumu </w:t>
            </w:r>
            <w:r w:rsidR="00000000" w:rsidRPr="00000000" w:rsidDel="00000000">
              <w:rPr>
                <w:rtl w:val="0"/>
              </w:rPr>
              <w:t xml:space="preserve">21.1.2.</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ceturtās atlases kārtas īstenošanai pieejamais finansējums ir 8 561 765 </w:t>
            </w:r>
            <w:r w:rsidR="00000000" w:rsidRPr="00000000" w:rsidDel="00000000">
              <w:rPr>
                <w:i w:val="1"/>
                <w:rtl w:val="0"/>
              </w:rPr>
              <w:t xml:space="preserve">euro</w:t>
            </w:r>
            <w:r w:rsidR="00000000" w:rsidRPr="00000000" w:rsidDel="00000000">
              <w:rPr>
                <w:rtl w:val="0"/>
              </w:rPr>
              <w:t xml:space="preserve">, tai skaitā Eiropas Reģionālās attīstības fonda finansējums 7 277 500 </w:t>
            </w:r>
            <w:r w:rsidR="00000000" w:rsidRPr="00000000" w:rsidDel="00000000">
              <w:rPr>
                <w:i w:val="1"/>
                <w:rtl w:val="0"/>
              </w:rPr>
              <w:t xml:space="preserve">euro </w:t>
            </w:r>
            <w:r w:rsidR="00000000" w:rsidRPr="00000000" w:rsidDel="00000000">
              <w:rPr>
                <w:rtl w:val="0"/>
              </w:rPr>
              <w:t xml:space="preserve">un nacionālais līdzfinansējums, ko veido valsts budžeta līdzfinansējums, kas nepārsniedz 1 284 265 </w:t>
            </w:r>
            <w:r w:rsidR="00000000" w:rsidRPr="00000000" w:rsidDel="00000000">
              <w:rPr>
                <w:i w:val="1"/>
                <w:rtl w:val="0"/>
              </w:rPr>
              <w:t xml:space="preserve">euro </w:t>
            </w:r>
            <w:r w:rsidR="00000000" w:rsidRPr="00000000" w:rsidDel="00000000">
              <w:rPr>
                <w:rtl w:val="0"/>
              </w:rPr>
              <w:t xml:space="preserve">vai pašvaldības vai privātais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14.punktu piedāvātajā redakcijā, ņemot vērā, ka ceturtajā kārtā projekta īstenotājs paredzēts pašvaldība vai tās iestāde, savukārt valsts budžeta līdzfinansējums ceturtajā kārtā būtu paredzams tikai gadījumā, ja projekta ietvaros kā sadarbības partneris tiek piesaistīta valsts kapitālsabiedrība, kas īsteno valsts deleģēto pārvaldes uzdevumu izpildi (saskaņā ar anotācijas 1.3.sadaļā sniegto skaidrojumu), attiecīgi noteikumu projekta 14.punktā ir jānosaka, ka primāri nacionālo līdzfinansējumu veido pašvaldības vai privātais līdzfinansējums vismaz 1 284 265 euro apmērā, savukārt valsts budžeta līdzfinansējumu paredzams tikai gadījumā, ja projekta ietvaros kā sadarbības partneris tiek piesaistīta valsts kapitālsabiedrība, kas īsteno valsts deleģēto pārvaldes uzdevumu izpildi, nosakot, ka valsts budžeta līdzfinansējums tādā gadījumā nepārsniedz 15% no projekta attiecināmajām izmaksām, kas saistošas attiecīgajam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ceturtās atlases kārtas īstenošanai pieejamais finansējums ir 8 561 765 euro, tai skaitā Eiropas Reģionālās attīstības fonda finansējums 7 277 500 euro un nacionālais līdzfinansējums, ko veido pašvaldības budžeta un privātais līdzfinansējums, vismaz 1 284 265 euro, kā arī valsts budžeta līdzfinansējums, ja projekta īstenošanā kā sadarbības partneris tiek piesaistīta valsts kapitālsabiedrība saskaņā ar šo noteikumu 21.2.2. apakšpunktu, paredzot, ka valsts budžeta līdzfinansējums nepārsniedz 15 procentus no projekta attiecināmajām izmaksām, kas saistošas attiecīgajam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14. punkts un arī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ceturtās atlases kārtas īstenošanai pieejamais finansējums ir 8 561 765 </w:t>
            </w:r>
            <w:r w:rsidR="00000000" w:rsidRPr="00000000" w:rsidDel="00000000">
              <w:rPr>
                <w:i w:val="1"/>
                <w:rtl w:val="0"/>
              </w:rPr>
              <w:t xml:space="preserve">euro</w:t>
            </w:r>
            <w:r w:rsidR="00000000" w:rsidRPr="00000000" w:rsidDel="00000000">
              <w:rPr>
                <w:rtl w:val="0"/>
              </w:rPr>
              <w:t xml:space="preserve">, tai skaitā Eiropas Reģionālās attīstības fonda finansējums 7 277 500 </w:t>
            </w:r>
            <w:r w:rsidR="00000000" w:rsidRPr="00000000" w:rsidDel="00000000">
              <w:rPr>
                <w:i w:val="1"/>
                <w:rtl w:val="0"/>
              </w:rPr>
              <w:t xml:space="preserve">euro </w:t>
            </w:r>
            <w:r w:rsidR="00000000" w:rsidRPr="00000000" w:rsidDel="00000000">
              <w:rPr>
                <w:rtl w:val="0"/>
              </w:rPr>
              <w:t xml:space="preserve">un nacionālais līdzfinansējums, ko veido pašvaldības budžeta un privātais līdzfinansējums, vismaz 1 284 265 </w:t>
            </w:r>
            <w:r w:rsidR="00000000" w:rsidRPr="00000000" w:rsidDel="00000000">
              <w:rPr>
                <w:i w:val="1"/>
                <w:rtl w:val="0"/>
              </w:rPr>
              <w:t xml:space="preserve">euro</w:t>
            </w:r>
            <w:r w:rsidR="00000000" w:rsidRPr="00000000" w:rsidDel="00000000">
              <w:rPr>
                <w:rtl w:val="0"/>
              </w:rPr>
              <w:t xml:space="preserve">, kā arī valsts budžeta līdzfinansējums, ja projekta īstenošanā kā sadarbības partneris tiek piesaistīta valsts kapitālsabiedrība saskaņā ar šo noteikumu </w:t>
            </w:r>
            <w:r w:rsidR="00000000" w:rsidRPr="00000000" w:rsidDel="00000000">
              <w:rPr>
                <w:rtl w:val="0"/>
              </w:rPr>
              <w:t xml:space="preserve">21.2.2. </w:t>
            </w:r>
            <w:r w:rsidR="00000000" w:rsidRPr="00000000" w:rsidDel="00000000">
              <w:rPr>
                <w:rtl w:val="0"/>
              </w:rPr>
              <w:t xml:space="preserve">apakšpunktu</w:t>
            </w:r>
            <w:r w:rsidR="00000000" w:rsidRPr="00000000" w:rsidDel="00000000">
              <w:rPr>
                <w:rtl w:val="0"/>
              </w:rPr>
              <w:t xml:space="preserve">, paredzot, ka valsts budžeta līdzfinansējums nepārsniedz 15 procentus no projekta attiecināmajām izmaksām, kas saistošas attiecīgajam sadarbības partnerim.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trešajā un ceturtajā atlases kārtā vienā projektu iesniegumā minimālais attiecināmo izmaksu apmērs projektā nav mazāks par 200 000 (ieskaitot) </w:t>
            </w:r>
            <w:r w:rsidR="00000000" w:rsidRPr="00000000" w:rsidDel="00000000">
              <w:rPr>
                <w:i w:val="1"/>
                <w:rtl w:val="0"/>
              </w:rPr>
              <w:t xml:space="preserve">euro</w:t>
            </w:r>
            <w:r w:rsidR="00000000" w:rsidRPr="00000000" w:rsidDel="00000000">
              <w:rPr>
                <w:rtl w:val="0"/>
              </w:rPr>
              <w:t xml:space="preserve">, ja netiek piemēroti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skaidrojumu atšķirīgai projekta minimālo izmaksu noteikšanai, aicinām pārskatīt MK noteikumu projektā ietverto nosacījumu vai precizēt anotācijā iekļauto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2. punkta pirmajai daļai, ja darbības kopējās izmaksas nepārsniedz 200 000 EUR, iemaksas no ERAF, ESF+, TPF, AMIF, IDF un BMVI saņēmējam būtu jāsniedz vienības izmaksu, fiksētas summas maksājumu vai vienotas likmes finansējuma veidā, izņemot darbībām, kuras saņem atbalstu, kas ir valsts atbalsts. Papildus 2024.gada 20.decembra Eiropas Komisijas apstiprinātajās pamatnostādnēs “Pamatnostādnes par vienkāršotu izmaksu iespēju izmantošanu saistībā ar fondiem, uz kuriem attiecas Regula (ES) 2021/1060 (Kopīgo noteikumu regula)” ir skaidrots, ka izņēmums ir arī izmaksu kategorijas, kurām piemēro vienotu likmi, proti, vienotās likmes bāzes izmaksas var būt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MK Noteikumu projekta 16. punkts. Labojumi veikti arī anotācijā skaidrojot, kādēļ netiek piemērots minimālais attiecināmo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trešajā un ceturtajā atlases kārtā vienā projektu iesniegumā nav noteikts minimālais attiecināmo izmaksu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trešajā un ceturtajā atlases kārtā vienā projektu iesniegumā minimālais attiecināmo izmaksu apmērs projektā nav mazāks par  200 000 (ieskaitot) </w:t>
            </w:r>
            <w:r w:rsidR="00000000" w:rsidRPr="00000000" w:rsidDel="00000000">
              <w:rPr>
                <w:i w:val="1"/>
                <w:rtl w:val="0"/>
              </w:rPr>
              <w:t xml:space="preserve">euro</w:t>
            </w:r>
            <w:r w:rsidR="00000000" w:rsidRPr="00000000" w:rsidDel="00000000">
              <w:rPr>
                <w:rtl w:val="0"/>
              </w:rPr>
              <w:t xml:space="preserve">, ja netiek piemēroti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noteikumu projekta 16.punktā minētā  atšķirīga ierobežojuma noteikšanu starp projektiem, kuriem ir paredzēts komercdarbības atbalsts, un tiem, kuriem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ja projektā tiek paredzētas darbības, kam tiek piemērots komercdarbības atbalsta regulējums, tad saskaņā ar Kopīgo noteikumu regulas Nr. 2021/1060 53. panta 2. punktu to attiecināmo izmaksu apmērs var būt mazāks par 200 000 (ieskaitot) </w:t>
            </w:r>
            <w:r w:rsidR="00000000" w:rsidRPr="00000000" w:rsidDel="00000000">
              <w:rPr>
                <w:i w:val="1"/>
                <w:rtl w:val="0"/>
              </w:rPr>
              <w:t xml:space="preserve">euro </w:t>
            </w:r>
            <w:r w:rsidR="00000000" w:rsidRPr="00000000" w:rsidDel="00000000">
              <w:rPr>
                <w:rtl w:val="0"/>
              </w:rPr>
              <w:t xml:space="preserve">un nav nepieciešams piemērot vienu vienību, fiksētās summas maksājumus vai vienotās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trešajā un ceturtajā atlases kārtā vienā projektu iesniegumā nav noteikts minimālais attiecināmo izmaksu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ja projekta iesniegumā ir norādījis un paredz, ka tiks gūti ieņēmumi projekta dzīves laikā, atbilstoši sadarbības iestādes izstrādātajiem metodiskajiem norādījumiem pasākuma trešajā kārtā veic projekta izmaksu un ieguvumu analīzi, izņemot ja projekta kopējās attiecināmās izmaksas ir mazākas par 1 000 000 </w:t>
            </w:r>
            <w:r w:rsidR="00000000" w:rsidRPr="00000000" w:rsidDel="00000000">
              <w:rPr>
                <w:i w:val="1"/>
                <w:rtl w:val="0"/>
              </w:rPr>
              <w:t xml:space="preserve">euro </w:t>
            </w:r>
            <w:r w:rsidR="00000000" w:rsidRPr="00000000" w:rsidDel="00000000">
              <w:rPr>
                <w:rtl w:val="0"/>
              </w:rPr>
              <w:t xml:space="preserve">(ieskaitot), un ceturtajā atlases kārtā veic finanšu analīzi, nodalot projektā īstenotās sadarbības partnera aktivitātes, kurām sniegtais atbalsts kvalificējams kā komercdarbības atbalsts  un nodrošinot, ka projekta iesniedzēju un pārējo sadarbības partneru (ja attiecināms), kuri nav saimnieciskās darbības veicēji, ieņēmumi projekta dzīves ciklā ik gadu nepārsniedz 50 procentus no infrastruktūras un atjaunoto teritoriju uzturēšanas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31.punkta redakciju, ņemot vērā to, ka trešajā atlases kārtā izmaksu un ieguvumu analīze jāveic neatkarīgi no tā, vai projekta dzīves cikla laikā tiks gūti ieņēmumi. Esošā redakcija paredz, ka trešajā atlases kārtā izmaksu un ieguvumu analīze jāveic vien tad, ja projektā paredzēti ieņēmumi. Ieņēmumi projektā kā pazīme finanšu analīzes nepieciešamībai ir nepieciešama ceturtajā atlases kārtā, kur svarīgi ievērot nosacījumu par to, ka projekta dzīves cikla laikā ieņēmumi ik gadu nepārsniedz 50 procentus no infrastruktūras un atjaunoto teritoriju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skaidrojumu anotācijā, jo izmaksu un ieguvumu analīzēs primārais mērķis ir noskaidrot projekta atdevi sabiedrībai, nevis noteikt ieņēmumu attiecību pret infrastruktūras uzturēšanas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MK noteikumu projekta 31.punkta redakcija norādot, ka 2.2.3.3. pasākuma trešās atlases kārtas ietvaros ir jāveic izmaksu un ieguvumu analīze neatkarīgi no projekta dzīves ciklā plānoto ieņēmumu esamības, ja projekta attiecināmo izmaksas ir lielākas par 1 milj. euro. Atbilstoši labojumi veikti MK noteikumu projekta anotācijā, vienlaikus skaidrojam, ka jau sākotnēji esošā redakcija anotācijā skaidro, ka izmaksu un ieguvumu analīze tiek veikta ar mērķi nodrošināt izmaksu samērīgumu pret ieguvumiem un attiecīgi palielināt kopējo ekonomikas labklājību, veicināt pozitīvus sociālos efektus un novērtēt, ka kopumā projekta ieguvumi ir lielāki par sagaidāmajām izmaksām un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pasākuma trešās atlases kārtas ietvaros, ja projekta kopējās attiecināmās izmaksas ir lielākas par 1 000 000 </w:t>
            </w:r>
            <w:r w:rsidR="00000000" w:rsidRPr="00000000" w:rsidDel="00000000">
              <w:rPr>
                <w:i w:val="1"/>
                <w:rtl w:val="0"/>
              </w:rPr>
              <w:t xml:space="preserve">euro</w:t>
            </w:r>
            <w:r w:rsidR="00000000" w:rsidRPr="00000000" w:rsidDel="00000000">
              <w:rPr>
                <w:rtl w:val="0"/>
              </w:rPr>
              <w:t xml:space="preserve"> veic izmaksu un ieguvumu analīzi atbilstoši sadarbības iestādes izstrādātajiem metodiskajiem norādījumiem. Ja trešās kārtas ietvaros projekta kopējās attiecināmās izmaksas ir mazākas par 1 000 000 </w:t>
            </w:r>
            <w:r w:rsidR="00000000" w:rsidRPr="00000000" w:rsidDel="00000000">
              <w:rPr>
                <w:i w:val="1"/>
                <w:rtl w:val="0"/>
              </w:rPr>
              <w:t xml:space="preserve">euro</w:t>
            </w:r>
            <w:r w:rsidR="00000000" w:rsidRPr="00000000" w:rsidDel="00000000">
              <w:rPr>
                <w:rtl w:val="0"/>
              </w:rPr>
              <w:t xml:space="preserve"> (ieskaitot) un projekta iesniegumā projekta iesniedzējs nav norādījis un neparedz ieņēmumus, tad izmaksu un ieguvumu analīzi var neveikt, bet, ja projekta iesniegumā ir norādīts un tiek paredzēts, ka tiks gūti ieņēmumi projekta dzīves ciklā, projekta iesniedzējs veic finanšu analīzi atbilstoši sadarbības iestādes izstrādātajiem metodiskajiem norādījumiem. Ceturtajā atlases kārtā, ja projekta iesniedzējs projekta iesniegumā ir norādījis un paredz, ka tiks gūti ieņēmumi projekta dzīves ciklā, projekta iesniedzējs veic finanšu analīzi atbilstoši sadarbības iestādes izstrādātajiem metodiskajiem norādījumiem. Pasākuma trešās un ceturtās atlases kārtas ietvaros veicot izmaksu un ieguvumu analīzi vai finanšu analīzi ir jānodala projektā īstenotās sadarbības partnera aktivitātes, kurām sniegtais atbalsts kvalificējams kā komercdarbības atbalsts un jānodrošina, ka projekta iesniedzēju un pārējo sadarbības partneru (ja attiecināms), kuri nav saimnieciskās darbības veicēji, ieņēmumi projekta dzīves ciklā ik gadu nepārsniedz 50 procentus no infrastruktūras un atjaunoto teritoriju uzturēšanas izdevumiem.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invazīvo sugu izplatības ierobežošana un izplatības mazināšana saskaņā ar Dabas aizsardzības pārvaldes invazīvo sugu faktu lapās iekļautajām sugām un nosacījumiem to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regulas Nr. 651/2014 45. panta 5. punkta nosacījumu par principa “piesārņotājs maksā” ievērošanu pasākumā. Proti, ja attiecībā uz atsevišķu invazīvo augu sugu ierobežošanu valsts jau ir kā pienākumu noteikusi katram zemes īpašniekam par to parūpēties obligāti, tajos gadījumos ir attiecināms “piesārņotājs maksā” princips. Piemēram, saskaņā ar valstī noteikto normatīvo regulējumu (Ministru kabineta 2008. gada 30. jūnija noteikumi Nr. 467 "Invazīvo augu sugu izplatības ierobežošanas noteikumi" un to aizstājošie normatīvie akti pēc tam, kad šie noteikumi zaudēs spēku) zemes īpašnieks vai tiesiskais valdītājs, kura zemē ir invazīvā augu suga, saskaņā ar normatīvajiem aktiem par konkrētu invazīvo augu sugu ierobežošanas pasākumiem un metodēm veic attiecīgās augu sugas izplatības ierobežošanu. Pretējā gadījumā zemes īpašniekam vai tiesiskajam valdītājam tiek piemērots sods, jo Latvijas invazīvo sugu sarakstā iekļauto indivīdu izplatīšanās pieļaušana ietver arī ierobežošanas pasākumu neīstenošanu un vairošanās pieļaušanu, proti, tas kvalificējas kā "piesārņotājs".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noteikumus un sniegt skaidrojumu anotācijā tā, lai skaidrs, kuros gadījumos zemes īpašnieks vai tiesiskais valdītājs nav "piesārņotājs", proti, kuros gadījumos invazīvo augu sugu ierobežošana ir/nav pieļaujama pasākuma ietvaros kā komercdarbības atbalsts saskaņā ar regulas Nr. 651/2014 45.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skaidrojumu anotācijā attiecībā uz degradētu teritoriju - vēsturisko kūdras ieguves vietu atjaunošanu. Atbilstoši Eiropas Komisijas sniegtajam skaidrojam, regulas Nr. 651/2014 45. pantu nevar piemērot, ja atbalsta pasākumi attiecas uz vēsturisko kūdru ieguves vietu atjaunošanas izmaksām. Vienlaikus Eiropas Komisija ir skaidrojusi, ka atbalstu iepriekš izmantotas (bet slēgtas) kūdras ieguves zemes meliorācijai/reabilitācijai varētu piešķirt saskaņā ar Pamatnostādņu par valsts atbalstu klimata, vides aizsardzības un enerģētikas pasākumiem (2022) (2022/C 80/01) 4.6. iedaļu (iespējams, ka uz atbalstu attiecas 4.12. sadaļa (280(a) punkts), bet, ja kūdras ieguves vietas jau bija slēgtas ilgāku laiku un tieša saikne starp ieguves vietas slēgšanu un nepieciešamo atbalstu nav, tad 4.12. sadaļu piemērot nevarētu). Ja atbalsta sniedzējs plānotu atbalstu šādiem mērķiem, skaidrojam, ka būtu ne tikai jāietver atbilstošie iepriekšminēto pamatnostādņu nosacījumi MK noteikumu tekstā, bet arī būtu nepieciešams ievērot atbilstošas procedūras, paziņojot pasākumu Eiropas Komisijai un saņemot tās lēmumu, pirms atbalsta piešķiršanas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iestrādāti gan MK noteikumu projektā, gan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invazīvo sugu apjoma mazināšana tās iznīcinot saskaņā ar Dabas aizsardzības pārvaldes invazīvo sugu faktu lapās iekļautajām sugām un nosacījumiem to izskaušanai;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jau esošās antropogēnas slodzes mazinošās infrastruktūras atjaunošana, demontāža, pārbūve un pielāgošana dažādu sabiedrības grupu pieejamībai, nemainot būvapjomu;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pamatot anotācijā vai svītrot apakšpunktā minēto nosacījumu, ka esošās infrastruktūras pielāgošana dažādu sabiedrības grupu pieejamībai iespējama tikai “nemainot būvapjomu”, ņemot vērā, ka šādu nosacījumu būtu grūti piemērot, piemēram, ja esošajā infrastruktūrā ir izbūvētas tikai kāpnes, bet ir nepieciešams nodrošināt pieejamību, izbūvējot rampu, kas noteikti mainītu kopējo būvapjomu, tomēr nebūtu pretrunā ar sasniedzamo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gadījumā ar būvapjoms ir būves faktiskais apjoms, kas var būt tā dimensijas kā garums, platums un augstums jeb tās tilpums, ko veido visas šīs trīs dimensijas kopā. Tāpat atsaucoties uz Būvniecības valsts kontroles biroja 2020. gada 25.septembra  “Atzinums par būvobjekta pārbaudi un tā kritēriji” apkopotajiem jautājumiem un atbildēm, būvapjoms tiek definēts no jēdziena „apjoms” lietojums kā priekšmeta trīsdimensiju telpā raksturojošs fizikāls lielums apzīmē priekšmeta tilpumu. Secīgi 2.2.3.3. pasākuma ietvaros veicot esošās infrastruktūras pielāgošanu saistītie būvdarbi jāveic nemainot būvapjomu – tas nozīme, ka, ja ir bijušas kāpnes, bet nepieciešama lēzena uzbrauktuve, šī uzbrauktuve jāveido esošā būvapjoma ietvaros to nepalielinot – šeit risinājums var būt pagarināt uzbrauktuves garumu tālāk laipā salīdzinoši kā tas bija trepju gadījumā, lai uzbrauktuve nebūtu tik stāva, bet kopumā nemainot būvapjomu.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jau esošās antropogēnas slodzes mazinošās infrastruktūras atjaunošana, demontāža, pārbūve un pielāgošana dažādu sabiedrības grupu piekļūstamībai, nemainot būvapjomu;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jau esošās antropogēnas slodzes mazinošās infrastruktūras atjaunošana, demontāža, pārbūve un pielāgošana dažādu sabiedrības grupu pieejamībai, nemainot būvapjomu;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vārdu "pieejamība" aizstāt ar vārdu "piekļūstamība", lai salāgotu terminoloģiju visā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“Pieejamība” aizstāts ar ”piekļūstamību” gan MK noteikumu projektā, gan MK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jau esošās antropogēnas slodzes mazinošās infrastruktūras atjaunošana, demontāža, pārbūve un pielāgošana dažādu sabiedrības grupu piekļūstamībai, nemainot būvapjomu;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36.1.5. autoruzraudzības un būvdarbu būvuzraudzības izmaksas atbilstoši būvniecības jomu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vadlīniju Nr.1.2. "Vadlīnijas attiecināmo izmaksu noteikšanai Eiropas Savienības kohēzijas politikas programmas 2021.-2027.gada plānošanas periodā"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noteikumu projektu papildināt ar ierobežojumu, ka visas noteikumu projekta 36.1.5.punktā minētās izmaksas kopā nepārsniedz desmit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36.1. apakšpunktos visas uzskaitītās izmaksas ir atbilstošas Vadošās iestādes vadlīniju Nr.1.2. "Vadlīnijas attiecināmo izmaksu noteikšanai Eiropas Savienības kohēzijas politikas programmas 2021.-2027.gada plānošanas periodā" 10.2.apakšpunktā noteiktajām un tādējādi to izmaksas kopā nedrīkst pārsniegt desmit procentus. Skaidrībai ir papildināta MK noteikumu projekta 36.1. apakšpunkta redakcija papildus norādot, ka projekta iesniegumu un projektu īstenošanu pamatojošās dokumentācijas sagatavošanas izmaksas kopā nepārsniedz desmit procentus no kopējām attiecināmajām izmaksām, kas ir uzskaitītas 36.1.1., 36.1.2., 36.1.3., 36.1.4., 36.1.6. un tajā skaitā arī 36.1.5.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36.1.5. autoruzraudzības un būvdarbu būvuzraudzības izmaksas atbilstoši būvniecības jomu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36.6.2. būves un ar to funkcionāli saistītās infrastruktūras būvniecība, tai skaitā inženiertehnisko komunikāciju, iekšējo un ārējo inženiertīklu ierīkošana un ar tiem saistīto būvju izveide, iekārtu un tāda aprīkojuma iegāde un uzstādīšana, kas paredzēts būvprojektā un nepieciešams būves vai tās daļas pieņemšanai ekspluatācijā vai kas nepieciešams būves funkcionalitātes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36.6.2. apakšpunktu un/vai attiecīgi anotāciju, norādot kas šajā noteikumu projekta kontekstā ir saprotams ar terminu "būve". Norādām, ka, ja tiek celta jauna ēka, tai ir jābūt bezemisiju ēkai. Vienlaikus aicinām izvērtēt nepieciešamību papildināt noteikumu projektu ar Jaunās Eiropas Bauhaus iniciatīvas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MK noteikumu projekta 36.6.2. apakšpunkts, dzēšot vārdus būve, jo 36.6. apakšpunktā tiek uzskaitītas izmaksas, kas saistītas ar antropogēnās slodzes mazinošas infrastruktūras izveidi, atjaunošanu vai demontāžu. Papildus anotācijā skaidrota, ka 2.2.3.3. pasākuma trešās un ceturtās kārtas ietvaros var tikt būvētas ēkas, kas atbilst 2018. gada, 12. jūnija MK noteikumiem Nr. 326 par Būvju klasifikācijas noteikumiem 12. nodaļas “Nedzīvojamas ēkas” 1212 klasei “Citas īslaicīgas apmešanās ēkas”, 1274 klasē klasificētām ēkām, kas atbilst antropogēno slodzi mazinošas infrastruktūras būtībai, kā tualetes ēkas, individuālas lapenes un citur nekvalificētas nojumes, kā arī 12740204 tips “Nojumes ar metāla vai mūra balstiem un pamatnes cieto segumu” un 12740205 tips “Nojumes”. Ēku būvniecība ir jāveic saskaņā ar spēkā esošiem normatīvajiem aktiem par nosacījumiem jaunu ēku būvniecībai, ja tādas vispār tiks paredzētas projektos. Citu ēku būvniecība nav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Jaunā Eiropas Bauhaus principu īstenošanu anotācija papildināta norādot, ka projekta iesniedzējam projekta iesniegumā ir jānorāda, vai tiks piemēroti Jaunā Eiropas Bauhaus iniciatīvas principi, ņemot vērā, ka princips estētika ir jau iepriekš noteikts ar DAP izstrādāto Īpaši aizsargājamo dabas teritoriju vienoto stilu, kas ir jāievēro visiem veidojot infrastruktūru un kas iekļauts vērtēšanas kritērijos. Princips iekļautība tiek īstenots izstrādājot dabas aizsardzības plānus ar kuriem tiek izvērtēta šīs infrastruktūras nepieciešamība, atrašanās vieta, vienlaikus MK noteikumu projekts paredz nepieciešamību nodrošināt infrastruktūras piekļūstamību dažādām sabiedrības grupām saskaņā ar horizontālo principu VINPI. Un saistībā ar principu ilgtspējība, ņemot vērā, ka antropogēno slodzi mazinoša infrastruktūra atrodas dabā,  MK noteikumu projekts nosaka vērtēt klimata riskus un īstenot risku mazinošus pasākumus, kā arī paredz iespēju īstenot “zaļos” un “zilos” infrastruktūras risinājumus. Sekojoši atsevišķi izdalīt Jaunā Eiropas Bauhas iniciatīvu prasību piemērošanu Natura 2000 teritorijās antropogēnās slodzes mazinošas infrastruktūras izveidē MK noteikumu projektā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36.5.2. antropogēno slodzi mazinošas infrastruktūras un ar to saistītās infrastruktūras būvniecība, tai skaitā inženiertehnisko komunikāciju, iekšējo un ārējo inženiertīklu ierīkošana, iekārtu un tāda aprīkojuma iegāde un uzstādīšana, kas paredzēts būvprojektā un nepieciešams antropogēnās slodzes mazinošās infrastruktūras pieņemšanai ekspluatācijā vai kas nepieciešams funkcionalitātes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pakalpojumu līgumu izmaksas, izņemot šo noteikumu </w:t>
            </w:r>
            <w:r w:rsidR="00000000" w:rsidRPr="00000000" w:rsidDel="00000000">
              <w:rPr>
                <w:rtl w:val="0"/>
              </w:rPr>
              <w:t xml:space="preserve">36.1</w:t>
            </w:r>
            <w:r w:rsidR="00000000" w:rsidRPr="00000000" w:rsidDel="00000000">
              <w:rPr>
                <w:rtl w:val="0"/>
              </w:rPr>
              <w:t xml:space="preserve">.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kādu pakalpojumu līgumu izmaksas plānotas noteikumu projekta 36.12. apakšpunktā. Vēršam uzmanību, ka arī projekta vadības un īstenošanas nodrošināšanai plānotās personāla izmaksas (36.14.apakšpunkts) kā papildu izmaksas uz pakalpojuma līguma pamata nebūtu atbalstāmas. Līdz ar to lūdzam precizēt noteikuma projekta 36.12.apakšpunktu.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36.12.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36.14. 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36.14. apakšpunktā un anotācijā ietverto informāciju par vienotajām personāla izmaksu likmēm, t.sk. precizējot likmju apmērus, atbilstoši ES fondu Vadošās iestādes sniegtajiem komentāriem vienotās personāla izmaksu likmes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MK noteikumu projektā veikti labojumi atbilstoši ES fondu Vadošās iestādes sniegtajiem komentāriem vienotās personāla likmes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tiešās attiecināmās projekta vadības un īstenošanas personāla izmaksas, kuras saskaņā ar regulas Nr. 2021/1060 55. panta 1. punktu projekta iesniegumā plāno kā vienu izmaksu pozīciju, piemērojot izmaksu vienoto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izmaksas horizontālo principu  “Nenodarīt būtisku kaitējumu” un “Klimatdrošināšana” nosacījumu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36.18.apakšpunktu vai pamatot anotācijā šādu izmaksu nepieciešamību, minot konkrētus piemērus, kādos gadījumos šādas izmaksas var tikt iekļautas projekta iesniegumā, ņemot vērā, ka horizontālā principa “Nenodarīt būtisku kaitējumu” prasības tiek integrētas iepirkumu dokumentācijā, ko nosaka MK noteikumu 45. punkts, un būvdarbu un pakalpojumu līgumos, ko nosaka MK noteikumu 46.12. apakšpunkts, tādējādi prasību nodrošināšana tiek iekļauta līgumu izmaksās un nav nepieciešams šādas izmaksas izdalīt atsevišķi. Tāpat kritēriju metodika neparedz ekspertu piesaisti, lai izvērtētu klimata riskus horizontālā principa “Klimatdrošināšana” ietvaros, un projekta iesniedzējs to var veikt bez ekspertu piesaistes, izmantojot, piemēram, kritēriju metodikā piedāvāto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horizontālā principa “Klimatdrošināšana” nosacījumu nodrošināšanai var tikt piesaistīts eksperts un sniegts pakalpojums projekta iesniedzējam izvērtējot iespējamos plānotās infrastruktūras klimata riskus un sniedzot vērtējumu par to, kādi pasākumi būtu jāīsteno, lai šos riskus mazinātu. Tāpat arī kritēriju metodikā nav specificēts, kurš veic šo risku izvērtējumu, bet tiek vērtēts vai tāds ir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horizontālo principu “Nenodarīt būtisku kaitējumu” MK noteikumu projekta 36.17. apakšpunkts ir labots, jo, kā jau priekšlikumā minēts, MK noteikumu projekta 46.12 punkts jau nosaka, ka būvdarbu un pakalpojumu sniedzējiem ir jānodrošina 46.12.1., 46.12.2., 46.12.3 un 46.12.4. apakšpunktā minēto prasību izpilde un attiecīgi tie tiks iekļauti pakalpojumu vai būvdarbu līgumu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36.16. izmaksas horizontālā principa  “Klimatdrošināšana” nosacījumu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personāla izmaksu segšanai tiek piemērotā vienotā personāla izmaksu likme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punktu, aicinām izvērtēt, vai šādu izmaksu iekļaušana tiešajās attiecināmajās izmaksās neradīs papildu administratīvo slogu. Aicinām izvērtēt iespējas šādu izmaksu segšanu paredzēt no netiešo izmaksu vienotās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paredz divas projektu iesniegumu atlases kārtas - trešā atlases kārta, kur projekta iesniedzējs ir Dabas aizsardzības pārvalde, kas paredz iespēju veidot jaunas amata vietas uz projekta īstenošanas laiku, un ceturtās atlases kārtas, kur projekta iesniedzēji ir pašvaldības - abās atlases kārtās ir jānodrošina vienlīdzīgas iespējas projekta vadībai un īstenošanai nepieciešamā darba vietas aprīkojuma iegādei un tā ir noteikta saskaņā ar Vadlīnijām attiecināmo izmaksu noteikšanai Eiropas Savienības kohēzijas politikas programmas 2021.-2027.gada plānošanas periodā. Vienlaikus, darba vietas aprīkojuma izmaksas tikai daļēji pārklājas ar netiešajām projekta izmaksām, kuru tvērums ir daudz plašāks, tādēļ lai nodrošinātu optimālu projekta īstenošanai nepieciešamo darba vietu aprīkojumu  projektu iesniedzējiem 38. noteikumu projekta punkts ir atstāts nemainīts. Vienlaikus, finansējuma saņēmējam nav nosacījuma, ka noteikti ir jāizmanto MK noteikumu projekta 38. punktā norādītās attiecināmās izmaksas, tādējādi neradot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pasākuma trešajā un ceturtajā atlases kārtā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sadarbības partneru sadārdzinājuma izmaksas, kuru finansēšana būtu kvalificējama kā komercdarbības atbalsts, finansējamas no līdzekļiem, kas ir brīvi no jebkāda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projekta 46.4. apakšpunktu ar atsauci arī uz noteikumu projekta 21.1.2. un 21.1.3. apakšpunktā minētajiem sadarbības partneriem un to sadārdzinājuma izmaksām, kā arī 21.1.4. apakšpunktā minētajiem sadarbības partneriem, uz kuriem neattiecas noteikumu projekta 29. punktā ietvertais nosacījums par saimnieciskas darbības veikšanu, proti, kuri tiek piesaistīti kā sadarbības partneri, bet kuri neveic saimniecisko darbību nekustamajā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būtības, t.i. noteikumu projekta 46.3. apakšpunkts attiecas uz tiesību subjektiem neatkarīgi no to juridiskās formas, kuriem atbalsts nav kvalificējams kā komercdarbības atbalsts. Savukārt noteikumu projekta 46.4. apakšpunkts attiecas uz tiesību subjektiem neatkarīgi no to juridiskās formas, atbalsts kuriem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situācijā atsevišķu noteikumu projekta punktu uzskaitīšana sarežģīs noteikumu piemērošanu potenciālajiem projektu iesniegumu iesniedzējiem, jo piemēram, noteikumu projekta 21.1.4. apakšpunkts un 21.2.3. apakšpunkts attiecas gan uz noteikumu projekta 46.3. apakšpunktu, gan 46.4. apakšpunktu, līdz ar to noteikumu projektā tiek piemērota redakcija, kas pēc būtības nodala projekta izmaksu sadārdzinājuma segšanas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pasākuma trešajā un ceturtajā atlases kārtā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sadarbības partneru sadārdzinājuma izmaksas, kuru finansēšana būtu kvalificējama kā komercdarbības atbalsts, finansējamas no līdzekļiem, kas ir brīvi no jebkāda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nodrošina, ka nekustamais īpašums, kurā tiks veiktas projektā paredzētās darbības, ir projekta iesniedzēja un sadarbības partnera (ja attiecināms) īpašumā, turējumā vai valdījumā projekta īstenošanas laikā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īpašumtiesības (tostarp turējums un valdījums)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1. punktus paredz, ka </w:t>
            </w:r>
            <w:r w:rsidR="00000000" w:rsidRPr="00000000" w:rsidDel="00000000">
              <w:rPr>
                <w:i w:val="1"/>
                <w:rtl w:val="0"/>
              </w:rPr>
              <w:t xml:space="preserve">dalībvalsts atmaksā iemaksas, kas no fondiem saņemtas darbībai, tostarp investīcijas infrastruktūrā vai produktīvas investīcijas, ja piecu gadu laikā pēc galīgā maksājuma saņēmējam vai attiecīgā gadījumā laikposmā, kas paredzēts valsts atbalsta noteikumos, saistībā ar minēto darbību notiek kādas no šādām izmaiņām:</w:t>
            </w:r>
            <w:r w:rsidR="00000000" w:rsidRPr="00000000" w:rsidDel="00000000">
              <w:rPr>
                <w:i w:val="1"/>
                <w:rtl w:val="0"/>
              </w:rPr>
              <w:t xml:space="preserve">a) ražošanas darbības izbeigšana vai pārvietošana ārpus NUTS 2. līmeņa reģiona, kurā tā saņēma atbalstu;</w:t>
            </w:r>
            <w:r w:rsidR="00000000" w:rsidRPr="00000000" w:rsidDel="00000000">
              <w:rPr>
                <w:i w:val="1"/>
                <w:rtl w:val="0"/>
              </w:rPr>
              <w:t xml:space="preserve">b) tādas izmaiņas īpašumtiesībās uz infrastruktūras elementu, kuras uzņēmumam vai publiskā sektora iestādei sniedz nepamatotas priekšrocības;</w:t>
            </w:r>
            <w:r w:rsidR="00000000" w:rsidRPr="00000000" w:rsidDel="00000000">
              <w:rPr>
                <w:i w:val="1"/>
                <w:rtl w:val="0"/>
              </w:rPr>
              <w:t xml:space="preserve">c) būtiskas izmaiņas, kas ietekmē darbības veidu, mērķus vai īstenošanas nosacījumus, tādējādi traucējot tās sākotnējo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 un MK noteikumu projekta 46.10. punkts norādot nepieciešamību īpašumtiesības, tostarp turējuma vai valdījuma nostiprināšanu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nodrošina, ka nekustamais īpašums, kurā tiks veiktas projektā paredzētās darbības, ir projekta iesniedzēja un sadarbības partnera (ja attiecināms) īpašumā, turējumā vai valdījumā un īpašumtiesības, tostarp turējums vai valdījums ir nostiprināts zemesgrāmatā normatīvajos aktos noteiktajā kārtībā vismaz uz laiku, kas nav mazāks par projekta dzīves ciklu;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46.11. nodrošina horizontālo principu “Vienlīdzība, iekļaušana, nediskriminācija un pamattiesību ievērošana” ievērošanu, datu uzkrāšanu un to ievadi Kohēzijas politikas fondu vadības informācijas sistēmā projekta īstenošanas laikā, tostarp par rādītāju: "Objektu skaitu, kuros Eiropas Reģionālās attīstības fonda ieguldījumu rezultātā ir nodrošināta vides un informācijas piekļūstamība";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HP rādītāja nosaukumu: Objektu skaits, kuros Eiropas Reģionālās attīstības fonda ieguldījumu rezultātā ir nodrošināta vides un informācijas piekļūstamība".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46.11. nodrošina horizontālo principu “Vienlīdzība, iekļaušana, nediskriminācija un pamattiesību ievērošana” ievērošanu, datu uzkrāšanu un to ievadi Kohēzijas politikas fondu vadības informācijas sistēmā projekta īstenošanas laikā, tostarp par rādītāju: "Objektu skaits, kuros Eiropas Reģionālās attīstības fonda ieguldījumu rezultātā ir nodrošināta vides un informācijas piekļūstamība";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46.11. nodrošina horizontālo principu un “Vienlīdzība, iekļaušana, nediskriminācija un pamattiesību ievērošana” ievērošanu, datu uzkrāšanu un to ievadi Kohēzijas politikas fondu vadības informācijas sistēmā projekta īstenošanas laikā, tostarp rādītāju par objektu skaitu, kuros Eiropas Reģionālās attīstības fond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vārdu "pieejamība" aizstāt ar vārdu "piekļūstamība", tādējādi nodrošinot vienotu terminoloģiju visā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novērst pārrakstīšanās kļūdas un vārdu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46.11. nodrošina horizontāl</w:t>
            </w:r>
            <w:r w:rsidR="00000000" w:rsidRPr="00000000" w:rsidDel="00000000">
              <w:rPr>
                <w:b w:val="1"/>
                <w:rtl w:val="0"/>
              </w:rPr>
              <w:t xml:space="preserve">ā</w:t>
            </w:r>
            <w:r w:rsidR="00000000" w:rsidRPr="00000000" w:rsidDel="00000000">
              <w:rPr>
                <w:rtl w:val="0"/>
              </w:rPr>
              <w:t xml:space="preserve"> princip</w:t>
            </w:r>
            <w:r w:rsidR="00000000" w:rsidRPr="00000000" w:rsidDel="00000000">
              <w:rPr>
                <w:b w:val="1"/>
                <w:rtl w:val="0"/>
              </w:rPr>
              <w:t xml:space="preserve">a</w:t>
            </w:r>
            <w:r w:rsidR="00000000" w:rsidRPr="00000000" w:rsidDel="00000000">
              <w:rPr>
                <w:rtl w:val="0"/>
              </w:rPr>
              <w:t xml:space="preserve"> </w:t>
            </w:r>
            <w:r w:rsidR="00000000" w:rsidRPr="00000000" w:rsidDel="00000000">
              <w:rPr>
                <w:strike w:val="1"/>
                <w:rtl w:val="0"/>
              </w:rPr>
              <w:t xml:space="preserve">un</w:t>
            </w:r>
            <w:r w:rsidR="00000000" w:rsidRPr="00000000" w:rsidDel="00000000">
              <w:rPr>
                <w:rtl w:val="0"/>
              </w:rPr>
              <w:t xml:space="preserve"> “Vienlīdzība, iekļaušana, nediskriminācija un pamattiesību ievērošana” ievērošanu, datu uzkrāšanu un to ievadi Kohēzijas politikas fondu vadības informācijas sistēmā projekta īstenošanas laikā, tostarp </w:t>
            </w:r>
            <w:r w:rsidR="00000000" w:rsidRPr="00000000" w:rsidDel="00000000">
              <w:rPr>
                <w:b w:val="1"/>
                <w:rtl w:val="0"/>
              </w:rPr>
              <w:t xml:space="preserve">par</w:t>
            </w:r>
            <w:r w:rsidR="00000000" w:rsidRPr="00000000" w:rsidDel="00000000">
              <w:rPr>
                <w:rtl w:val="0"/>
              </w:rPr>
              <w:t xml:space="preserve"> rādītāju :  </w:t>
            </w:r>
            <w:r w:rsidR="00000000" w:rsidRPr="00000000" w:rsidDel="00000000">
              <w:rPr>
                <w:strike w:val="1"/>
                <w:rtl w:val="0"/>
              </w:rPr>
              <w:t xml:space="preserve">par</w:t>
            </w:r>
            <w:r w:rsidR="00000000" w:rsidRPr="00000000" w:rsidDel="00000000">
              <w:rPr>
                <w:rtl w:val="0"/>
              </w:rPr>
              <w:t xml:space="preserve"> "Objektu skaits, kuros Eiropas Reģionālās attīstības fond ieguldījumu rezultātā ir nodrošināta vides un informācijas </w:t>
            </w:r>
            <w:r w:rsidR="00000000" w:rsidRPr="00000000" w:rsidDel="00000000">
              <w:rPr>
                <w:b w:val="1"/>
                <w:rtl w:val="0"/>
              </w:rPr>
              <w:t xml:space="preserve">piekļūstamība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sniegtajai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46.11. nodrošina horizontālo principu “Vienlīdzība, iekļaušana, nediskriminācija un pamattiesību ievērošana” ievērošanu, datu uzkrāšanu un to ievadi Kohēzijas politikas fondu vadības informācijas sistēmā projekta īstenošanas laikā, tostarp par rādītāju: "Objektu skaits, kuros Eiropas Reģionālās attīstības fonda ieguldījumu rezultātā ir nodrošināta vides un informācijas piekļūstamība";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Ceturtās atlases kārtas ietvaros sadarbības iestāde, ja tai ir pieejami valsts budžeta līdzekļi, izvērtējot plānotā avansa apmēru un tā pamatojumu un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90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paredzēta arī valsts budžeta līdzfinansējuma piešķiršana, aicinām izvērtēt nepieciešamību precizēt noteikumu projekta 47. punktu piedāvātajā redakcijā, ņemot vērā Ministru kabineta 2023. gada 25. aprīļa noteikumu Nr. 205 "Valsts budžeta līdzekļu plānošanas kārtība Eiropas Savienības fondu projektu īstenošanai un maksājumu veikšanai 2021.–2027. gada plānošanas periodā" 10. un 16. punktā noteikto attiecībā uz finansējumu, no kura tiek aprēķināts avansa, kā arī avansa un starpposma maksājuma kopsummas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Ceturtās atlases kārtas ietvaros sadarbības iestāde, ja tai ir pieejami valsts budžeta līdzekļi, izvērtējot plānotā avansa apmēru un tā pamatojumu un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90 procentiem no projektam piešķirtā Eiropas Reģionālās attīstības fonda finansējuma </w:t>
            </w:r>
            <w:r w:rsidR="00000000" w:rsidRPr="00000000" w:rsidDel="00000000">
              <w:rPr>
                <w:u w:val="single"/>
                <w:rtl w:val="0"/>
              </w:rPr>
              <w:t xml:space="preserve">un valsts budžeta līdzfinansējuma kopsummas</w:t>
            </w:r>
            <w:r w:rsidR="00000000" w:rsidRPr="00000000" w:rsidDel="00000000">
              <w:rPr>
                <w:rtl w:val="0"/>
              </w:rPr>
              <w:t xml:space="preserve">, ievērojot, ka avansu var izmaksāt vairākos maksājumos un avansa un starpposma maksājumu kopsumma nepārsniedz 90 procentus no projektam piešķirtā Eiropas Reģionālās attīstības fonda finansējuma </w:t>
            </w:r>
            <w:r w:rsidR="00000000" w:rsidRPr="00000000" w:rsidDel="00000000">
              <w:rPr>
                <w:u w:val="single"/>
                <w:rtl w:val="0"/>
              </w:rPr>
              <w:t xml:space="preserve">un valsts budžeta līdzfinansējuma kopsummas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47. punkta redakcija labota atbilstoši norādītajai. Atbilstoši labojumi veikti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Ceturtās atlases kārtas ietvaros sadarbības iestāde, ja tai ir pieejami valsts budžeta līdzekļi, izvērtējot plānotā avansa apmēru un tā pamatojumu un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90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panta 2. punkta "c" un "d" apakšpunkta nosacījumi par gadījumiem, kādos nepiemēro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saskaņā ar regulas Nr.651/2014 nosacījumiem, netiek piešķirts neatbalstāmās darbībām, kas minētas 1.panta 2.punkta c) un d) apakšpunktā, lūdzam pirms vārda panta pievienot atsauci uz  regulas Nr.651/2014 1.pantu, tas ir, skaitli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1. panta 2. punkta "c" un "d" apakšpunkta nosacījumi par gadījumiem, kādos nepiemēro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sniegtajai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1. panta 2. punkta "c" un "d" apakšpunkta nosacījumi par gadījumiem, kādos nepiemēro regulu Nr. 651/2014;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sinerģiju un papildinātību ar Eiropas Savienības un citiem atbalsta instrumentiem, kā arī kā tiks nodrošināta demarkācija.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 norādot sinerģiju un papildinātību ar citiem Eiropas Savienības un citiem atbalsta instrumentiem un kā tiks nodrošināta demarkācija.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21.2.2. apakšpunktā paredzēto, ka ceturtajā atlases kārtā kā sadarbības partneri var piesaistīt valsts kapitālsabiedrību, kuras īpašumā vai valdījumā ir nekustamais īpašums, kas atrodas Natura 2000 teritorijā vai tai piegulošā teritorijā, ja kapitālsabiedrībai deleģētajos pārvaldes uzdevumos ietilpst šo īpašumu apsaimniekošana, pārvaldība vai aizsardzība, lūdzam anotācijas 1.3.sadaļā attiecībā uz ceturtās kārtas ietvaros norādīto, ka valsts budžeta līdzfinansējums paredzēts gadījumos, ja kā sadarbības partneris tiek piesaistīta valsts kapitālsabiedrība, kas īsteno valsts deleģēto pārvaldes uzdevumu izpildi, papildināt ar informāciju, vai un cik ir tādu valsts kapitālsabiedrību, kas atbilstoši noteikumu projekta 21.2.2. apakšpunktā paredzētajam varētu būt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indikatīvu kapitālsabiedrību uzskaitījumu, kas piedalīsies 2.2.3.3. pasākuma ceturtās atlases kārtas projektu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amatu klasificēšanai un ievērojot Kritērijus amatu klasificēšanai projektos lūdzam informāciju Anotācijas 1.3.sadaļā informāciju par amatu klasifikācijām projektā iesaistītajam personālam izteikt sekojošā redakcijā “Projektu iesniegumu trešajā atlases kārtā projektu vadībā iesaistīts personāls, kas saskaņā ar MK noteikumiem Nr. 262 pieder pie sekojošām amatu saimēm -  pie amatu saimes nr. 39.1 IVA līmenis un 11. mēnešalgu grupa (Projektu vadītājs), IVB līmenis un 11 mēnešalgu grupa  , Vadošais sugu un biotopu aizsardzības jomas eksperts), III līmenis un 10. mēnešalgu grupa (Projekta koordinators), IIB līmenis 9. mēnešalgu grupa (Sugu un biotopu aizsardzības jomas eksperts mežu biotopu grupai, Sugu un biotopu aizsardzības jomas eksperts purvu biotopu grupai, Sugu un biotopu aizsardzības jomas eksperts zālāju biotopu grupai, Sugu un biotopu aizsardzības jomas eksperts saldūdeņu biotopu grupai), pie 26. amatu saimes  II. līmeņa un  9. mēnešalgu grupas (vecākais komunikācijas speciālists), pie 23. amatu saimes IV līmeņa 10. mēnešalgu grupas (vecākais kartogrāfijas inženieris), pie 15.1. amatu saimes II līmeņa un 9. mēnešalgu grupas (Projekta finanšu eksperts), pie 3. amatu saimes  III. Līmeņa  un  8. mēnešalgu grupas (Projekta īpašumu pārvaldības eksperts), un pie 2. amatu saimes IV līmeņa un 9. mēnešalgu grupas (Projekta iepirkumu un līgumu vadības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veikti labojumi saskaņā ar MK noteikumiem nr. 262 un Valsts kancelejas izstrādātajiem kritērijiem amatu klasificēšanai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Regulas 2021/1060 64. panta 1. punkta "c" apakšpunkta "i" punkta izriet, ka </w:t>
            </w:r>
            <w:r w:rsidR="00000000" w:rsidRPr="00000000" w:rsidDel="00000000">
              <w:rPr>
                <w:u w:val="single"/>
                <w:rtl w:val="0"/>
              </w:rPr>
              <w:t xml:space="preserve">darbībām (t.i. projektiem), 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w:t>
            </w:r>
            <w:r w:rsidR="00000000" w:rsidRPr="00000000" w:rsidDel="00000000">
              <w:rPr>
                <w:u w:val="single"/>
                <w:rtl w:val="0"/>
              </w:rPr>
              <w:t xml:space="preserve">darbībām (t.i. projektiem), kuru kopējās izmaksas ir vismaz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 Savukārt projektos, kur tiek sniegts komercdarbības atbalsts, neatkarīgi no projekta kopējo izmaksu summas, pievienotās vērtības nodokļa izmaksas ir attiecināmas gadījumos, kad tas nav atgūstams saskaņā ar pievienotās vērtības nodokli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anotācijas 1.3. sadaļas apakšsadaļā "Risinājuma apraksts"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labojumi norādot pievienotās vērtības izmaksu attiecināmību priekšlikumā minētos gadījumus, kad projekta izmaksu summa ir mazāka kā 5 000 000 </w:t>
            </w:r>
            <w:r w:rsidR="00000000" w:rsidRPr="00000000" w:rsidDel="00000000">
              <w:rPr>
                <w:i w:val="1"/>
                <w:rtl w:val="0"/>
              </w:rPr>
              <w:t xml:space="preserve">euro </w:t>
            </w:r>
            <w:r w:rsidR="00000000" w:rsidRPr="00000000" w:rsidDel="00000000">
              <w:rPr>
                <w:rtl w:val="0"/>
              </w:rPr>
              <w:t xml:space="preserve">(ieskaitot pievienotās vērtības nodokli), gan gadījumos kad ir vismaz 5 000 000 </w:t>
            </w:r>
            <w:r w:rsidR="00000000" w:rsidRPr="00000000" w:rsidDel="00000000">
              <w:rPr>
                <w:i w:val="1"/>
                <w:rtl w:val="0"/>
              </w:rPr>
              <w:t xml:space="preserve">euro </w:t>
            </w:r>
            <w:r w:rsidR="00000000" w:rsidRPr="00000000" w:rsidDel="00000000">
              <w:rPr>
                <w:rtl w:val="0"/>
              </w:rPr>
              <w:t xml:space="preserve">(ieskaitot pievienotās vērtības nodokli), gan ja projektā tiek sniegts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punktā “Cita informācija” norādītā informācija par uzturēšanas izmaksām šobrīd nesniedz pietiekamu informāciju, ka attiecīgās izmaksu pozīcijas pēc būtības atbilst projekta ietvaros izveidojamo rezultātu uzturēšanai, attiecīgi lūdzam anotācijas 3.sadaļas punktā “Cita informācija” attiecībā uz uzturēšanas izmaksām papildināt ar norādi, ka uzturēšanas izmaksas šobrīd noteiktas indikatīvi un detalizēts to aprēķins un pamatojums tiks sniegts, pieprasot tām finansējumu normatīvajos aktos noteiktajā kārtībā pēc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punkta “Cita informācija” norādītā informācija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kur norādīts izdevumu proporcionālais dalījums pa gadiem, lūdzam precizēt procentuālo apmēru 2029.gadam no 14,47% uz 17,47%, savukārt procentuālo apmēru 2025.gadam un 2030.gadam nepieciešams noapaļot, lai kopā pa gadiem veidotu 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procentuālais apmērs 2029. gadam un 2025.gada procentuālā vērtību noapaļota un kopā visas procentuālās vērtības pa gadiem veido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valsts budžeta sadalījumu pa gadiem, jo saskaitot kopā norādīto valsts budžeta finansējumu kopsumma veidojas par  1 euro mazāk. t.i.  2 823 529 euro apmērā, nevis kā norādīts 2 823 530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3.sadaļas 6. punkts norādot korektus un precīzus ieņēmumu un izdevumu aprēķinus.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24-TA-2714</w:t>
    </w:r>
    <w:r>
      <w:br/>
    </w:r>
    <w:r w:rsidR="00000000" w:rsidRPr="00000000" w:rsidDel="00000000">
      <w:rPr>
        <w:rtl w:val="0"/>
      </w:rPr>
      <w:t xml:space="preserve">28.01.2025. 14.17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24-TA-2714</w:t>
    </w:r>
    <w:r>
      <w:br/>
    </w:r>
    <w:r w:rsidR="00000000" w:rsidRPr="00000000" w:rsidDel="00000000">
      <w:rPr>
        <w:rtl w:val="0"/>
      </w:rPr>
      <w:t xml:space="preserve">28.01.2025. 14.17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Izziņa_24-TA-2714.docx</dc:title>
</cp:coreProperties>
</file>

<file path=docProps/custom.xml><?xml version="1.0" encoding="utf-8"?>
<Properties xmlns="http://schemas.openxmlformats.org/officeDocument/2006/custom-properties" xmlns:vt="http://schemas.openxmlformats.org/officeDocument/2006/docPropsVTypes"/>
</file>