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68B2470" w14:textId="77777777" w:rsidR="006717AA" w:rsidRDefault="0008488D">
      <w:pPr>
        <w:spacing w:before="240" w:after="240"/>
        <w:rPr>
          <w:b/>
          <w:sz w:val="28"/>
        </w:rPr>
      </w:pPr>
      <w:r>
        <w:rPr>
          <w:b/>
          <w:sz w:val="28"/>
        </w:rPr>
        <w:t>25-TA-3014: Informatīvais ziņojums (Jauns)</w:t>
      </w:r>
    </w:p>
    <w:p w14:paraId="13019DA7" w14:textId="77777777" w:rsidR="006717AA" w:rsidRDefault="0008488D">
      <w:pPr>
        <w:pStyle w:val="titleparagraph"/>
        <w:contextualSpacing w:val="0"/>
      </w:pPr>
      <w:r>
        <w:t>Par vienotas patērētāju kreditētāju licencēšanas un uzraudzības institūcijas noteikšanu</w:t>
      </w:r>
    </w:p>
    <w:tbl>
      <w:tblPr>
        <w:tblStyle w:val="a"/>
        <w:tblW w:w="14567" w:type="dxa"/>
        <w:tblLayout w:type="fixed"/>
        <w:tblLook w:val="0600" w:firstRow="0" w:lastRow="0" w:firstColumn="0" w:lastColumn="0" w:noHBand="1" w:noVBand="1"/>
      </w:tblPr>
      <w:tblGrid>
        <w:gridCol w:w="2147"/>
        <w:gridCol w:w="12420"/>
      </w:tblGrid>
      <w:tr w:rsidR="006717AA" w14:paraId="0A1C40EC" w14:textId="77777777">
        <w:tc>
          <w:tcPr>
            <w:tcW w:w="4506" w:type="dxa"/>
            <w:shd w:val="clear" w:color="auto" w:fill="FFFFFF"/>
            <w:noWrap/>
            <w:tcMar>
              <w:top w:w="75" w:type="dxa"/>
              <w:left w:w="75" w:type="dxa"/>
              <w:bottom w:w="75" w:type="dxa"/>
              <w:right w:w="75" w:type="dxa"/>
            </w:tcMar>
            <w:vAlign w:val="center"/>
          </w:tcPr>
          <w:p w14:paraId="4009D5A7" w14:textId="77777777" w:rsidR="006717AA" w:rsidRDefault="0008488D">
            <w:r>
              <w:rPr>
                <w:b/>
              </w:rPr>
              <w:t>Iestāde:</w:t>
            </w:r>
          </w:p>
        </w:tc>
        <w:tc>
          <w:tcPr>
            <w:tcW w:w="27042" w:type="dxa"/>
            <w:shd w:val="clear" w:color="auto" w:fill="FFFFFF"/>
            <w:noWrap/>
            <w:tcMar>
              <w:top w:w="75" w:type="dxa"/>
              <w:left w:w="75" w:type="dxa"/>
              <w:bottom w:w="75" w:type="dxa"/>
              <w:right w:w="75" w:type="dxa"/>
            </w:tcMar>
            <w:vAlign w:val="center"/>
          </w:tcPr>
          <w:p w14:paraId="5456342B" w14:textId="1DA469C0" w:rsidR="006717AA" w:rsidRDefault="003A3B57">
            <w:r w:rsidRPr="003A3B57">
              <w:rPr>
                <w:b/>
              </w:rPr>
              <w:t>AS “4finance”</w:t>
            </w:r>
          </w:p>
        </w:tc>
      </w:tr>
    </w:tbl>
    <w:p w14:paraId="78F35567" w14:textId="77777777" w:rsidR="006717AA" w:rsidRDefault="006717AA"/>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642"/>
        <w:gridCol w:w="2127"/>
        <w:gridCol w:w="5386"/>
        <w:gridCol w:w="4820"/>
        <w:gridCol w:w="1592"/>
      </w:tblGrid>
      <w:tr w:rsidR="006717AA" w14:paraId="606E6DC7" w14:textId="77777777" w:rsidTr="4A8A999E">
        <w:tc>
          <w:tcPr>
            <w:tcW w:w="642" w:type="dxa"/>
            <w:shd w:val="clear" w:color="auto" w:fill="FFFFFF" w:themeFill="background1"/>
            <w:noWrap/>
            <w:tcMar>
              <w:top w:w="75" w:type="dxa"/>
              <w:left w:w="75" w:type="dxa"/>
              <w:bottom w:w="75" w:type="dxa"/>
              <w:right w:w="75" w:type="dxa"/>
            </w:tcMar>
            <w:vAlign w:val="center"/>
          </w:tcPr>
          <w:p w14:paraId="2A204F0C" w14:textId="77777777" w:rsidR="006717AA" w:rsidRDefault="0008488D">
            <w:pPr>
              <w:jc w:val="center"/>
              <w:rPr>
                <w:b/>
              </w:rPr>
            </w:pPr>
            <w:r>
              <w:rPr>
                <w:b/>
              </w:rPr>
              <w:t>Nr.p.k.</w:t>
            </w:r>
          </w:p>
        </w:tc>
        <w:tc>
          <w:tcPr>
            <w:tcW w:w="2127" w:type="dxa"/>
            <w:shd w:val="clear" w:color="auto" w:fill="FFFFFF" w:themeFill="background1"/>
            <w:noWrap/>
            <w:tcMar>
              <w:top w:w="75" w:type="dxa"/>
              <w:left w:w="75" w:type="dxa"/>
              <w:bottom w:w="75" w:type="dxa"/>
              <w:right w:w="75" w:type="dxa"/>
            </w:tcMar>
            <w:vAlign w:val="center"/>
          </w:tcPr>
          <w:p w14:paraId="3485584D" w14:textId="77777777" w:rsidR="006717AA" w:rsidRDefault="0008488D">
            <w:pPr>
              <w:jc w:val="center"/>
              <w:rPr>
                <w:b/>
              </w:rPr>
            </w:pPr>
            <w:r>
              <w:rPr>
                <w:b/>
              </w:rPr>
              <w:t>Saskaņošanai nosūtītā projekta redakcija</w:t>
            </w:r>
          </w:p>
        </w:tc>
        <w:tc>
          <w:tcPr>
            <w:tcW w:w="5386" w:type="dxa"/>
            <w:shd w:val="clear" w:color="auto" w:fill="FFFFFF" w:themeFill="background1"/>
            <w:noWrap/>
            <w:tcMar>
              <w:top w:w="75" w:type="dxa"/>
              <w:left w:w="75" w:type="dxa"/>
              <w:bottom w:w="75" w:type="dxa"/>
              <w:right w:w="75" w:type="dxa"/>
            </w:tcMar>
            <w:vAlign w:val="center"/>
          </w:tcPr>
          <w:p w14:paraId="7A994CBF" w14:textId="77777777" w:rsidR="006717AA" w:rsidRDefault="0008488D">
            <w:pPr>
              <w:jc w:val="center"/>
              <w:rPr>
                <w:b/>
              </w:rPr>
            </w:pPr>
            <w:r>
              <w:rPr>
                <w:b/>
              </w:rPr>
              <w:t>Iebildums / Priekšlikums</w:t>
            </w:r>
          </w:p>
        </w:tc>
        <w:tc>
          <w:tcPr>
            <w:tcW w:w="4820" w:type="dxa"/>
            <w:shd w:val="clear" w:color="auto" w:fill="FFFFFF" w:themeFill="background1"/>
            <w:noWrap/>
            <w:tcMar>
              <w:top w:w="75" w:type="dxa"/>
              <w:left w:w="75" w:type="dxa"/>
              <w:bottom w:w="75" w:type="dxa"/>
              <w:right w:w="75" w:type="dxa"/>
            </w:tcMar>
            <w:vAlign w:val="center"/>
          </w:tcPr>
          <w:p w14:paraId="6622463A" w14:textId="77777777" w:rsidR="006717AA" w:rsidRDefault="0008488D">
            <w:pPr>
              <w:jc w:val="center"/>
              <w:rPr>
                <w:b/>
              </w:rPr>
            </w:pPr>
            <w:r>
              <w:rPr>
                <w:b/>
              </w:rPr>
              <w:t>Apstrādes informācija</w:t>
            </w:r>
          </w:p>
        </w:tc>
        <w:tc>
          <w:tcPr>
            <w:tcW w:w="1592" w:type="dxa"/>
            <w:shd w:val="clear" w:color="auto" w:fill="FFFFFF" w:themeFill="background1"/>
            <w:noWrap/>
            <w:tcMar>
              <w:top w:w="75" w:type="dxa"/>
              <w:left w:w="75" w:type="dxa"/>
              <w:bottom w:w="75" w:type="dxa"/>
              <w:right w:w="75" w:type="dxa"/>
            </w:tcMar>
            <w:vAlign w:val="center"/>
          </w:tcPr>
          <w:p w14:paraId="4BED0F3D" w14:textId="77777777" w:rsidR="006717AA" w:rsidRDefault="0008488D">
            <w:pPr>
              <w:jc w:val="center"/>
              <w:rPr>
                <w:b/>
              </w:rPr>
            </w:pPr>
            <w:r>
              <w:rPr>
                <w:b/>
              </w:rPr>
              <w:t>Galīgā redakcija</w:t>
            </w:r>
          </w:p>
        </w:tc>
      </w:tr>
      <w:tr w:rsidR="006717AA" w14:paraId="5F247C93" w14:textId="77777777" w:rsidTr="4A8A999E">
        <w:tc>
          <w:tcPr>
            <w:tcW w:w="14567" w:type="dxa"/>
            <w:gridSpan w:val="5"/>
            <w:shd w:val="clear" w:color="auto" w:fill="FFFFFF" w:themeFill="background1"/>
            <w:noWrap/>
            <w:tcMar>
              <w:top w:w="75" w:type="dxa"/>
              <w:left w:w="75" w:type="dxa"/>
              <w:bottom w:w="75" w:type="dxa"/>
              <w:right w:w="75" w:type="dxa"/>
            </w:tcMar>
            <w:vAlign w:val="center"/>
          </w:tcPr>
          <w:p w14:paraId="0776443D" w14:textId="77777777" w:rsidR="006717AA" w:rsidRDefault="0008488D">
            <w:r>
              <w:rPr>
                <w:b/>
              </w:rPr>
              <w:t>Izsludināšana: 19.01.2026. 15:02</w:t>
            </w:r>
          </w:p>
        </w:tc>
      </w:tr>
      <w:tr w:rsidR="006717AA" w14:paraId="5D27FC34" w14:textId="77777777" w:rsidTr="4A8A999E">
        <w:tc>
          <w:tcPr>
            <w:tcW w:w="642" w:type="dxa"/>
            <w:shd w:val="clear" w:color="auto" w:fill="FFFFFF" w:themeFill="background1"/>
            <w:noWrap/>
            <w:tcMar>
              <w:top w:w="75" w:type="dxa"/>
              <w:left w:w="75" w:type="dxa"/>
              <w:bottom w:w="75" w:type="dxa"/>
              <w:right w:w="75" w:type="dxa"/>
            </w:tcMar>
          </w:tcPr>
          <w:p w14:paraId="15CBF7E2" w14:textId="77777777" w:rsidR="006717AA" w:rsidRDefault="0008488D">
            <w:r>
              <w:t>1.</w:t>
            </w:r>
          </w:p>
        </w:tc>
        <w:tc>
          <w:tcPr>
            <w:tcW w:w="2127" w:type="dxa"/>
            <w:shd w:val="clear" w:color="auto" w:fill="FFFFFF" w:themeFill="background1"/>
            <w:noWrap/>
            <w:tcMar>
              <w:top w:w="75" w:type="dxa"/>
              <w:left w:w="75" w:type="dxa"/>
              <w:bottom w:w="75" w:type="dxa"/>
              <w:right w:w="75" w:type="dxa"/>
            </w:tcMar>
          </w:tcPr>
          <w:p w14:paraId="4CF162D5" w14:textId="77777777" w:rsidR="006717AA" w:rsidRDefault="0008488D">
            <w:pPr>
              <w:spacing w:after="240"/>
              <w:rPr>
                <w:b/>
              </w:rPr>
            </w:pPr>
            <w:r>
              <w:rPr>
                <w:b/>
              </w:rPr>
              <w:t>Informatīvais ziņojums</w:t>
            </w:r>
          </w:p>
          <w:p w14:paraId="63695507" w14:textId="77777777" w:rsidR="006717AA" w:rsidRDefault="0008488D">
            <w:r>
              <w:t>Informatīvais ziņojums "Par vienotas patērētāju kreditētāju licencēšanas un uzraudzības institūcijas noteikšanu"</w:t>
            </w:r>
          </w:p>
        </w:tc>
        <w:tc>
          <w:tcPr>
            <w:tcW w:w="5386" w:type="dxa"/>
            <w:shd w:val="clear" w:color="auto" w:fill="FFFFFF" w:themeFill="background1"/>
            <w:noWrap/>
            <w:tcMar>
              <w:top w:w="75" w:type="dxa"/>
              <w:left w:w="75" w:type="dxa"/>
              <w:bottom w:w="75" w:type="dxa"/>
              <w:right w:w="75" w:type="dxa"/>
            </w:tcMar>
          </w:tcPr>
          <w:p w14:paraId="6330AA43" w14:textId="5D4C7D11" w:rsidR="002B43AA" w:rsidRPr="002B43AA" w:rsidRDefault="002B43AA" w:rsidP="002B43AA">
            <w:pPr>
              <w:spacing w:after="240"/>
              <w:rPr>
                <w:b/>
              </w:rPr>
            </w:pPr>
            <w:r w:rsidRPr="002B43AA">
              <w:rPr>
                <w:b/>
              </w:rPr>
              <w:t>Iebildums (</w:t>
            </w:r>
            <w:r w:rsidR="003A3B57" w:rsidRPr="003A3B57">
              <w:rPr>
                <w:b/>
              </w:rPr>
              <w:t>AS “4finance”</w:t>
            </w:r>
            <w:r w:rsidR="003A3B57">
              <w:rPr>
                <w:b/>
              </w:rPr>
              <w:t xml:space="preserve"> </w:t>
            </w:r>
            <w:r w:rsidRPr="002B43AA">
              <w:rPr>
                <w:b/>
              </w:rPr>
              <w:t xml:space="preserve">- 23.01.2026. (ārpus </w:t>
            </w:r>
            <w:r>
              <w:rPr>
                <w:b/>
              </w:rPr>
              <w:t>TAP</w:t>
            </w:r>
            <w:r w:rsidRPr="002B43AA">
              <w:rPr>
                <w:b/>
              </w:rPr>
              <w:t>)</w:t>
            </w:r>
            <w:r>
              <w:rPr>
                <w:b/>
              </w:rPr>
              <w:t>)</w:t>
            </w:r>
          </w:p>
          <w:p w14:paraId="22386A7E" w14:textId="77777777" w:rsidR="003A3B57" w:rsidRDefault="003A3B57" w:rsidP="002B43AA">
            <w:r w:rsidRPr="003A3B57">
              <w:t>Par Finanšu ministrijas informatīvo ziņojumu</w:t>
            </w:r>
          </w:p>
          <w:p w14:paraId="44D82EC5" w14:textId="77777777" w:rsidR="003A3B57" w:rsidRDefault="003A3B57" w:rsidP="002B43AA"/>
          <w:p w14:paraId="3C5E7330" w14:textId="77777777" w:rsidR="003A3B57" w:rsidRDefault="003A3B57" w:rsidP="002B43AA">
            <w:r w:rsidRPr="003A3B57">
              <w:t xml:space="preserve">AS “4finance” (turpmāk – Sabiedrība) ir iepazinusies ar Finanšu ministrijas Informatīvo ziņojumu “Par vienotas patērētāju kreditētāju licencēšanas un uzraudzības institūcijas noteikšanu” (turpmāk – Ziņojums) un tā pielikumu. </w:t>
            </w:r>
          </w:p>
          <w:p w14:paraId="5883E5CD" w14:textId="77777777" w:rsidR="003A3B57" w:rsidRDefault="003A3B57" w:rsidP="002B43AA"/>
          <w:p w14:paraId="2DAB750E" w14:textId="77777777" w:rsidR="003A3B57" w:rsidRDefault="003A3B57" w:rsidP="002B43AA">
            <w:r w:rsidRPr="003A3B57">
              <w:t xml:space="preserve">Papildus 06.01.2026. sniegtajiem iebildumiem, Sabiedrība vēlas vērst uzmanību arī citiem apstākļiem, kas liecina par būtiskiem riskiem saistībā Patērētāju tiesību aizsardzības centra (turpmāk – PTAC) nebanku patērētāju kreditēšanas pakalpojumu sniedzēju uzraudzības funkciju nodošanu Latvijas Bankai. </w:t>
            </w:r>
          </w:p>
          <w:p w14:paraId="5E8AF651" w14:textId="77777777" w:rsidR="003A3B57" w:rsidRDefault="003A3B57" w:rsidP="002B43AA"/>
          <w:p w14:paraId="09FE3D00" w14:textId="77777777" w:rsidR="003A3B57" w:rsidRDefault="003A3B57" w:rsidP="002B43AA">
            <w:pPr>
              <w:rPr>
                <w:b/>
                <w:bCs/>
              </w:rPr>
            </w:pPr>
            <w:r w:rsidRPr="003A3B57">
              <w:rPr>
                <w:b/>
                <w:bCs/>
              </w:rPr>
              <w:lastRenderedPageBreak/>
              <w:t xml:space="preserve">1. Latvijas Bankas esošās uzraudzības funkcijas un to sarežģītība </w:t>
            </w:r>
          </w:p>
          <w:p w14:paraId="1263B621" w14:textId="77777777" w:rsidR="003A3B57" w:rsidRPr="003A3B57" w:rsidRDefault="003A3B57" w:rsidP="002B43AA">
            <w:pPr>
              <w:rPr>
                <w:b/>
                <w:bCs/>
              </w:rPr>
            </w:pPr>
          </w:p>
          <w:p w14:paraId="02B65982" w14:textId="77777777" w:rsidR="003A3B57" w:rsidRDefault="003A3B57" w:rsidP="002B43AA">
            <w:r w:rsidRPr="003A3B57">
              <w:t>Latvijas Bankas uzraudzības tvērums jau šobrīd ietver plašu un sarežģītu finanšu sektora spektru: kredītiestādes, maksājumu un e</w:t>
            </w:r>
            <w:r w:rsidRPr="003A3B57">
              <w:noBreakHyphen/>
              <w:t>naudas iestādes, apdrošināšanas sabiedrības, ieguldījumu un pensiju pakalpojumu sniedzējus, krājaizdevu sabiedrības, kapitāla tirgu un alternatīvos fondus, kā arī Eiropas Parlamenta un Padomes 2023.gada 31.maija regulas (ES) 2023/1114 par kriptoaktīvu tirgiem (MiCA) un Digitālās darbības noturības akta (DORA) prasības. Šī kombinācija rada augstu uzraudzības intensitāti un nepieciešamību nodrošināt specializētas zināšanas vairākos riska segmentos vienlaikus, kas reāla tirgus apstākļos var mazināt iestādes iespējas ilgtermiņā atvēlēt pietiekami daudz laika un resursu, lai garantētu kvalitatīvu uzraudzību katrā no attiecīgajiem segmentiem.</w:t>
            </w:r>
          </w:p>
          <w:p w14:paraId="619C43F2" w14:textId="77777777" w:rsidR="003A3B57" w:rsidRDefault="003A3B57" w:rsidP="002B43AA"/>
          <w:p w14:paraId="48ACD14A" w14:textId="77777777" w:rsidR="003A3B57" w:rsidRDefault="003A3B57" w:rsidP="002B43AA">
            <w:pPr>
              <w:rPr>
                <w:b/>
                <w:bCs/>
              </w:rPr>
            </w:pPr>
            <w:r w:rsidRPr="003A3B57">
              <w:rPr>
                <w:b/>
                <w:bCs/>
              </w:rPr>
              <w:t>2. Personāla un iekšējās kapacitātes ierobežojumi</w:t>
            </w:r>
          </w:p>
          <w:p w14:paraId="17F803A0" w14:textId="77777777" w:rsidR="003A3B57" w:rsidRPr="003A3B57" w:rsidRDefault="003A3B57" w:rsidP="002B43AA">
            <w:pPr>
              <w:rPr>
                <w:b/>
                <w:bCs/>
              </w:rPr>
            </w:pPr>
          </w:p>
          <w:p w14:paraId="13C5C769" w14:textId="77777777" w:rsidR="003A3B57" w:rsidRDefault="003A3B57" w:rsidP="002B43AA">
            <w:r w:rsidRPr="003A3B57">
              <w:t xml:space="preserve"> Latvijas Banka 2024.gada pārskatā norāda, ka darba slodze ir uzlabojama joma. Latvijas Bankā strādā 531 darbinieks </w:t>
            </w:r>
            <w:r>
              <w:t>(</w:t>
            </w:r>
            <w:r w:rsidRPr="003A3B57">
              <w:t xml:space="preserve">Pieejams: </w:t>
            </w:r>
            <w:hyperlink r:id="rId8" w:history="1">
              <w:r w:rsidRPr="00FC354A">
                <w:rPr>
                  <w:rStyle w:val="Hyperlink"/>
                </w:rPr>
                <w:t>https://datnes.latvijasbanka.lv/gada/GP/LB_GP_2024.pdf?_gl=1*uhdvtp*_ga*MzEyMDIwMjgwLjE3N</w:t>
              </w:r>
            </w:hyperlink>
            <w:r>
              <w:t>)</w:t>
            </w:r>
            <w:r w:rsidRPr="003A3B57">
              <w:t xml:space="preserve"> (2024. gada beigas), vienlaikus tiek īstenotas 1 Latvijas Bankas 2024.gada pārskats. Latvijas Banka. būtiskas reformas – MiCA, DORA, finanšu pieejamības projekti, ECB/VUM uzraudzības prasības. </w:t>
            </w:r>
          </w:p>
          <w:p w14:paraId="315AC999" w14:textId="77777777" w:rsidR="003A3B57" w:rsidRDefault="003A3B57" w:rsidP="002B43AA"/>
          <w:p w14:paraId="016A9E68" w14:textId="77777777" w:rsidR="003A3B57" w:rsidRDefault="003A3B57" w:rsidP="002B43AA">
            <w:r w:rsidRPr="003A3B57">
              <w:lastRenderedPageBreak/>
              <w:t xml:space="preserve">Ņemot vērā, ka Latvijas Banka jau 2024. gadā pati atzinusi darba slodzi kā uzlabojamu jomu un ieviešamos projektus, pastāv būtisks risks, ka papildu patērētāju kreditētāju uzraudzības funkciju pārņemšana var pārsniegt pieejamo kapacitāti un radīt kvalitātes kritumu gan Latvijas Bankas pamatfunkciju izpildē, uzraudzībā, gan patērētāju aizsardzībā. </w:t>
            </w:r>
          </w:p>
          <w:p w14:paraId="5B788C30" w14:textId="77777777" w:rsidR="003A3B57" w:rsidRDefault="003A3B57" w:rsidP="002B43AA"/>
          <w:p w14:paraId="33E5F3B8" w14:textId="77777777" w:rsidR="003A3B57" w:rsidRPr="003A3B57" w:rsidRDefault="003A3B57" w:rsidP="002B43AA">
            <w:pPr>
              <w:rPr>
                <w:b/>
                <w:bCs/>
              </w:rPr>
            </w:pPr>
            <w:r w:rsidRPr="003A3B57">
              <w:rPr>
                <w:b/>
                <w:bCs/>
              </w:rPr>
              <w:t>3. NILLTPFN, sankciju un starptautisko prasību pieaugums, kā arī iepriekš konstatētie AML riski</w:t>
            </w:r>
          </w:p>
          <w:p w14:paraId="5367C656" w14:textId="77777777" w:rsidR="003A3B57" w:rsidRDefault="003A3B57" w:rsidP="002B43AA"/>
          <w:p w14:paraId="5AE2FB5E" w14:textId="77777777" w:rsidR="003A3B57" w:rsidRDefault="003A3B57" w:rsidP="002B43AA">
            <w:r w:rsidRPr="003A3B57">
              <w:t xml:space="preserve">Pēdējo gadu laikā vairāki būtiski pārkāpumi finanšu sektorā ir izgaismojuši Latvijas Bankas ievērojamo noslodzi AML un sankciju uzraudzības jomā. Šī situācija apliecina, ka uzraudzības funkciju apjoms jau šobrīd ir ļoti augsts un prasa pastāvīgu uzmanību un resursu ieguldījumu. </w:t>
            </w:r>
          </w:p>
          <w:p w14:paraId="2AAD828C" w14:textId="77777777" w:rsidR="003A3B57" w:rsidRDefault="003A3B57" w:rsidP="002B43AA"/>
          <w:p w14:paraId="108FAF35" w14:textId="77777777" w:rsidR="003A3B57" w:rsidRDefault="003A3B57" w:rsidP="002B43AA">
            <w:r w:rsidRPr="003A3B57">
              <w:t xml:space="preserve">Ņemot vērā minēto, AML un sankciju uzraudzībai Latvijā ir kritiska nozīme, jo jebkura vājā vieta šajā jomā var radīt ne tikai reputācijas un finansiālus zaudējumus, bet arī tiešus valsts drošības riskus. Risku aktualitāti būtiski palielina Krievijas karš Ukrainā, jo finanšu sektors ir viena no centrālajām platformām sankciju apiešanai un nelegālu finanšu plūsmu slēpšanai. Šādos ģeopolitiskos apstākļos uzraudzības efektivitāte ir cieši sasaistīta ar valsts stratēģisko drošību un pieprasa nepārtrauktu kapacitātes, profesionālo kompetenču un tehnoloģisko risinājumu stiprināšanu. </w:t>
            </w:r>
          </w:p>
          <w:p w14:paraId="2B792AC6" w14:textId="77777777" w:rsidR="003A3B57" w:rsidRDefault="003A3B57" w:rsidP="002B43AA"/>
          <w:p w14:paraId="3E376523" w14:textId="77777777" w:rsidR="003A3B57" w:rsidRDefault="003A3B57" w:rsidP="002B43AA">
            <w:r w:rsidRPr="003A3B57">
              <w:lastRenderedPageBreak/>
              <w:t xml:space="preserve">Tādējādi secināms, ka AML un sankciju uzraudzība ir joma ar īpaši augstu riska pakāpi, kur nepietiekama institucionālā kapacitāte var radīt būtiskus reputācijas riskus valstij, apdraudēt finanšu sistēmas stabilitāti un radīt tiešus valsts drošības apdraudējumus. </w:t>
            </w:r>
          </w:p>
          <w:p w14:paraId="3BCF8D30" w14:textId="77777777" w:rsidR="003A3B57" w:rsidRDefault="003A3B57" w:rsidP="002B43AA"/>
          <w:p w14:paraId="7250A3E9" w14:textId="6E2FD371" w:rsidR="003A3B57" w:rsidRDefault="003A3B57" w:rsidP="002B43AA">
            <w:r w:rsidRPr="003A3B57">
              <w:t xml:space="preserve">Ņemot vērā minēto, jāsecina, ka funkciju pārdale nevis samazinās, bet palielinās uzraudzības izmaksas, jo AML un sankciju riski prasa pastiprinātu un nepārtrauktu kapacitātes stiprināšanu, nevis tās samazināšanu. </w:t>
            </w:r>
          </w:p>
          <w:p w14:paraId="7AC823E4" w14:textId="77777777" w:rsidR="003A3B57" w:rsidRDefault="003A3B57" w:rsidP="002B43AA"/>
          <w:p w14:paraId="6D5E8DC7" w14:textId="1AAD05E7" w:rsidR="003A3B57" w:rsidRDefault="003A3B57" w:rsidP="002B43AA">
            <w:r w:rsidRPr="003A3B57">
              <w:t xml:space="preserve">Līdz ar to, pārņemot PTAC funkcijas, Latvijas Bankai neizbēgami būs jāpalielina gan kopējais darbinieku skaits, gan kapacitāte augstākās vadības līmenī, lai nodrošinātu uzraudzības efektivitāti, kas nozīmē, ka Ziņojumā deklarētie mērķi “samazināt izdevumus” un “mazināt administratīvo slogu” faktiski netiks sasniegti. </w:t>
            </w:r>
          </w:p>
          <w:p w14:paraId="3421A50B" w14:textId="77777777" w:rsidR="003A3B57" w:rsidRDefault="003A3B57" w:rsidP="002B43AA"/>
          <w:p w14:paraId="6CF037B7" w14:textId="77777777" w:rsidR="003A3B57" w:rsidRDefault="003A3B57" w:rsidP="002B43AA"/>
          <w:p w14:paraId="4DFC35E1" w14:textId="77777777" w:rsidR="003A3B57" w:rsidRPr="003A3B57" w:rsidRDefault="003A3B57" w:rsidP="002B43AA">
            <w:pPr>
              <w:rPr>
                <w:b/>
                <w:bCs/>
              </w:rPr>
            </w:pPr>
            <w:r w:rsidRPr="003A3B57">
              <w:rPr>
                <w:b/>
                <w:bCs/>
              </w:rPr>
              <w:t xml:space="preserve">4. Patērētāju aizsardzības efektivitāte PTAC uzraudzībā </w:t>
            </w:r>
          </w:p>
          <w:p w14:paraId="5F74F585" w14:textId="77777777" w:rsidR="003A3B57" w:rsidRDefault="003A3B57" w:rsidP="002B43AA"/>
          <w:p w14:paraId="602ED7AF" w14:textId="337DCCB7" w:rsidR="003A3B57" w:rsidRDefault="003A3B57" w:rsidP="002B43AA">
            <w:r w:rsidRPr="003A3B57">
              <w:t>PTAC dati par 2024.gadu liecina, ka nebanku kreditēšanas tirgus ir strauji audzis un no jauna izsniegto patēriņa kredītu skaits bija 93 9402</w:t>
            </w:r>
            <w:r>
              <w:t xml:space="preserve"> (</w:t>
            </w:r>
            <w:r w:rsidRPr="003A3B57">
              <w:t>Pārskats par patērētāju (nebanku) kreditēšanas tirgus darbību 2024.gadā.</w:t>
            </w:r>
            <w:r>
              <w:t xml:space="preserve"> </w:t>
            </w:r>
            <w:r w:rsidRPr="003A3B57">
              <w:t xml:space="preserve">Pieejams: </w:t>
            </w:r>
            <w:hyperlink r:id="rId9" w:history="1">
              <w:r w:rsidRPr="00FC354A">
                <w:rPr>
                  <w:rStyle w:val="Hyperlink"/>
                </w:rPr>
                <w:t>https://www.ptac.gov.lv/lv/media/5274/download?attachment</w:t>
              </w:r>
            </w:hyperlink>
            <w:r>
              <w:t>)</w:t>
            </w:r>
            <w:r w:rsidRPr="003A3B57">
              <w:t xml:space="preserve">, savukārt sūdzību skaits par kreditēšanas pakalpojumiem bija 63, kas salīdzinot ar 2023.gadu </w:t>
            </w:r>
            <w:r w:rsidRPr="003A3B57">
              <w:lastRenderedPageBreak/>
              <w:t>bija sarucis par 23.8 %</w:t>
            </w:r>
            <w:r>
              <w:t xml:space="preserve"> (</w:t>
            </w:r>
            <w:r w:rsidRPr="003A3B57">
              <w:t xml:space="preserve">Par finanšu pakalpojumiem saņemto iesniegumu un sūdzību analīze. Pieejams: </w:t>
            </w:r>
            <w:hyperlink r:id="rId10" w:history="1">
              <w:r w:rsidRPr="00FC354A">
                <w:rPr>
                  <w:rStyle w:val="Hyperlink"/>
                </w:rPr>
                <w:t>https://www.ptac.gov.lv/lv/media/5132/download?attachment</w:t>
              </w:r>
            </w:hyperlink>
            <w:r>
              <w:t>)</w:t>
            </w:r>
            <w:r w:rsidRPr="003A3B57">
              <w:t xml:space="preserve">. Līdz ar to 2024.gadā sūdzību īpatsvars pret izsniegtajiem kredītiem bija 0,067%. Turklāt PTAC sūdzību statistikā par finanšu pakalpojumiem 2024. gadā reģistrētas 1 947 konsultācijas un 252 iesniegumi, kuros dominē parādu atgūšana, bet kreditēšanas sūdzību skaits samazinās. Tas apliecina, ka esošais licencēšanas un uzraudzības ietvars darbojas un masveida sistēmisku trūkumu indikāciju nav. </w:t>
            </w:r>
          </w:p>
          <w:p w14:paraId="4CB88F98" w14:textId="77777777" w:rsidR="003A3B57" w:rsidRDefault="003A3B57" w:rsidP="002B43AA"/>
          <w:p w14:paraId="7241ED28" w14:textId="77777777" w:rsidR="003A3B57" w:rsidRDefault="003A3B57" w:rsidP="002B43AA">
            <w:r w:rsidRPr="003A3B57">
              <w:t xml:space="preserve">Izvērtējot PTAC līdzšinējo darbību, secināms, ka esošais patērētāju tiesību aizsardzības uzraudzības modelis ir efektīvs, funkcionējošs un atbilst mūsdienu patērētāju aizsardzības prasībām. PTAC ir izveidojusies specializēta kompetence tieši patērētāju tiesību un </w:t>
            </w:r>
            <w:proofErr w:type="spellStart"/>
            <w:r w:rsidRPr="003A3B57">
              <w:t>komercprakses</w:t>
            </w:r>
            <w:proofErr w:type="spellEnd"/>
            <w:r w:rsidRPr="003A3B57">
              <w:t xml:space="preserve"> kontroles jomā, kas nodrošina konsekventu pieeju, profesionālu uzraudzības kvalitāti un sabiedrībai saprotamu institucionālo atbildību. </w:t>
            </w:r>
          </w:p>
          <w:p w14:paraId="781D7201" w14:textId="77777777" w:rsidR="003A3B57" w:rsidRDefault="003A3B57" w:rsidP="002B43AA"/>
          <w:p w14:paraId="79A2A15A" w14:textId="77777777" w:rsidR="003A3B57" w:rsidRDefault="003A3B57" w:rsidP="002B43AA">
            <w:r w:rsidRPr="003A3B57">
              <w:t xml:space="preserve">Nav konstatēti sistēmiski darbības trūkumi, kas pamatotu nepieciešamību pēc institucionālām reformām vai funkciju pārdales. Tādējādi, ņemot vērā labas pārvaldības principu, efektīvas un pierādāmi funkcionējošas sistēmas nav jāpārveido, ja nav objektīva un pierādāma pamatojuma. Institucionāla pārbūve, kas nav balstīta skaidrā problēmas identifikācijā, var radīt lielāku risku patērētāju tiesību aizsardzības kvalitātei un kreditēšanas pakalpojumu sniedzēju uzraudzībai nekā potenciālu ieguvumu. </w:t>
            </w:r>
          </w:p>
          <w:p w14:paraId="1292E094" w14:textId="77777777" w:rsidR="003A3B57" w:rsidRDefault="003A3B57" w:rsidP="002B43AA"/>
          <w:p w14:paraId="49E22D4C" w14:textId="77777777" w:rsidR="003A3B57" w:rsidRDefault="003A3B57" w:rsidP="002B43AA">
            <w:r w:rsidRPr="003A3B57">
              <w:t xml:space="preserve">Kopumā, PTAC funkciju nodošana Latvijas Bankai ne tikai nesasniedz identificētu problēmu risinājumu, bet tieši pretēji — rada jaunus riskus: uzraudzības pārslodzi, reputācijas riskus, finanšu drošības vājināšanu un esošās patērētāju aizsardzības efektivitātes mazināšanu. Šāds solis nav samērīgs, nav balstīts uz objektīvajiem datiem un nav savienojams ar Latvijai izvirzītajām starptautiskajām finanšu drošības prasībām. </w:t>
            </w:r>
          </w:p>
          <w:p w14:paraId="1D63C478" w14:textId="77777777" w:rsidR="003A3B57" w:rsidRDefault="003A3B57" w:rsidP="002B43AA"/>
          <w:p w14:paraId="7B4BEECB" w14:textId="7BFFAD6D" w:rsidR="003A3B57" w:rsidRDefault="003A3B57" w:rsidP="002B43AA">
            <w:r w:rsidRPr="003A3B57">
              <w:t>Ņemot vērā iepriekš minētos faktus un identificētos riskus, secināms, ka PTAC funkciju nodošana Latvijas Bankai nav samērīga un pamatota, kā arī tā nevirza Latvijas finanšu uzraudzības sistēmu uz labāku kvalitāti vai lielāku drošību. Tieši pretēji, šāds solis nesasniegs Rīcības plānā deklarētos mērķus, visticamāk palielinās</w:t>
            </w:r>
            <w:r>
              <w:t xml:space="preserve"> </w:t>
            </w:r>
            <w:r w:rsidRPr="003A3B57">
              <w:t xml:space="preserve">uzraudzības izmaksas, kā arī radīs riskus ne tikai patērētāju interešu aizsardzībai, bet arī finanšu sistēmai un samazinās institucionālo līdzsvaru. </w:t>
            </w:r>
          </w:p>
          <w:p w14:paraId="594FCE7E" w14:textId="77777777" w:rsidR="003A3B57" w:rsidRDefault="003A3B57" w:rsidP="002B43AA"/>
          <w:p w14:paraId="3FAB99F0" w14:textId="2B14D583" w:rsidR="006717AA" w:rsidRDefault="003A3B57" w:rsidP="002B43AA">
            <w:r w:rsidRPr="003A3B57">
              <w:t>Līdz ar to Sabiedrība neatbalsta PTAC funkciju saistībā ar patērētāju kreditēšanas pakalpojumu sniedzēju licencēšanu un uzraudzību nodošanu Latvijas Bankai.</w:t>
            </w:r>
          </w:p>
        </w:tc>
        <w:tc>
          <w:tcPr>
            <w:tcW w:w="4820" w:type="dxa"/>
            <w:shd w:val="clear" w:color="auto" w:fill="FFFFFF" w:themeFill="background1"/>
            <w:noWrap/>
            <w:tcMar>
              <w:top w:w="75" w:type="dxa"/>
              <w:left w:w="75" w:type="dxa"/>
              <w:bottom w:w="75" w:type="dxa"/>
              <w:right w:w="75" w:type="dxa"/>
            </w:tcMar>
          </w:tcPr>
          <w:p w14:paraId="3A736647" w14:textId="77777777" w:rsidR="005615E6" w:rsidRPr="005D247D" w:rsidRDefault="7E7D9E3C">
            <w:pPr>
              <w:rPr>
                <w:color w:val="auto"/>
                <w:szCs w:val="24"/>
              </w:rPr>
            </w:pPr>
            <w:r w:rsidRPr="005D247D">
              <w:rPr>
                <w:color w:val="auto"/>
                <w:szCs w:val="24"/>
              </w:rPr>
              <w:lastRenderedPageBreak/>
              <w:t>Kā norādīts informatīvajā ziņojumā, šobrīd normatīvais regulējums paredz, ka kreditētāju licencēšanas, uzraudzības un kontroles funkciju veic trīs nacionāla līmeņa uzraudzības institūcijas – Latvijas Banka, PTAC un VID, un uzraudzības intensitāte un fokuss atšķiras, ņemot vērā konkrēto finanšu pakalpojumu sniedzēju darbībai piemītošo risku.</w:t>
            </w:r>
          </w:p>
          <w:p w14:paraId="3ECB94CE" w14:textId="77777777" w:rsidR="005615E6" w:rsidRPr="005D247D" w:rsidRDefault="003A3B57">
            <w:pPr>
              <w:rPr>
                <w:color w:val="auto"/>
                <w:szCs w:val="24"/>
              </w:rPr>
            </w:pPr>
            <w:r w:rsidRPr="005D247D">
              <w:rPr>
                <w:color w:val="auto"/>
              </w:rPr>
              <w:br/>
            </w:r>
            <w:r w:rsidR="7E7D9E3C" w:rsidRPr="005D247D">
              <w:rPr>
                <w:color w:val="auto"/>
                <w:szCs w:val="24"/>
              </w:rPr>
              <w:t xml:space="preserve">Lai arī dalījums licencējamos un uzraugāmos subjektos ir normatīvajos aktos noteikts, ne vienmēr ir iespējams noteikt precīzu robežšķirtni attiecībā uz vides un ietvara izveidi, kā arī sūdzību izskatīšanu. Ir situācijas, kad, piemēram, kredītiestādes meitas sabiedrībai, kura ir patērētāju kredītu sniedzēja, licenci izsniedz un uzraudzību nodrošina PTAC, bet mātes sabiedrībai, proti, kredītiestādei, uzraudzību nodrošina Latvijas Banka. Tas rada uzraudzības </w:t>
            </w:r>
            <w:r w:rsidR="7E7D9E3C" w:rsidRPr="005D247D">
              <w:rPr>
                <w:color w:val="auto"/>
                <w:szCs w:val="24"/>
              </w:rPr>
              <w:lastRenderedPageBreak/>
              <w:t>sadrumstalotību. Tāpat uzraudzības sadrumstalotība novērojama NILLTPFN jomā starp subjektiem, ko uzrauga PTAC un VID, ņemot vērā to, ka ir tādi pakalpojumu sniedzēji, kas sniedz kreditēšanas pakalpojumus gan patērētājiem, gan juridiskajām personām, kur uzraudzības funkciju veic gan VID, gan PTAC, piemēram, ALTUM. Līdz ar to var veidoties situācija, ka vienam kreditēšanas pakalpojumu sniedzējam ir vairākas uzraudzības iestādes, kas praksē var nozīmēt arī paralēlas klātienes un neklātienes pārbaudes.</w:t>
            </w:r>
          </w:p>
          <w:p w14:paraId="430F9E66" w14:textId="65A84EB6" w:rsidR="005615E6" w:rsidRPr="005D247D" w:rsidRDefault="003A3B57">
            <w:pPr>
              <w:rPr>
                <w:color w:val="auto"/>
                <w:szCs w:val="24"/>
              </w:rPr>
            </w:pPr>
            <w:r w:rsidRPr="005D247D">
              <w:rPr>
                <w:color w:val="auto"/>
              </w:rPr>
              <w:br/>
            </w:r>
            <w:r w:rsidR="7E7D9E3C" w:rsidRPr="005D247D">
              <w:rPr>
                <w:color w:val="auto"/>
                <w:szCs w:val="24"/>
              </w:rPr>
              <w:t>Arī patērētāju sūdzību izskatīšanā tiek iesaistītas vairākas iestādes, jo patērētājam ne vienmēr ir skaidrs, kā sadalās kompetences starp iestādēm gan attiecībā uz pamatkonta regulējumu, gan kreditēšanas līguma nosacījumiem, hipotekāro kredītu pārkreditēšanu vai finanšu pakalpojumu pieejamību reģionos, kas nereti ved pie informācijas sadrumstalotības un interpretācijas atšķirībām iestāžu starpā.</w:t>
            </w:r>
          </w:p>
          <w:p w14:paraId="01C032ED" w14:textId="030168C6" w:rsidR="005615E6" w:rsidRPr="005D247D" w:rsidRDefault="003A3B57">
            <w:pPr>
              <w:rPr>
                <w:color w:val="auto"/>
                <w:szCs w:val="24"/>
              </w:rPr>
            </w:pPr>
            <w:r w:rsidRPr="005D247D">
              <w:rPr>
                <w:color w:val="auto"/>
              </w:rPr>
              <w:br/>
            </w:r>
            <w:r w:rsidR="7E7D9E3C" w:rsidRPr="005D247D">
              <w:rPr>
                <w:color w:val="auto"/>
                <w:szCs w:val="24"/>
              </w:rPr>
              <w:t>Vienlaikus jāatzīmē, ka, pastāvot uzraudzības ietvara sadrumstalotībai un finanšu tirgū ienākot arvien jauniem spēlētājiem, valsts institūciju starpā finanšu un cilvēkresursi netiek efektīvi koncentrēti vienuviet, kas var norādīt uz lieku administratīvo slogu un no funkcijām izrietošu uzdevumu dublēšanos.</w:t>
            </w:r>
          </w:p>
          <w:p w14:paraId="6E4CE9AE" w14:textId="04E07D4E" w:rsidR="003A3B57" w:rsidRPr="005D247D" w:rsidRDefault="003A3B57" w:rsidP="4A8A999E">
            <w:pPr>
              <w:rPr>
                <w:color w:val="auto"/>
              </w:rPr>
            </w:pPr>
            <w:r w:rsidRPr="005D247D">
              <w:rPr>
                <w:color w:val="auto"/>
              </w:rPr>
              <w:br/>
            </w:r>
            <w:r w:rsidR="7E7D9E3C" w:rsidRPr="005D247D">
              <w:rPr>
                <w:color w:val="auto"/>
              </w:rPr>
              <w:t xml:space="preserve">Līdz ar to ar piedāvāto funkciju nodošanu </w:t>
            </w:r>
            <w:r w:rsidR="7E7D9E3C" w:rsidRPr="005D247D">
              <w:rPr>
                <w:color w:val="auto"/>
              </w:rPr>
              <w:lastRenderedPageBreak/>
              <w:t>Latvijas Bankai, tiek mazināta uzraudzības sadrumstalotība, funkciju dublēšanās, kā arī mainoties uzraudzības finansēšanas modelim, nozare iegūst arī finansiālu ietaupījumu, kas var tikt novirzīts kreditēšanas aktivitātei. Papildus jāatzīmē, ka ar šīm plānotajām izmaiņām  nav paredzēts, ka tiks veikta atkārtota licencēšana esošajiem tirgus dalībniekiem vai ieviestas prudenciālās uzraudzības prasības, jo sektors nepiesaista noguldījumus un nav konstatēti šobrīd riski vai citi apsvērumi prudenciālo prasību ieviešanai, saglabājot proporcionalitāti attiecībā pret nozares dalībnieku biznesa modelim piemītošajiem riskiem.</w:t>
            </w:r>
          </w:p>
          <w:p w14:paraId="023B67CD" w14:textId="6EBF7608" w:rsidR="003A3B57" w:rsidRPr="005D247D" w:rsidRDefault="003A3B57" w:rsidP="4A8A999E">
            <w:pPr>
              <w:rPr>
                <w:color w:val="auto"/>
              </w:rPr>
            </w:pPr>
          </w:p>
          <w:p w14:paraId="62360B08" w14:textId="5E3B510D" w:rsidR="003A3B57" w:rsidRDefault="777CEF3A" w:rsidP="4A8A999E">
            <w:pPr>
              <w:rPr>
                <w:color w:val="auto"/>
                <w:szCs w:val="24"/>
              </w:rPr>
            </w:pPr>
            <w:r w:rsidRPr="005D247D">
              <w:rPr>
                <w:color w:val="auto"/>
                <w:szCs w:val="24"/>
              </w:rPr>
              <w:t xml:space="preserve">Latvijas Banka neapšauba PTAC pieredzi patērētāju tiesību aizsardzībā, tomēr finanšu pakalpojumu joma prasa padziļinātu ekonomisko, finanšu un sistēmisko risku analīzi, kas ir centrālās bankas pamatkompetence. </w:t>
            </w:r>
            <w:r w:rsidR="70668B5D" w:rsidRPr="005D247D">
              <w:rPr>
                <w:color w:val="auto"/>
                <w:szCs w:val="24"/>
              </w:rPr>
              <w:t>Pētot ārvalstu praksi, var secināt, ka centrālajām bankām un finanšu uzraugiem arvien biežāk tiek uzticēta arī patērētāju tiesību aizsardzība.</w:t>
            </w:r>
          </w:p>
          <w:p w14:paraId="62E69485" w14:textId="77777777" w:rsidR="005D247D" w:rsidRPr="005D247D" w:rsidRDefault="005D247D" w:rsidP="4A8A999E">
            <w:pPr>
              <w:rPr>
                <w:color w:val="auto"/>
                <w:szCs w:val="24"/>
              </w:rPr>
            </w:pPr>
          </w:p>
          <w:p w14:paraId="0423BE6F" w14:textId="2E191A37" w:rsidR="003A3B57" w:rsidRDefault="70668B5D">
            <w:pPr>
              <w:rPr>
                <w:color w:val="auto"/>
                <w:szCs w:val="24"/>
              </w:rPr>
            </w:pPr>
            <w:r w:rsidRPr="005D247D">
              <w:rPr>
                <w:color w:val="auto"/>
                <w:szCs w:val="24"/>
              </w:rPr>
              <w:t>Prudenciālās uzraudzības neesamība nenozīmē, ka tirgus uzvedības (</w:t>
            </w:r>
            <w:r w:rsidRPr="005D247D">
              <w:rPr>
                <w:i/>
                <w:iCs/>
                <w:color w:val="auto"/>
                <w:szCs w:val="24"/>
              </w:rPr>
              <w:t>conduct</w:t>
            </w:r>
            <w:r w:rsidRPr="005D247D">
              <w:rPr>
                <w:color w:val="auto"/>
                <w:szCs w:val="24"/>
              </w:rPr>
              <w:t>) uzraudzība nav centrālās bankas kompetencē. Tieši tas, ka sektors nerada sistēmisku risku šodien, ir arguments savlaicīgai uzraudzības modernizācijai, nevis tās atlikšanai līdz krīzei.</w:t>
            </w:r>
          </w:p>
          <w:p w14:paraId="25BCA0E1" w14:textId="77777777" w:rsidR="005D247D" w:rsidRPr="005D247D" w:rsidRDefault="005D247D">
            <w:pPr>
              <w:rPr>
                <w:color w:val="auto"/>
                <w:szCs w:val="24"/>
              </w:rPr>
            </w:pPr>
          </w:p>
          <w:p w14:paraId="03AFF1A1" w14:textId="7EE050B0" w:rsidR="003A3B57" w:rsidRPr="005D247D" w:rsidRDefault="70668B5D">
            <w:pPr>
              <w:rPr>
                <w:color w:val="auto"/>
                <w:szCs w:val="24"/>
              </w:rPr>
            </w:pPr>
            <w:r w:rsidRPr="005D247D">
              <w:rPr>
                <w:color w:val="auto"/>
                <w:szCs w:val="24"/>
              </w:rPr>
              <w:lastRenderedPageBreak/>
              <w:t>Līdz ar to vienota patērētāju kreditēšanas uzrauga noteikšana Latvijas Bankas personā ir samērīgs, starptautiskai praksei atbilstošs un ilgtermiņā patērētājiem un finanšu sistēmai izdevīgs risinājums.</w:t>
            </w:r>
          </w:p>
          <w:p w14:paraId="353D523F" w14:textId="43619490" w:rsidR="003A3B57" w:rsidRPr="005615E6" w:rsidRDefault="003A3B57" w:rsidP="4A8A999E">
            <w:pPr>
              <w:rPr>
                <w:color w:val="FF0000"/>
              </w:rPr>
            </w:pPr>
          </w:p>
        </w:tc>
        <w:tc>
          <w:tcPr>
            <w:tcW w:w="1592" w:type="dxa"/>
            <w:shd w:val="clear" w:color="auto" w:fill="FFFFFF" w:themeFill="background1"/>
            <w:noWrap/>
            <w:tcMar>
              <w:top w:w="75" w:type="dxa"/>
              <w:left w:w="75" w:type="dxa"/>
              <w:bottom w:w="75" w:type="dxa"/>
              <w:right w:w="75" w:type="dxa"/>
            </w:tcMar>
          </w:tcPr>
          <w:p w14:paraId="0C890E5C" w14:textId="77777777" w:rsidR="006717AA" w:rsidRDefault="0008488D">
            <w:pPr>
              <w:spacing w:after="240"/>
              <w:rPr>
                <w:b/>
              </w:rPr>
            </w:pPr>
            <w:r>
              <w:rPr>
                <w:b/>
              </w:rPr>
              <w:lastRenderedPageBreak/>
              <w:t>Informatīvais ziņojums</w:t>
            </w:r>
          </w:p>
          <w:p w14:paraId="00F8A03D" w14:textId="77777777" w:rsidR="006717AA" w:rsidRDefault="0008488D">
            <w:r>
              <w:t>-</w:t>
            </w:r>
          </w:p>
        </w:tc>
      </w:tr>
    </w:tbl>
    <w:p w14:paraId="3676D7DD" w14:textId="77777777" w:rsidR="0008488D" w:rsidRDefault="0008488D"/>
    <w:sectPr w:rsidR="0008488D" w:rsidSect="002B43AA">
      <w:headerReference w:type="default" r:id="rId11"/>
      <w:footerReference w:type="default" r:id="rId12"/>
      <w:headerReference w:type="first" r:id="rId13"/>
      <w:footerReference w:type="first" r:id="rId14"/>
      <w:pgSz w:w="16833" w:h="11908" w:orient="landscape"/>
      <w:pgMar w:top="1133" w:right="673" w:bottom="1133" w:left="99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CECE5" w14:textId="77777777" w:rsidR="00B4712B" w:rsidRDefault="00B4712B">
      <w:r>
        <w:separator/>
      </w:r>
    </w:p>
  </w:endnote>
  <w:endnote w:type="continuationSeparator" w:id="0">
    <w:p w14:paraId="4EC2744A" w14:textId="77777777" w:rsidR="00B4712B" w:rsidRDefault="00B4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7C023" w14:textId="77777777" w:rsidR="006717AA" w:rsidRDefault="0008488D">
    <w:pPr>
      <w:jc w:val="right"/>
    </w:pPr>
    <w:r>
      <w:rPr>
        <w:szCs w:val="24"/>
      </w:rPr>
      <w:fldChar w:fldCharType="begin"/>
    </w:r>
    <w:r>
      <w:rPr>
        <w:szCs w:val="24"/>
      </w:rPr>
      <w:instrText>PAGE</w:instrText>
    </w:r>
    <w:r>
      <w:rPr>
        <w:szCs w:val="24"/>
      </w:rPr>
      <w:fldChar w:fldCharType="separate"/>
    </w:r>
    <w:r w:rsidR="002B43AA">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B743" w14:textId="77777777" w:rsidR="0008488D" w:rsidRDefault="0008488D">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4897B" w14:textId="77777777" w:rsidR="00B4712B" w:rsidRDefault="00B4712B">
      <w:r>
        <w:separator/>
      </w:r>
    </w:p>
  </w:footnote>
  <w:footnote w:type="continuationSeparator" w:id="0">
    <w:p w14:paraId="79464C77" w14:textId="77777777" w:rsidR="00B4712B" w:rsidRDefault="00B47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B46B1" w14:textId="77777777" w:rsidR="006717AA" w:rsidRDefault="0008488D">
    <w:pPr>
      <w:pStyle w:val="Header"/>
      <w:contextualSpacing w:val="0"/>
    </w:pPr>
    <w:r>
      <w:t>Izziņa 25-TA-3014</w:t>
    </w:r>
    <w:r>
      <w:br/>
      <w:t>Izdrukāts 28.01.2026. 14.18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35822" w14:textId="77777777" w:rsidR="006717AA" w:rsidRDefault="0008488D">
    <w:pPr>
      <w:pStyle w:val="Header"/>
      <w:contextualSpacing w:val="0"/>
    </w:pPr>
    <w:r>
      <w:t>Izziņa 25-TA-3014</w:t>
    </w:r>
    <w:r>
      <w:br/>
      <w:t>Izdrukāts 28.01.2026. 14.18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7BCB4"/>
    <w:multiLevelType w:val="hybridMultilevel"/>
    <w:tmpl w:val="F780B45C"/>
    <w:lvl w:ilvl="0" w:tplc="B06A81EA">
      <w:start w:val="1"/>
      <w:numFmt w:val="decimal"/>
      <w:lvlText w:val="%1."/>
      <w:lvlJc w:val="left"/>
      <w:pPr>
        <w:ind w:left="720" w:hanging="360"/>
      </w:pPr>
    </w:lvl>
    <w:lvl w:ilvl="1" w:tplc="7B6A2716">
      <w:start w:val="1"/>
      <w:numFmt w:val="lowerLetter"/>
      <w:lvlText w:val="%2."/>
      <w:lvlJc w:val="left"/>
      <w:pPr>
        <w:ind w:left="1440" w:hanging="360"/>
      </w:pPr>
    </w:lvl>
    <w:lvl w:ilvl="2" w:tplc="E41E17CA">
      <w:start w:val="1"/>
      <w:numFmt w:val="lowerRoman"/>
      <w:lvlText w:val="%3."/>
      <w:lvlJc w:val="right"/>
      <w:pPr>
        <w:ind w:left="2160" w:hanging="180"/>
      </w:pPr>
    </w:lvl>
    <w:lvl w:ilvl="3" w:tplc="E7069532">
      <w:start w:val="1"/>
      <w:numFmt w:val="decimal"/>
      <w:lvlText w:val="%4."/>
      <w:lvlJc w:val="left"/>
      <w:pPr>
        <w:ind w:left="2880" w:hanging="360"/>
      </w:pPr>
    </w:lvl>
    <w:lvl w:ilvl="4" w:tplc="2116983E">
      <w:start w:val="1"/>
      <w:numFmt w:val="lowerLetter"/>
      <w:lvlText w:val="%5."/>
      <w:lvlJc w:val="left"/>
      <w:pPr>
        <w:ind w:left="3600" w:hanging="360"/>
      </w:pPr>
    </w:lvl>
    <w:lvl w:ilvl="5" w:tplc="197AE648">
      <w:start w:val="1"/>
      <w:numFmt w:val="lowerRoman"/>
      <w:lvlText w:val="%6."/>
      <w:lvlJc w:val="right"/>
      <w:pPr>
        <w:ind w:left="4320" w:hanging="180"/>
      </w:pPr>
    </w:lvl>
    <w:lvl w:ilvl="6" w:tplc="F4A88F86">
      <w:start w:val="1"/>
      <w:numFmt w:val="decimal"/>
      <w:lvlText w:val="%7."/>
      <w:lvlJc w:val="left"/>
      <w:pPr>
        <w:ind w:left="5040" w:hanging="360"/>
      </w:pPr>
    </w:lvl>
    <w:lvl w:ilvl="7" w:tplc="AB0C5960">
      <w:start w:val="1"/>
      <w:numFmt w:val="lowerLetter"/>
      <w:lvlText w:val="%8."/>
      <w:lvlJc w:val="left"/>
      <w:pPr>
        <w:ind w:left="5760" w:hanging="360"/>
      </w:pPr>
    </w:lvl>
    <w:lvl w:ilvl="8" w:tplc="412CB17E">
      <w:start w:val="1"/>
      <w:numFmt w:val="lowerRoman"/>
      <w:lvlText w:val="%9."/>
      <w:lvlJc w:val="right"/>
      <w:pPr>
        <w:ind w:left="6480" w:hanging="180"/>
      </w:pPr>
    </w:lvl>
  </w:abstractNum>
  <w:num w:numId="1" w16cid:durableId="1025247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7AA"/>
    <w:rsid w:val="00040EB4"/>
    <w:rsid w:val="00042727"/>
    <w:rsid w:val="0008488D"/>
    <w:rsid w:val="000956EC"/>
    <w:rsid w:val="000F547E"/>
    <w:rsid w:val="00183759"/>
    <w:rsid w:val="001B2E1F"/>
    <w:rsid w:val="001D1A07"/>
    <w:rsid w:val="001D7489"/>
    <w:rsid w:val="00216AC1"/>
    <w:rsid w:val="00240736"/>
    <w:rsid w:val="002A3E6A"/>
    <w:rsid w:val="002B43AA"/>
    <w:rsid w:val="002D1D9E"/>
    <w:rsid w:val="002D5554"/>
    <w:rsid w:val="002E6052"/>
    <w:rsid w:val="00313075"/>
    <w:rsid w:val="00367B53"/>
    <w:rsid w:val="003A3B57"/>
    <w:rsid w:val="003F06FD"/>
    <w:rsid w:val="00401917"/>
    <w:rsid w:val="0041283B"/>
    <w:rsid w:val="004168FC"/>
    <w:rsid w:val="00427E90"/>
    <w:rsid w:val="0046607B"/>
    <w:rsid w:val="004E2510"/>
    <w:rsid w:val="00502AF2"/>
    <w:rsid w:val="00522678"/>
    <w:rsid w:val="005335A8"/>
    <w:rsid w:val="005615E6"/>
    <w:rsid w:val="00574A0D"/>
    <w:rsid w:val="005A0E15"/>
    <w:rsid w:val="005B3870"/>
    <w:rsid w:val="005C187B"/>
    <w:rsid w:val="005D247D"/>
    <w:rsid w:val="00626A39"/>
    <w:rsid w:val="006717AA"/>
    <w:rsid w:val="006A1CD7"/>
    <w:rsid w:val="006F3561"/>
    <w:rsid w:val="0072725D"/>
    <w:rsid w:val="0074214E"/>
    <w:rsid w:val="00756607"/>
    <w:rsid w:val="00757C23"/>
    <w:rsid w:val="007677A7"/>
    <w:rsid w:val="00796660"/>
    <w:rsid w:val="007C774B"/>
    <w:rsid w:val="007C7A08"/>
    <w:rsid w:val="007D264F"/>
    <w:rsid w:val="007D686D"/>
    <w:rsid w:val="007E4353"/>
    <w:rsid w:val="00825F75"/>
    <w:rsid w:val="00830B8E"/>
    <w:rsid w:val="00857966"/>
    <w:rsid w:val="00860324"/>
    <w:rsid w:val="008E18F8"/>
    <w:rsid w:val="0092690B"/>
    <w:rsid w:val="00942AAE"/>
    <w:rsid w:val="0095523A"/>
    <w:rsid w:val="0095755E"/>
    <w:rsid w:val="0099422A"/>
    <w:rsid w:val="009B2080"/>
    <w:rsid w:val="009E52CA"/>
    <w:rsid w:val="009F24CC"/>
    <w:rsid w:val="009F4FA9"/>
    <w:rsid w:val="00A80B3A"/>
    <w:rsid w:val="00AA26D9"/>
    <w:rsid w:val="00B21096"/>
    <w:rsid w:val="00B230A4"/>
    <w:rsid w:val="00B32488"/>
    <w:rsid w:val="00B4712B"/>
    <w:rsid w:val="00B6718C"/>
    <w:rsid w:val="00B67F8F"/>
    <w:rsid w:val="00B92B8B"/>
    <w:rsid w:val="00B9384D"/>
    <w:rsid w:val="00C4071C"/>
    <w:rsid w:val="00C53070"/>
    <w:rsid w:val="00C92FE8"/>
    <w:rsid w:val="00CA5290"/>
    <w:rsid w:val="00CB1E54"/>
    <w:rsid w:val="00D1441C"/>
    <w:rsid w:val="00D219E9"/>
    <w:rsid w:val="00D4426C"/>
    <w:rsid w:val="00D50D9B"/>
    <w:rsid w:val="00D63A4F"/>
    <w:rsid w:val="00D82C5C"/>
    <w:rsid w:val="00D84CFD"/>
    <w:rsid w:val="00D86F9F"/>
    <w:rsid w:val="00DC78A3"/>
    <w:rsid w:val="00DD2C1A"/>
    <w:rsid w:val="00DE255F"/>
    <w:rsid w:val="00E173EF"/>
    <w:rsid w:val="00E448A3"/>
    <w:rsid w:val="00E45CAA"/>
    <w:rsid w:val="00E57903"/>
    <w:rsid w:val="00E84D27"/>
    <w:rsid w:val="00E956C6"/>
    <w:rsid w:val="00EE73AA"/>
    <w:rsid w:val="00F170AD"/>
    <w:rsid w:val="00F32F5B"/>
    <w:rsid w:val="00F351A0"/>
    <w:rsid w:val="00F61F14"/>
    <w:rsid w:val="00F93AD5"/>
    <w:rsid w:val="041A47CE"/>
    <w:rsid w:val="0D6BEF14"/>
    <w:rsid w:val="1A95E0AC"/>
    <w:rsid w:val="20574D43"/>
    <w:rsid w:val="3A96B560"/>
    <w:rsid w:val="4A8A999E"/>
    <w:rsid w:val="70668B5D"/>
    <w:rsid w:val="777CEF3A"/>
    <w:rsid w:val="7E2650E9"/>
    <w:rsid w:val="7E7D9E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83978"/>
  <w15:docId w15:val="{D4B8FA6B-50F9-4E69-9EAE-8D574F6E1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3A3B57"/>
    <w:pPr>
      <w:ind w:left="720"/>
      <w:contextualSpacing/>
    </w:pPr>
  </w:style>
  <w:style w:type="character" w:styleId="Hyperlink">
    <w:name w:val="Hyperlink"/>
    <w:basedOn w:val="DefaultParagraphFont"/>
    <w:uiPriority w:val="99"/>
    <w:unhideWhenUsed/>
    <w:rsid w:val="003A3B57"/>
    <w:rPr>
      <w:color w:val="467886" w:themeColor="hyperlink"/>
      <w:u w:val="single"/>
    </w:rPr>
  </w:style>
  <w:style w:type="character" w:styleId="UnresolvedMention">
    <w:name w:val="Unresolved Mention"/>
    <w:basedOn w:val="DefaultParagraphFont"/>
    <w:uiPriority w:val="99"/>
    <w:semiHidden/>
    <w:unhideWhenUsed/>
    <w:rsid w:val="003A3B57"/>
    <w:rPr>
      <w:color w:val="605E5C"/>
      <w:shd w:val="clear" w:color="auto" w:fill="E1DFDD"/>
    </w:rPr>
  </w:style>
  <w:style w:type="character" w:styleId="FollowedHyperlink">
    <w:name w:val="FollowedHyperlink"/>
    <w:basedOn w:val="DefaultParagraphFont"/>
    <w:uiPriority w:val="99"/>
    <w:semiHidden/>
    <w:unhideWhenUsed/>
    <w:rsid w:val="003A3B57"/>
    <w:rPr>
      <w:color w:val="96607D" w:themeColor="followedHyperlink"/>
      <w:u w:val="single"/>
    </w:rPr>
  </w:style>
  <w:style w:type="paragraph" w:styleId="Revision">
    <w:name w:val="Revision"/>
    <w:hidden/>
    <w:uiPriority w:val="99"/>
    <w:semiHidden/>
    <w:rsid w:val="005615E6"/>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atnes.latvijasbanka.lv/gada/GP/LB_GP_2024.pdf?_gl=1*uhdvtp*_ga*MzEyMDIwMjgwLjE3N"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tac.gov.lv/lv/media/5132/download?attachment" TargetMode="External"/><Relationship Id="rId4" Type="http://schemas.openxmlformats.org/officeDocument/2006/relationships/settings" Target="settings.xml"/><Relationship Id="rId9" Type="http://schemas.openxmlformats.org/officeDocument/2006/relationships/hyperlink" Target="https://www.ptac.gov.lv/lv/media/5274/download?attachmen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10C69-40AF-4DF0-8A42-76D0B0E86875}">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1351</Words>
  <Characters>9883</Characters>
  <Application>Microsoft Office Word</Application>
  <DocSecurity>0</DocSecurity>
  <Lines>299</Lines>
  <Paragraphs>52</Paragraphs>
  <ScaleCrop>false</ScaleCrop>
  <Company/>
  <LinksUpToDate>false</LinksUpToDate>
  <CharactersWithSpaces>11182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Izziņa_25-TA-3014.docx</dc:title>
  <dc:creator>fm</dc:creator>
  <cp:lastModifiedBy>Author</cp:lastModifiedBy>
  <cp:revision>15</cp:revision>
  <dcterms:created xsi:type="dcterms:W3CDTF">2026-01-29T15:10:00Z</dcterms:created>
  <dcterms:modified xsi:type="dcterms:W3CDTF">2026-02-09T13:27:00Z</dcterms:modified>
</cp:coreProperties>
</file>