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prasībām gāzveida stāvoklī pārvērstas sašķidrinātās dabasgāzes, no atjaunīgajiem energoresursiem saražota vai iegūta gāzveida kurināmā un mazoglekļa gāzveida kurināmā ievadīšanai dabasgāzes pārvades un sadales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gāzveida stāvoklī pārvērstas sašķidrinātās dabasgāzes (turpmāk – regazificētā dabasgāze) un no atjaunīgajiem energoresursiem saražota vai iegūta gāzveida kurināmā un mazoglekļa gāzveida kurināmā (turpmāk – atjaunīgā dabasgāze) ievadīšanai dabasgāzes pārvades un sadales sistēmā (turpmāk – sistēma), kā arī sistēmā ievadāmās dabasgāzes kvalitātes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"Noteikumi par prasībām gāzveida stāvoklī pārvērstas sašķidrinātās dabasgāzes, no atjaunīgajiem energoresursiem saražota vai iegūta gāzveida kurināmā un mazoglekļa gāzveida kurināmā ievadīšanai dabasgāzes pārvades un sadales sistēmā" (turpmāk – projekts) 1. punktu, papildinot to ar regulējumu, ka noteikumi nosaka prasības cita starp arī attiecībā uz ūdeņraža ievadīšanu dabasgāzes pārvades un sadales sistēmā. Minētais pamatojams ar to, ka Enerģētikas likuma 110. panta sestā daļa cita starp paredz Ministru kabinetam deleģējumu izdot noteikumus, kas noteic prasības attiecībā uz ūdeņradi un Ministru kabineta 2009. gada 3. februāra noteikumu Nr. 108 "Normatīvo aktu projektu sagatavošanas noteikumi" 100. punkts paredz, ka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ir papildināta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gāzveida stāvoklī pārvērstas sašķidrinātās dabasgāzes (turpmāk – regazificētā dabasgāze) un no atjaunīgajiem energoresursiem saražota vai iegūta gāzveida kurināmā un mazoglekļa gāzveida kurināmā (turpmāk – atjaunīgā dabasgāze), tajā skaitā ūdeņraža, ievadīšanai dabasgāzes pārvades un sadales sistēmā (turpmāk – sistēma), kā arī sistēmā ievadāmās dabasgāzes kvalitātes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dabasgāzes pārvades vai sadales sistēmai pieslēgts iekārtu kopums, ar kuru nodrošina iespēju dabasgāzes pārvades vai sadales sistēmā ievadīt atjaunīgo dabasgāzi, tajā skaitā biometānu, vai regazificēto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 punkta redakciju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iekārtu kopums, kas savienots ar sistēmu un caur kuru nodrošina iespēju sistēmā ievadīt atjaunīgo dabasgāzi, tajā skaitā biometānu, vai regazificēto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iekārtu kopums, kas savienots ar sistēmu un caur kuru nodrošina iespēju sistēmā ievadīt atjaunīgo dabasgāzi, tajā skaitā biometānu, vai regazificēto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precizēta atbilstoši iebildumā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iekārtu kopums, kas savienots ar sistēmu un nodrošina iespēju sistēmā ievadīt atjaunīgo dabasgāzi, tajā skaitā biometānu, vai regazificēto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Dabasgāzes ievadītājs nodrošina regazificētās dabasgāzes vai atjaunīgās dabasgāzes transportēšanu līdz dabasgāzes ievades punktam, ja nav veikta pieslēguma ierīkošana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5. punkta redakcija var radīt neskaidrības tā interpretācijā, tāpēc ierosinām dzēst no 5. punkta palīgteikumu un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Dabasgāzes ievadītājs nodrošina regazificētās dabasgāzes vai atjaunīgās dabasgāzes transportēšanu līdz dabasgāzes ievades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Dabasgāzes ievadītājs nodrošina regazificētās dabasgāzes vai atjaunīgās dabasgāzes transportēšanu līdz dabasgāzes ievades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attiecīgā norma izteikta jaunā redakcijā atbilstoši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atjaunīgās vai regazificētās dabasgāzes ievadīšanai sistēmā izmanto dabasgāzes ievades punktu, dabasgāzes ievadītājs nodrošina dabasgāzes transportēšanu līdz dabasgāzes ievades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pieslēgums tiek ierīkots pie dabasgāzes pārvades sistēmas, dabasgāzes ievadītājs un vienotais dabasgāzes pārvades un uzglabāšanas sistēmas operators vienojas par testēšanas periodā veicamajām pārbaudēm un pieļaujamajām atkāpēm no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kvalitātes prasībām tādā apjomā, kas neietekmē dabasgāzes pārvades sistēmas kopējo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 un 9.punkta izriet, kad pieslēguma testēšanas periodā gāzes ievadītājs, vienotājs pārvades un uzglabāšanas sistēmas operators, kā arī sadales sistēmas operators var vienoties par atkāpēm no noteikumu projekta 1. un 2.pielikumā noteiktajām kvalitātes prasībām tādā apjomā, kas neietekmē dabasgāzes pārvades vai sadales sistēmas kopējo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skatījumā minētais regulējums pārkāpj Enerģētikas likuma 110.panta sestajā daļā noteikto pilnvarojumu, jo likumdevējs nav paredzējis pieslēgumiem testēšanas periodu, kura laikā ir pieļaujamas atkāpes no Ministru kabineta noteikumos noteiktajām gāzes kvalitātes prasībām, kā arī nav piešķīris tiesības gāzes ievadīšanas sistēmā iesaistītām pusēm vienoties par atkāpēm no ārējā normatīvā regulējuma. Turklāt šobrīd nekur nav noteiktas tādas gāzes kvalitātes atkāpju robežas, kas neietekmē dabasgāzes pārvades un sadales sistēmas kopējo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pieslēgumu testēšanas perioda nozīmīgumu, Gaso, lai nepārkāptu Enerģētikas likuma 110.panta sestajā daļā paredzētā pilnvarojuma tvērumu, ierosina noteikumu ietvaros noteikt pieslēguma testa periodā pieļaujamo atkāpju robežas no gāzes kvalitātes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110.panta sestajā daļā noteikts deleģējums - Ministru kabinets nosaka prasības dabasgāzes ievadīšanai sistēmā, attiecīgi viena no prasībām ir - testēšanas periods. Tieslietu ministrijas atzinumā nav norādīts, ka testēšanas periods būtu deleģējuma pārkāpums, līdz ar to Ministrijas ieskatā norma atbilst Enerģētikas likuma deleģējumam. Savukārt attiecībā par iespējamajām atkāpēm normatīvā regulējuma veidotājs nevar tās noteikt detalizēti, jo atsevišķā situācijā īslaicīgās atkāpes var konstatēt un, vērtējot ietekmi uz sistēmas drošību, uzskatīt tās par pieļaujamām vai nepieļaujamām tikai sistēmas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pieslēgums tiek ierīkots pie dabasgāzes pārvades sistēmas, dabasgāzes ievadītājs un vienotais dabasgāzes pārvades un uzglabāšanas sistēmas operators vienojas par testēšanas periodā veicamajām pārbaudēm un pieļaujamajām atkāpēm no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kvalitātes prasībām tādā apjomā, kas neietekmē dabasgāzes pārvades sistēmas kopējo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pieslēgums tiek ierīkots pie dabasgāzes sadales sistēmas, dabasgāzes ievadītājs, dabasgāzes sadales sistēmas operators un vienotais dabasgāzes pārvades un uzglabāšanas sistēmas operators vienojas par testēšanas periodā veicamajām pārbaudēm un pieļaujamajām atkāpēm no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kvalitātes prasībām tādā apjomā, kas neietekmē dabasgāzes sadales sistēmas kopējo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AS "Gaso" iebildumu par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izskatīts iepriekšējā iebilduma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pieslēgums tiek ierīkots pie dabasgāzes sadales sistēmas, dabasgāzes ievadītājs, dabasgāzes sadales sistēmas operators un vienotais dabasgāzes pārvades un uzglabāšanas sistēmas operators vienojas par testēšanas periodā veicamajām pārbaudēm un pieļaujamajām atkāpēm no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kvalitātes prasībām tādā apjomā, kas neietekmē dabasgāzes sadales sistēmas kopējo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Vienotais dabasgāzes pārvades un uzglabāšanas sistēmas operators, izsniedzot tehniskās prasības, novērtē, vai to izsniegšanas pieprasījumā norādītā pieslēdzamā objekta plānotie apjomi un sistēmā ievadāmās dabasgāzes kvalitāte var ietekmēt dabasgāzes kvalitāti izejas punktā uz Inčukalna pazemes gāzes krātuvi tādā apmērā, kas pārsniegtu šo noteikumu </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skābekļa koncentrāciju.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17. punkta redakcijā ir lietots termins "izejas punkts", kas ir komerciāls jēdziens Eiropas Parlamenta un Padomes 2024. gada 13. jūnija direktīvas (ES) 2024/1788 par kopīgiem noteikumiem attiecībā uz atjaunīgās gāzes, un dabasgāzes un ūdeņraža iekšējo tirgu un ar ko groza Direktīvu (ES) 2023/1791 un atceļ Direktīvu 2009/73/EK un ar Sabiedrisko pakalpojumu regulēšanas komisijas 2024. gada 20. jūnija lēmumu saskaņoto Vienoto dabasgāzes pārvades sistēmas lietošanas noteikumu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Vienotais dabasgāzes pārvades un uzglabāšanas sistēmas operators, izsniedzot tehniskās prasības, novērtē, vai to izsniegšanas pieprasījumā norādītā pieslēdzamā objekta plānotie apjomi un sistēmā ievadāmās dabasgāzes kvalitāte var ietekmēt dabasgāzes kvalitāti dabasgāzes pārvades sistēmas savienojumā ar Inčukalna pazemes gāzes krātuvi tādā apmērā, kas pārsniegtu šo noteikumu 1. vai 2. pielikumā norādīto skābekļa koncentrāciju."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Vienotais dabasgāzes pārvades un uzglabāšanas sistēmas operators, izsniedzot tehniskās prasības, novērtē, vai to izsniegšanas pieprasījumā norādītā pieslēdzamā objekta plānotie apjomi un sistēmā ievadāmās dabasgāzes kvalitāte var ietekmēt dabasgāzes kvalitāti dabasgāzes pārvades sistēmas savienojumā ar Inčukalna pazemes gāzes krātuvi tādā apmērā, kas pārsniegtu šo noteikumu 1. vai 2. pielikumā norādīto skābekļa koncentrāciju.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Vienotais dabasgāzes pārvades un uzglabāšanas sistēmas operators, izsniedzot tehniskās prasības, novērtē, vai to izsniegšanas pieprasījumā norādītā pieslēdzamā objekta plānotie apjomi un sistēmā ievadāmās dabasgāzes kvalitāte var ietekmēt dabasgāzes kvalitāti dabasgāzes pārvades sistēmas savienojumā ar Inčukalna pazemes gāzes krātuvi tādā apmērā, kas pārsniegtu šo noteikumu </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skābekļa koncentrāciju.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Atzīt par spēku zaudējušiem Ministru kabineta 2022. gada 13. septembra noteikumus Nr.567 “Noteikumi par prasībām biometāna un gāzveida stāvoklī pārvērstas sašķidrinātās dabasgāzes ievadīšanai un transportēšanai dabasgāzes pārvades un sadales sistēmā” (Latvijas Vēstnesis, 2022, 179.nr.).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vērš uzmanību uz to, ka dabasgāzei nav izteiktas smakas. Tāpēc, lai operatīvi un precīzi noteiktu dabasgāzes noplūdes, sadales sistēmā esošai dabasgāzei tiek pievienots odorants, kas rada tradicionāli ierasto “gāzes smaku”. Ievērojot to, ka piejaukta odoranta daudzums ietekmē dabasgāzes kvalitātes rādītājus, odoranta klātbūtni (daudzumu) sadales sistēmā ievadāmajā gāzē ir jāatrunā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sadales sistēmā ievadāmās gāzes odorizēšanas pienākums, kā arī odoranta piejaukuma daudzums ir precīzi atrunāti Ministru kabineta 2022. gada 13. septembra noteikumus Nr.567 “Noteikumi par prasībām biometāna un gāzveida stāvoklī pārvērstas sašķidrinātās dabasgāzes ievadīšanai un transportēšanai dabasgāzes pārvades un sadales sistēmā”, </w:t>
            </w:r>
            <w:r w:rsidR="00000000" w:rsidRPr="00000000" w:rsidDel="00000000">
              <w:rPr>
                <w:u w:val="single"/>
                <w:rtl w:val="0"/>
              </w:rPr>
              <w:t xml:space="preserve">kurus par spēku zaudējušiem paredz atzīt noteikumu projekts</w:t>
            </w:r>
            <w:r w:rsidR="00000000" w:rsidRPr="00000000" w:rsidDel="00000000">
              <w:rPr>
                <w:rtl w:val="0"/>
              </w:rPr>
              <w:t xml:space="preserve">. Ievērojot to, ka gāzes odorizācijas pienākums saglabā savu aktualitāti (skat. Enerģētikas likuma 112.panta 19.punktu un 113.panta 16.punktu), Gaso uzskata par vitāli svarīgu gāzes odorizācijas jautājuma regulēšanu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normu par odorizāciju, kā arī atbilstoši papildināti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Atzīt par spēku zaudējušiem Ministru kabineta 2022. gada 13. septembra noteikumus Nr. 567 “Noteikumi par prasībām biometāna un gāzveida stāvoklī pārvērstas sašķidrinātās dabasgāzes ievadīšanai un transportēšanai dabasgāzes pārvades un sadales sistēmā” (Latvijas Vēstnesis, 2022, 179.nr.).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"Problēmas apraksts", jo 2025. gada 14. janvārī spēku nezaudēs Ministru kabineta 2022. gada 13. septembra noteikumi Nr. 567 "Noteikumi par prasībām biometāna un gāzveida stāvoklī pārvērstas sašķidrinātās dabasgāzes ievadīšanai un transportēšanai dabasgāzes pārvades un sadales sistēmā" (turpmāk – noteikumi Nr. 567). Atbilstoši Enerģētikas likuma pārejas noteikumu 89. punktam šā likuma 110. panta sestajā daļā minētos noteikumus Ministru kabinets izdod līdz 2025. gada 14. janvārim. Līdz šo noteikumu spēkā stāšanās dienai, bet ne ilgāk kā līdz 2025. gada 13. janvārim </w:t>
            </w:r>
            <w:r w:rsidR="00000000" w:rsidRPr="00000000" w:rsidDel="00000000">
              <w:rPr>
                <w:u w:val="single"/>
                <w:rtl w:val="0"/>
              </w:rPr>
              <w:t xml:space="preserve">piemērojami</w:t>
            </w:r>
            <w:r w:rsidR="00000000" w:rsidRPr="00000000" w:rsidDel="00000000">
              <w:rPr>
                <w:rtl w:val="0"/>
              </w:rPr>
              <w:t xml:space="preserve"> noteikumi Nr. 567.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gāzveida stāvoklī pārvērstas sašķidrinātās dabasgāzes, no atjaunīgajiem energoresursiem saražota vai iegūta gāzveida kurināmā un mazoglekļa gāzveida kurināmā ievadīšanai dabasgāzes pārvades un sadales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2022. gada 13. septembra noteikumu Nr. 567 “Noteikumi par prasībām biometāna un gāzveida stāvoklī pārvērstas sašķidrinātās dabasgāzes ievadīšanai un transportēšanai dabasgāzes pārvades un sadales sistēmā” (turpmāk - Noteikumi Nr. 567) 1. pielikumā pie gāzes kvalitātes raksturlielumiem ir norādīts odorants, ierosinām tos noteikt arī šajos noteikumos. Priekšlikums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pieslēgums tiek ierīkots pie dabasgāzes sadales sistēmas, vienotais dabasgāzes pārvades un uzglabāšanas sistēmas operators nodrošina dabasgāzes sadales sistēmā ievadāmās regazificētās un atjaunīgās dabasgāzes odorizāciju atbilstoši noteikumu 1. un 2. pielikumā noteiktajām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papildināt noteikumu projektu 1. un 2. pielikumu ar jaunu raksturlielumu – odorantu – un tā robežvērtību noteikt atbilstoši Noteikumos Nr. 567 noteiktajam, vienlaikus pielikumos saglabājot piezīmi līdzīgi kā tā ir iekļauta Noteikumos Nr. 567 un norādīt, ka šī raksturlieluma ievērošanu nodrošina vienotais dabasgāzes pārvades un uzglabāšanas sistēmas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pieslēgums tiek ierīkots pie dabasgāzes sadales sistēmas, vienotais dabasgāzes pārvades un uzglabāšanas sistēmas operators nodrošina dabasgāzes sadales sistēmā ievadāmās regazificētās un atjaunīgās dabasgāzes odorizāciju atbilstoši noteikumu 1. un 2. pielikumā noteiktajām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1. un 2. pielikumu ar jaunu raksturlielumu – odorantu – un tā robežvērtību noteikt atbilstoši Ministru kabineta 2022. gada 13. septembra noteikumos Nr. 567 “Noteikumi par prasībām biometāna un gāzveida stāvoklī pārvērstas sašķidrinātās dabasgāzes ievadīšanai un transportēšanai dabasgāzes pārvades un sadales sistēmā” noteiktajam, vienlaikus pielikumos saglabājot piezīmi līdzīgi kā tā ir iekļauta minētajos Ministru kabineta noteikumos un norādīt, ka šī raksturlieluma ievērošanu nodrošina vienotais dabasgāzes pārvades un uzglabāšanas sistēmas operators.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normu par odorizāciju, kā arī atbilstoši papildināti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gāzveida stāvoklī pārvērstas sašķidrinātās dabasgāzes, no atjaunīgajiem energoresursiem saražota vai iegūta gāzveida kurināmā un mazoglekļa gāzveida kurināmā ievadīšanai dabasgāzes pārvades un sadales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dabasgāzes pārvades vai sadales sistēmai pieslēgts iekārtu kopums, ar kuru nodrošina iespēju dabasgāzes pārvades vai sadales sistēmā ievadīt atjaunīgo dabasgāzi, tajā skaitā biometānu, vai regazificēto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apakšpunktu, lietojot projekta 1. punktā pieteikto saīsinājumu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dabasgāzes ievades punkts – iekārtu kopums, kas savienots ar sistēmu un nodrošina iespēju sistēmā ievadīt atjaunīgo dabasgāzi, tajā skaitā biometānu, vai regazificēto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Dabasgāzes ievades punktā, kas ierīkots izmantojot Eiropas Savienības Atveseļošanas un noturības mehānisma ietvaros piešķirtu finansējumu, ņem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skaidrojumu, kādēļ paredzētas attiecīgās prasības projektā attiecībā uz dabasgāzes ievades punktu, kas ierīkots, izmantojot Eiropas Savienības Atveseļošanas un noturības mehānisma ietvaros piešķirtu finansējumu. Ja prasības izriet vai ir saistītas ar Eiropas Savienības tiesisko regulējumu, aicinām sniegt attiecīgu skaidrojumu. Ja projekta 15. punktā ir ieviestas vai pārņemtas Eiropas Savienības tiesību aktu prasības, aicinām attiecīgi papildināt anotācijas 5.4. apakšsadaļas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Dabasgāzes ievades punktā, kas ierīkots izmantojot Eiropas Savienības Atveseļošanas un noturības mehānisma ietvaros piešķirtu finansējumu, ņem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4. sadaļā " Saistītie tiesību aktu projekti" iekļauto informāciju, jo atbilstoši Valsts kancelejas izstrādātajās vadlīnijās "Vadlīnijas tiesību akta projekta sākotnējās ietekmes novērtēšanai un novērtējuma ziņojuma sagatavošanai vienotajā tiesību aktu izstrādes un saskaņošanas portālā" norādītajam - ja spēkā esošā tiesību akta atzīšana par spēku zaudējušu ir paredzēta izstrādātajā tiesību akta projektā, to norāda nevis šajā apakšpunktā, bet anotācijas 1.sadaļā.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anotācijas 5.4. apakšsadaļas 1. tabulā vai anotācijas 1.3. apakšsadaļā Eiropas Parlamenta un Padomes 2024. gada 13. jūnija Direktīvas (ES) 2024/1788 par kopīgiem noteikumiem attiecībā uz atjaunīgās gāzes, un dabasgāzes un ūdeņraža iekšējo tirgu un ar ko groza Direktīvu (ES) 2023/1791 un atceļ Direktīvu 2009/73/EK (pārstrādāta redakcija) 30. panta ("</w:t>
            </w:r>
            <w:r w:rsidR="00000000" w:rsidRPr="00000000" w:rsidDel="00000000">
              <w:rPr>
                <w:i w:val="1"/>
                <w:rtl w:val="0"/>
              </w:rPr>
              <w:t xml:space="preserve">Dalībvalstis nodrošina </w:t>
            </w:r>
            <w:r w:rsidR="00000000" w:rsidRPr="00000000" w:rsidDel="00000000">
              <w:rPr>
                <w:i w:val="1"/>
                <w:u w:val="single"/>
                <w:rtl w:val="0"/>
              </w:rPr>
              <w:t xml:space="preserve">atjaunīgās gāzes un mazoglekļa gāzes</w:t>
            </w:r>
            <w:r w:rsidR="00000000" w:rsidRPr="00000000" w:rsidDel="00000000">
              <w:rPr>
                <w:i w:val="1"/>
                <w:rtl w:val="0"/>
              </w:rPr>
              <w:t xml:space="preserve"> piekļuvi tirgum un infrastruktūrai neatkarīgi no tā, vai atjaunīgās gāzes un mazoglekļa gāzes ražošanas iekārtas ir savienotas ar sadales vai pārvades tīkliem, </w:t>
            </w:r>
            <w:r w:rsidR="00000000" w:rsidRPr="00000000" w:rsidDel="00000000">
              <w:rPr>
                <w:i w:val="1"/>
                <w:u w:val="single"/>
                <w:rtl w:val="0"/>
              </w:rPr>
              <w:t xml:space="preserve">ņemot vērā pieņēmumus attiecībā uz to, kā attīstīsies dabasgāzes ražošana, piegāde un patēriņš saskaņā ar 55. panta 2. punkta f) apakšpunktu.</w:t>
            </w:r>
            <w:r w:rsidR="00000000" w:rsidRPr="00000000" w:rsidDel="00000000">
              <w:rPr>
                <w:i w:val="1"/>
                <w:rtl w:val="0"/>
              </w:rPr>
              <w:t xml:space="preserve">"</w:t>
            </w:r>
            <w:r w:rsidR="00000000" w:rsidRPr="00000000" w:rsidDel="00000000">
              <w:rPr>
                <w:rtl w:val="0"/>
              </w:rPr>
              <w:t xml:space="preserve">) pārņemšanu projekta 3. un 5. punktā. Citastarp aicinām skaidrot, vai minētā direktīvas prasība pārņemta pilnībā un vai plānoti vēl kādi pasākumi vai normatīvo aktu izmaiņas direktīvas prasības pilnīgai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projekta 16. punktā ietverto atsauci uz Eiropas Savienības regulas normu, aicinām papildināt anotācijas 5.4. apakšsadaļas 1. tabulu ar informāciju par attiecīgās regulas vienību ieviešanu projekta 16.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24-TA-2785</w:t>
    </w:r>
    <w:r>
      <w:br/>
    </w:r>
    <w:r w:rsidR="00000000" w:rsidRPr="00000000" w:rsidDel="00000000">
      <w:rPr>
        <w:rtl w:val="0"/>
      </w:rPr>
      <w:t xml:space="preserve">16.01.2025. 08.49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24-TA-2785</w:t>
    </w:r>
    <w:r>
      <w:br/>
    </w:r>
    <w:r w:rsidR="00000000" w:rsidRPr="00000000" w:rsidDel="00000000">
      <w:rPr>
        <w:rtl w:val="0"/>
      </w:rPr>
      <w:t xml:space="preserve">16.01.2025. 08.49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Izziņa_24-TA-2785.docx</dc:title>
</cp:coreProperties>
</file>

<file path=docProps/custom.xml><?xml version="1.0" encoding="utf-8"?>
<Properties xmlns="http://schemas.openxmlformats.org/officeDocument/2006/custom-properties" xmlns:vt="http://schemas.openxmlformats.org/officeDocument/2006/docPropsVTypes"/>
</file>