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16:46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Tiesību akta mērķim būtu jābūt vērstam uz pozitīvām izmaiņām, ko paredzēts panākt Latvijā, nevis vienkārši precizēt tiesību aktu. Mērķa formulējumā jāatspoguļo, kādus konkrētus uzlabojumus vai ieguvumus grozījums radīs valsts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apakšsadaļā precizēts projekta mērķis, to formulējot kā pozitīvi sasniedzamu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līgumā par investīciju projekta īstenošanu. Ja grozījumi līgumā tiks veikti, lūdzam papildināt arī anotācijas 2.1. sadaļas apakšsadaļu "Juridiskās personas" ar norādi uz Eiropas digitālās inovācijas centru un aizpildīt atbilstošo apakšsadaļu "Ietekmes apraksts", kā arī papildināt anotācijas 7.1. sadaļu ar norādi uz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plānotie grozījumi neietekmē investīcijas kopējo Atveseļošanas fonda finansējuma apmēru un nav nepieciešams veikt grozījumus līgumā par investīcijas projekta īstenošanu. Līdz ar to nav nepieciešams papildināt anotācijas sadaļas, kas saistītas ar līguma grozījumu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"Pašreizējā situācija" norādīts: "</w:t>
            </w:r>
            <w:r w:rsidR="00000000" w:rsidRPr="00000000" w:rsidDel="00000000">
              <w:rPr>
                <w:i w:val="1"/>
                <w:rtl w:val="0"/>
              </w:rPr>
              <w:t xml:space="preserve">Atbilstoši Finanšu ministrijas vadlīnijām "Vadlīnijas informatīvā ziņojuma vai Ministru kabineta noteikumu izstrādei par Eiropas Savienības Atveseļošanas un noturības mehānisma plāna reformas vai investīcijas ieviešanu projektu izdevumu veikšanas un investīciju ieviešanas nosacījumiem" projektu izdevumu veikšanas un investīciju ieviešanas termiņš ir noteikts līdz 2026. gada 31. augustam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attiecīgais termiņš izriet nevis no minētajām vadlīnijām, bet no Eiropas Parlamenta un Padomes 2021. gada 12. februāra Regulas (ES) 2021/241, ar ko izveido Atveseļošanas un noturības mehānismu. Lūdzam atbilstoši precizēt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skaidrojums par projektu izdevumu veikšanas un investīcijas ieviešanas termiņa tiesisko pamatu, norādot, ka tas izriet no Eiropas Parlamenta un Padomes Regulas (ES) 2021/241, nevis no Finanšu ministrijas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ietekmi, ņemot vērā anotācijas 1.3. apakšsadaļā sniegto skaidrojumu: "</w:t>
            </w:r>
            <w:r w:rsidR="00000000" w:rsidRPr="00000000" w:rsidDel="00000000">
              <w:rPr>
                <w:i w:val="1"/>
                <w:u w:val="single"/>
                <w:rtl w:val="0"/>
              </w:rPr>
              <w:t xml:space="preserve">Līdz ar to grozījumi labvēlīgi ietekmēs gala labuma guvēju</w:t>
            </w:r>
            <w:r w:rsidR="00000000" w:rsidRPr="00000000" w:rsidDel="00000000">
              <w:rPr>
                <w:i w:val="1"/>
                <w:rtl w:val="0"/>
              </w:rPr>
              <w:t xml:space="preserve">, nodrošinot iespēju saņemt Noteikumos paredzēto atbalstu par attiecināmajām izmaksām, kas tiek izvērtētas līdz projekta noslēguma progresa pārskata pārbaudes pabeigšanai</w:t>
            </w:r>
            <w:r w:rsidR="00000000" w:rsidRPr="00000000" w:rsidDel="00000000">
              <w:rPr>
                <w:rtl w:val="0"/>
              </w:rPr>
              <w:t xml:space="preserve">". Proti, saprotams, ka ietekme uz sabiedrību būs, bet tā netiek izvērstāk skaidrota anotācijas 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teikums precizēts, skaidrojot, ka grozījums ir tehnisks precizējums, kura mērķis ir nodrošināt noteikumu piemērošanas loģisku un pilnīgu darbību, ņemot vērā laiku, kas nepieciešams CFLA noslēguma progresa pārskatu izvērtēšanai un lēmuma pieņemšanai. Grozījums nerada jaunas tiesības vai pienākumus un nemaina atbalsta saturu vai apmēru, bet novērš situāciju, kurā atbalsta saņemšanas termiņš iestātos pirms noslēguma progresa pārskata izvērtēšanas pabeigšanas. Ņemot vērā minēto, nav nepieciešams papildināt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5.3. apakšsadaļā sniegt skaidrojumu par projektā plānotā grozījuma atbilstību Latvijas Republikas starptautiskajām saistībām, kas jau izriet no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65.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5.3. apakšsadaļa ar skaidrojumu par projektā plānotā grozījuma atbilstību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pilnīgus skaidrojumus, aizpildīt 6. un 7. sadaļu, ievērojot "Vadlīnijas tiesību akta projekta sākotnējās ietekmes novērtēšanai un novērtējuma ziņojuma sagatavošanai Vienotajā tiesību aktu izstrādes un saskaņošanas portālā". Piemēram, no projekta secināma ietekme uz Centrālo finanšu un līgumu aģentūru. Tai īsā laika periodā pēc projekta spēkā stāšanās (līdz 2026. gada 31. augustam) jāpieņem visi nepieciešamie lēmumi par komercdarbības atbalsta piešķiršanu Eiropas digitālās inovācijas centram.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grozījums ir tehnisks precizējums, kura mērķis ir nodrošināt noteikumu piemērošanas loģisku un pilnīgu darbību, ņemot vērā laiku, kas nepieciešams CFLA noslēguma progresa pārskata izvērtēšanai un lēmuma pieņemšanai. Grozījums nerada jaunas tiesības vai pienākumus un nemaina atbalsta saturu vai apmēru, bet novērš situāciju, kurā atbalsta saņemšanas termiņš iestātos pirms noslēguma progresa pārskata izvērtēšanas pabeigšanas. Vienlaikus CFLA jebkurā gadījumā ir jāveic noslēguma progresa pārskata izvērtēšana, tādēļ grozījumi pēc būtības nemaina CFLA veicamās darbības. Ņemot vērā minēto, nav nepieciešams papildināt anotācijas 6. un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minētajā gadījumā Centrālā finanšu un līgumu aģentūra līdz 2025. gada 1. jūnijam atbilstoši šo noteikumu </w:t>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punktam</w:t>
            </w:r>
            <w:r w:rsidR="00000000" w:rsidRPr="00000000" w:rsidDel="00000000">
              <w:rPr>
                <w:rtl w:val="0"/>
              </w:rPr>
              <w:t xml:space="preserve"> vērtē Eiropas digitālās inovācijas centra kā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Par komercdarbības atbalsta piešķiršanas brīdi uzskatāms brīdis, kad Centrālā finanšu un līgumu aģentūra pieņēmusi lēmumu par komercdarbības atbalsta piešķiršanu Eiropas digitālās inovācijas centra inovācijas kopas dalībniekiem. Atbalsta programmas ietvaros </w:t>
            </w:r>
            <w:r w:rsidR="00000000" w:rsidRPr="00000000" w:rsidDel="00000000">
              <w:rPr>
                <w:i w:val="1"/>
                <w:rtl w:val="0"/>
              </w:rPr>
              <w:t xml:space="preserve">de minimis</w:t>
            </w:r>
            <w:r w:rsidR="00000000" w:rsidRPr="00000000" w:rsidDel="00000000">
              <w:rPr>
                <w:rtl w:val="0"/>
              </w:rPr>
              <w:t xml:space="preserve"> atbalsts tiek uzskaitīts katram Eiropas digitālās inovācijas centra dalībniekam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punktos lietotās atsauces uz citiem noteikumu punktiem un atbilstoši precizēt, jo, piemēram, noteikumu 34.</w:t>
            </w:r>
            <w:r w:rsidR="00000000" w:rsidRPr="00000000" w:rsidDel="00000000">
              <w:rPr>
                <w:vertAlign w:val="superscript"/>
                <w:rtl w:val="0"/>
              </w:rPr>
              <w:t xml:space="preserve">3</w:t>
            </w:r>
            <w:r w:rsidR="00000000" w:rsidRPr="00000000" w:rsidDel="00000000">
              <w:rPr>
                <w:rtl w:val="0"/>
              </w:rPr>
              <w:t xml:space="preserve"> un 34.</w:t>
            </w:r>
            <w:r w:rsidR="00000000" w:rsidRPr="00000000" w:rsidDel="00000000">
              <w:rPr>
                <w:vertAlign w:val="superscript"/>
                <w:rtl w:val="0"/>
              </w:rPr>
              <w:t xml:space="preserve">5</w:t>
            </w:r>
            <w:r w:rsidR="00000000" w:rsidRPr="00000000" w:rsidDel="00000000">
              <w:rPr>
                <w:rtl w:val="0"/>
              </w:rPr>
              <w:t xml:space="preserve"> punktos ir norādītas atsauces uz 57.</w:t>
            </w:r>
            <w:r w:rsidR="00000000" w:rsidRPr="00000000" w:rsidDel="00000000">
              <w:rPr>
                <w:vertAlign w:val="superscript"/>
                <w:rtl w:val="0"/>
              </w:rPr>
              <w:t xml:space="preserve">1</w:t>
            </w:r>
            <w:r w:rsidR="00000000" w:rsidRPr="00000000" w:rsidDel="00000000">
              <w:rPr>
                <w:rtl w:val="0"/>
              </w:rPr>
              <w:t xml:space="preserve"> punktu, kurā norādītie nosacījumi attiecas uz atbalstu, kas tiek sniegts saskaņā ar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27. pantu, nevis attiecībā uz de minimis atbalstu, kas tiek sniegts saskaņā ar </w:t>
            </w:r>
            <w:r w:rsidR="00000000" w:rsidRPr="00000000" w:rsidDel="00000000">
              <w:rPr>
                <w:i w:val="1"/>
                <w:rtl w:val="0"/>
              </w:rPr>
              <w:t xml:space="preserve">Komisijas 2023. gada 13. decembra Regulu (ES) Nr.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w:t>
            </w:r>
            <w:r w:rsidR="00000000" w:rsidRPr="00000000" w:rsidDel="00000000">
              <w:rPr>
                <w:vertAlign w:val="superscript"/>
                <w:rtl w:val="0"/>
              </w:rPr>
              <w:t xml:space="preserve">3</w:t>
            </w:r>
            <w:r w:rsidR="00000000" w:rsidRPr="00000000" w:rsidDel="00000000">
              <w:rPr>
                <w:rtl w:val="0"/>
              </w:rPr>
              <w:t xml:space="preserve"> punktā atsauces precizētas no 57.</w:t>
            </w:r>
            <w:r w:rsidR="00000000" w:rsidRPr="00000000" w:rsidDel="00000000">
              <w:rPr>
                <w:vertAlign w:val="superscript"/>
                <w:rtl w:val="0"/>
              </w:rPr>
              <w:t xml:space="preserve">1</w:t>
            </w:r>
            <w:r w:rsidR="00000000" w:rsidRPr="00000000" w:rsidDel="00000000">
              <w:rPr>
                <w:rtl w:val="0"/>
              </w:rPr>
              <w:t xml:space="preserve">  uz  57.</w:t>
            </w:r>
            <w:r w:rsidR="00000000" w:rsidRPr="00000000" w:rsidDel="00000000">
              <w:rPr>
                <w:vertAlign w:val="superscript"/>
                <w:rtl w:val="0"/>
              </w:rPr>
              <w:t xml:space="preserve">2</w:t>
            </w:r>
            <w:r w:rsidR="00000000" w:rsidRPr="00000000" w:rsidDel="00000000">
              <w:rPr>
                <w:rtl w:val="0"/>
              </w:rPr>
              <w:t xml:space="preserve"> punktu. Papildus precizēta arī atsauce 34.</w:t>
            </w:r>
            <w:r w:rsidR="00000000" w:rsidRPr="00000000" w:rsidDel="00000000">
              <w:rPr>
                <w:vertAlign w:val="superscript"/>
                <w:rtl w:val="0"/>
              </w:rPr>
              <w:t xml:space="preserve">5</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minētajā gadījumā Centrālā finanšu un līgumu aģentūra līdz 2025. gada 1. jūnijam atbilstoši šo noteikumu </w:t>
            </w:r>
            <w:r w:rsidR="00000000" w:rsidRPr="00000000" w:rsidDel="00000000">
              <w:rPr>
                <w:rtl w:val="0"/>
              </w:rPr>
              <w:t xml:space="preserve">57.</w:t>
            </w:r>
            <w:r w:rsidR="00000000" w:rsidRPr="00000000" w:rsidDel="00000000">
              <w:rPr>
                <w:vertAlign w:val="superscript"/>
                <w:rtl w:val="0"/>
              </w:rPr>
              <w:t xml:space="preserve">2</w:t>
            </w:r>
            <w:r w:rsidR="00000000" w:rsidRPr="00000000" w:rsidDel="00000000">
              <w:rPr>
                <w:rtl w:val="0"/>
              </w:rPr>
              <w:t xml:space="preserve"> punktam</w:t>
            </w:r>
            <w:r w:rsidR="00000000" w:rsidRPr="00000000" w:rsidDel="00000000">
              <w:rPr>
                <w:rtl w:val="0"/>
              </w:rPr>
              <w:t xml:space="preserve"> vērtē Eiropas digitālās inovācijas centra kā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Par komercdarbības atbalsta piešķiršanas brīdi uzskatāms brīdis, kad Centrālā finanšu un līgumu aģentūra pieņēmusi lēmumu par komercdarbības atbalsta piešķiršanu Eiropas digitālās inovācijas centra inovācijas kopas dalībniekiem. Atbalsta programmas ietvaros </w:t>
            </w:r>
            <w:r w:rsidR="00000000" w:rsidRPr="00000000" w:rsidDel="00000000">
              <w:rPr>
                <w:i w:val="1"/>
                <w:rtl w:val="0"/>
              </w:rPr>
              <w:t xml:space="preserve">de minimis</w:t>
            </w:r>
            <w:r w:rsidR="00000000" w:rsidRPr="00000000" w:rsidDel="00000000">
              <w:rPr>
                <w:rtl w:val="0"/>
              </w:rPr>
              <w:t xml:space="preserve"> atbalsts tiek uzskaitīts katram Eiropas digitālās inovācijas centra dalībniekam atsevišķi.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26-TA-2026</w:t>
    </w:r>
    <w:r>
      <w:br/>
    </w:r>
    <w:r w:rsidR="00000000" w:rsidRPr="00000000" w:rsidDel="00000000">
      <w:rPr>
        <w:rtl w:val="0"/>
      </w:rPr>
      <w:t xml:space="preserve">03.09.2026. 15.24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26-TA-2026</w:t>
    </w:r>
    <w:r>
      <w:br/>
    </w:r>
    <w:r w:rsidR="00000000" w:rsidRPr="00000000" w:rsidDel="00000000">
      <w:rPr>
        <w:rtl w:val="0"/>
      </w:rPr>
      <w:t xml:space="preserve">03.09.2026. 15.24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Izziņa_26-TA-2026.docx</dc:title>
</cp:coreProperties>
</file>

<file path=docProps/custom.xml><?xml version="1.0" encoding="utf-8"?>
<Properties xmlns="http://schemas.openxmlformats.org/officeDocument/2006/custom-properties" xmlns:vt="http://schemas.openxmlformats.org/officeDocument/2006/docPropsVTypes"/>
</file>