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18. februāra noteikumos Nr. 114 "Kārtība,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(24.02.2021.)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2. punktā norādīts, ka tiks veikti Ministru kabineta 2021. gada 18. februāra noteikumu Nr. 114 “Kārtība,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 (turpmāk – MK noteikumi Nr. 114) grozījumi, paredzot noteikt jaunu valsts atbalsta darbības termiņu. Taču anotācijā skaidrots, ka tiek izstrādāti jauni noteikumi "Īpaši aizsargājamo sugu dzīvnieku nodarīto būtisko postījumu radīto zaudējumu noteikšanas kārtība", kuri paredz zaudējumu noteikšanas kārtību, pirmšķietami iekļaujot arī jauno valsts atbalsta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anotācijā skaidrot, vai attiecīgais valsts atbalsta pagarinājums līdz 2026. gada 31. decembrim attiecas </w:t>
            </w:r>
            <w:r w:rsidR="00000000" w:rsidRPr="00000000" w:rsidDel="00000000">
              <w:rPr>
                <w:u w:val="single"/>
                <w:rtl w:val="0"/>
              </w:rPr>
              <w:t xml:space="preserve">tikai uz īpaši aizsargājamo nemedījamo sugu un migrējošo sugu</w:t>
            </w:r>
            <w:r w:rsidR="00000000" w:rsidRPr="00000000" w:rsidDel="00000000">
              <w:rPr>
                <w:rtl w:val="0"/>
              </w:rPr>
              <w:t xml:space="preserve"> dzīvnieku nodarītajiem būtiskiem postījumiem vai arī uz </w:t>
            </w:r>
            <w:r w:rsidR="00000000" w:rsidRPr="00000000" w:rsidDel="00000000">
              <w:rPr>
                <w:u w:val="single"/>
                <w:rtl w:val="0"/>
              </w:rPr>
              <w:t xml:space="preserve">īpaši aizsargājamo sugu dzīvnieku </w:t>
            </w:r>
            <w:r w:rsidR="00000000" w:rsidRPr="00000000" w:rsidDel="00000000">
              <w:rPr>
                <w:rtl w:val="0"/>
              </w:rPr>
              <w:t xml:space="preserve">nodarīto būtisko postījumiem.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nepieciešamību svītrot atsauces uz jauno noteikumu projektu (24-TA-2909), tā kā šī noteikumu projekta (25-TA-1010) mērķis ir saglabāt spēkā MK noteikumus Nr. 114, nodrošinot valsts atbalsta nepārtrauktību.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anotācijā, plānotais valsts atbalsta pagarinājums līdz 2026.gada 31.decembrim attiecas uz MK noteikumu Nr.114 darbības jomu, t.i. uz īpaši aizsargājamo nemedījamo sugu un migrējošo sugu dzīvnieku nodarītajiem būtiskiem postījumiem.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Tieslietu ministrijas 18.03.2025. priekšlikumam "precizēt projekta nosaukumu, jo tas neatbilst Ministru kabineta 2009. gada 3. februāra noteikumu Nr. 108 „Normatīvo aktu projektu sagatavošanas noteikumi” 90., 91. un 92. punktam, (..)" tiesību akta nosaukums precizēts, ievērojot to, ka noteikumu projekta 1.1.punkts jebkurā gadījumā detāli nosaka noteikumu projekta subjektu, ka šis noteikumu projekts nosaka kārtību, kādā zemes īpašniekiem vai lietotājiem nosakāmi to zaudējumu apmēri, kas saistīti ar īpaši aizsargājamo nemedījamo sugu un migrējošo sugu dzīvnieku nodarītajiem būtiskiem postījumiem. Līdz ar to esošā atbalsta shēma un arī plānotā atbalsta shēma attiecas uz vieniem un tiem pašiem īpaši aizsargājamo nemedījamo sugu un migrējošo sugu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jauno noteikumu projektu (24-TA-2909) sniedz papildu informāciju par to, ka ir uzsākts darbs jaunu atbalsta nosacījumu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lpp. norādīts, ka valsts atbalsts tiek saskaņots ar Eiropas Komisiju, balstoties uz Pamatnostādnēm par valsts atbalstu lauksaimniecības un mežsaimniecības nozarē un lauku apvidos 2014. – 2020. gadam (turpmāk – Pamatnostādnes 2014). Vēršam uzmanību, ka Pamatnostādnes 2014 tika piemērotas līdz 2022. gada 31. decembrim. No 2023. gada 1. janvāra tās tika aizstātas ar Pamatnostādnēm par valsts atbalstu lauksaimniecības un mežsaimniecības nozarē un lauku apvidos (2022/C 485/01) (turpmāk - Pamatnostādnes 2022), kuru 657. punktā noteikts, ka: ”</w:t>
            </w:r>
            <w:r w:rsidR="00000000" w:rsidRPr="00000000" w:rsidDel="00000000">
              <w:rPr>
                <w:i w:val="1"/>
                <w:rtl w:val="0"/>
              </w:rPr>
              <w:t xml:space="preserve">Tomēr attiecībā uz ELFLA līdzfinansētām lauku atbalsta intervencēm, ja Savienības tiesību akti to atļauj, un saskaņā ar lauku attīstības noteikumos paredzētajiem nosacījumiem dalībvalstis drīkst turpināt uzņemties jaunas saistības saskaņā ar 2014. gada Pamatnostādnēm par valsts atbalstu lauksaimniecības un mežsaimniecības nozarē un lauku apvidos saskaņā ar to 719. punktu.</w:t>
            </w:r>
            <w:r w:rsidR="00000000" w:rsidRPr="00000000" w:rsidDel="00000000">
              <w:rPr>
                <w:rtl w:val="0"/>
              </w:rPr>
              <w:t xml:space="preserve">” Proti, izņēmumu gadījumos var tikt piemērotas Pamatnostādnes 2014. Attiecīgi Pamatnostādņu 2014 719. punkts balstās uz Regulu (ES) Nr. 1305/2013 un tās īstenošanas regulu. Lūdzam attiecīgi vērtēt nepieciešamību izvērst anotācijā ievietoto atsauci uz valsts atbalsta saskaņošanas pamatu, attiecīgi aizpildot anotācijas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iesniedzot dokumentus Ministru kabinetā pēc EK saskaņojuma saņemšanas, anotācijā tiks precizēta un papildināta informācija par valsts atbalsta saskaņošanas pamatu.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 gada 1. maija līdz šo noteikumu grozījumu izdarīšanai, kas noteiks jaunu valsts atbalsta darbības termiņu, Dabas aizsardzības pārvaldei nepieņemt šo noteikumu 42. punktā noteikto lēmumu.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sēdes protokollēmuma projekta 2. punktu, paredzot, ka </w:t>
            </w:r>
            <w:r w:rsidR="00000000" w:rsidRPr="00000000" w:rsidDel="00000000">
              <w:rPr>
                <w:u w:val="single"/>
                <w:rtl w:val="0"/>
              </w:rPr>
              <w:t xml:space="preserve">Dabas aizsardzības pārvalde pieņem lēmumus par termiņa pagarināšanu par visiem pieteikumiem, kas nav izskatīti līdz 2025. gada 30. aprīlim</w:t>
            </w:r>
            <w:r w:rsidR="00000000" w:rsidRPr="00000000" w:rsidDel="00000000">
              <w:rPr>
                <w:rtl w:val="0"/>
              </w:rPr>
              <w:t xml:space="preserve">. Administratīvā procesa likuma 64. panta otrā daļa paredz, ka, ja objektīvu iemeslu dēļ nav iespējams ievērot administratīvā akta izdošanas viena mēneša termiņu, iestāde to var pagarināt uz laiku, ne ilgāku par četriem mēnešiem no iesnieguma saņemšanas dienas, par to paziņojot iesniedzējam. Nepieciešamība saņemt Eiropas Komisijas saskaņojumu par spēkā esošās valsts atbalsta shēmas termiņa pagarināšanu var tikt uzskatīts par objektīvu iemeslu lēmuma pieņemšanas termiņa pagarināšanai. Vienlaikus vēršam uzmanību uz to, ka Dabas aizsardzības pārvaldei noteikts pienākums nepieņemt normatīvajos aktos paredzēto lēmumu, nozīmē, ka iestāde administratīvā procesa ietvaros neveiks nepieciešamās darbības un noteiktajā termiņā neizdos administratīvo aktu. Šādā situācijā personai būs tiesības vērsties augstākā iestādē un tiesā, lūdzot izdot labvēlīgu administratīvo aktu. Tādējādi aicinām neparedzēt, ka Dabas aizsardzības pārvalde noteiktu brīdi nepieņem normatīvajos aktos paredzēto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protokollēmuma punkta redakcija un teksts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 gada 1. maija līdz šo noteikumu grozījumu izdarīšanai, kas noteiks jaunu valsts atbalsta darbības termiņu, uz visiem pieteikumiem, par kuriem šo noteikumu 42. punktā noteiktais lēmums nav pieņemts līdz 2025. gada 30. aprīlim, Dabas aizsardzības pārvaldei pieņemt lēmumu par pieteikuma izskatīšanas termiņa pagarināšanu.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25-TA-1010</w:t>
    </w:r>
    <w:r>
      <w:br/>
    </w:r>
    <w:r w:rsidR="00000000" w:rsidRPr="00000000" w:rsidDel="00000000">
      <w:rPr>
        <w:rtl w:val="0"/>
      </w:rPr>
      <w:t xml:space="preserve">29.04.2025. 09.56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25-TA-1010</w:t>
    </w:r>
    <w:r>
      <w:br/>
    </w:r>
    <w:r w:rsidR="00000000" w:rsidRPr="00000000" w:rsidDel="00000000">
      <w:rPr>
        <w:rtl w:val="0"/>
      </w:rPr>
      <w:t xml:space="preserve">29.04.2025. 09.56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Izziņa_25-TA-1010.docx</dc:title>
</cp:coreProperties>
</file>

<file path=docProps/custom.xml><?xml version="1.0" encoding="utf-8"?>
<Properties xmlns="http://schemas.openxmlformats.org/officeDocument/2006/custom-properties" xmlns:vt="http://schemas.openxmlformats.org/officeDocument/2006/docPropsVTypes"/>
</file>