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21CF11" w14:textId="77777777" w:rsidR="00C14111" w:rsidRPr="009F4685" w:rsidRDefault="009515DE">
      <w:pPr>
        <w:spacing w:after="240"/>
        <w:jc w:val="center"/>
        <w:rPr>
          <w:b/>
          <w:color w:val="auto"/>
          <w:szCs w:val="28"/>
        </w:rPr>
      </w:pPr>
      <w:r w:rsidRPr="009F4685">
        <w:rPr>
          <w:b/>
          <w:color w:val="auto"/>
          <w:szCs w:val="28"/>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735"/>
        <w:gridCol w:w="5812"/>
        <w:gridCol w:w="1417"/>
        <w:gridCol w:w="4853"/>
      </w:tblGrid>
      <w:tr w:rsidR="009F4685" w:rsidRPr="009F4685" w14:paraId="5CDC0E4A" w14:textId="77777777" w:rsidTr="003F2461">
        <w:trPr>
          <w:trHeight w:val="919"/>
          <w:tblHeader/>
        </w:trPr>
        <w:tc>
          <w:tcPr>
            <w:tcW w:w="750" w:type="dxa"/>
            <w:shd w:val="clear" w:color="auto" w:fill="F2F2F2" w:themeFill="background1" w:themeFillShade="F2"/>
            <w:noWrap/>
            <w:tcMar>
              <w:top w:w="75" w:type="dxa"/>
              <w:left w:w="75" w:type="dxa"/>
              <w:bottom w:w="75" w:type="dxa"/>
              <w:right w:w="75" w:type="dxa"/>
            </w:tcMar>
            <w:vAlign w:val="center"/>
          </w:tcPr>
          <w:p w14:paraId="4E118888" w14:textId="0CA77D18" w:rsidR="00C14111" w:rsidRPr="009F4685" w:rsidRDefault="009515DE">
            <w:pPr>
              <w:jc w:val="center"/>
              <w:rPr>
                <w:color w:val="auto"/>
                <w:sz w:val="24"/>
                <w:szCs w:val="24"/>
              </w:rPr>
            </w:pPr>
            <w:r w:rsidRPr="009F4685">
              <w:rPr>
                <w:b/>
                <w:color w:val="auto"/>
                <w:sz w:val="24"/>
                <w:szCs w:val="24"/>
              </w:rPr>
              <w:t>Nr.</w:t>
            </w:r>
            <w:r w:rsidR="003F2461" w:rsidRPr="009F4685">
              <w:rPr>
                <w:b/>
                <w:color w:val="auto"/>
                <w:sz w:val="24"/>
                <w:szCs w:val="24"/>
              </w:rPr>
              <w:t xml:space="preserve"> </w:t>
            </w:r>
            <w:r w:rsidRPr="009F4685">
              <w:rPr>
                <w:b/>
                <w:color w:val="auto"/>
                <w:sz w:val="24"/>
                <w:szCs w:val="24"/>
              </w:rPr>
              <w:t>p.k.</w:t>
            </w:r>
          </w:p>
        </w:tc>
        <w:tc>
          <w:tcPr>
            <w:tcW w:w="1735" w:type="dxa"/>
            <w:shd w:val="clear" w:color="auto" w:fill="F2F2F2" w:themeFill="background1" w:themeFillShade="F2"/>
            <w:noWrap/>
            <w:tcMar>
              <w:top w:w="75" w:type="dxa"/>
              <w:left w:w="75" w:type="dxa"/>
              <w:bottom w:w="75" w:type="dxa"/>
              <w:right w:w="75" w:type="dxa"/>
            </w:tcMar>
            <w:vAlign w:val="center"/>
          </w:tcPr>
          <w:p w14:paraId="11AF9C94" w14:textId="77777777" w:rsidR="00C14111" w:rsidRPr="009F4685" w:rsidRDefault="009515DE">
            <w:pPr>
              <w:jc w:val="center"/>
              <w:rPr>
                <w:color w:val="auto"/>
                <w:sz w:val="24"/>
                <w:szCs w:val="24"/>
              </w:rPr>
            </w:pPr>
            <w:r w:rsidRPr="009F4685">
              <w:rPr>
                <w:b/>
                <w:color w:val="auto"/>
                <w:sz w:val="24"/>
                <w:szCs w:val="24"/>
              </w:rPr>
              <w:t>Iebilduma / priekšlikuma iesniedzējs</w:t>
            </w:r>
          </w:p>
        </w:tc>
        <w:tc>
          <w:tcPr>
            <w:tcW w:w="5812" w:type="dxa"/>
            <w:shd w:val="clear" w:color="auto" w:fill="F2F2F2" w:themeFill="background1" w:themeFillShade="F2"/>
            <w:noWrap/>
            <w:tcMar>
              <w:top w:w="75" w:type="dxa"/>
              <w:left w:w="75" w:type="dxa"/>
              <w:bottom w:w="75" w:type="dxa"/>
              <w:right w:w="75" w:type="dxa"/>
            </w:tcMar>
            <w:vAlign w:val="center"/>
          </w:tcPr>
          <w:p w14:paraId="1916A512" w14:textId="77777777" w:rsidR="00C14111" w:rsidRPr="009F4685" w:rsidRDefault="009515DE">
            <w:pPr>
              <w:jc w:val="center"/>
              <w:rPr>
                <w:color w:val="auto"/>
                <w:sz w:val="24"/>
                <w:szCs w:val="24"/>
              </w:rPr>
            </w:pPr>
            <w:r w:rsidRPr="009F4685">
              <w:rPr>
                <w:b/>
                <w:color w:val="auto"/>
                <w:sz w:val="24"/>
                <w:szCs w:val="24"/>
              </w:rPr>
              <w:t>Iesniegtā iebilduma / priekšlikuma būtība</w:t>
            </w:r>
          </w:p>
        </w:tc>
        <w:tc>
          <w:tcPr>
            <w:tcW w:w="1417" w:type="dxa"/>
            <w:shd w:val="clear" w:color="auto" w:fill="F2F2F2" w:themeFill="background1" w:themeFillShade="F2"/>
            <w:noWrap/>
            <w:tcMar>
              <w:top w:w="75" w:type="dxa"/>
              <w:left w:w="75" w:type="dxa"/>
              <w:bottom w:w="75" w:type="dxa"/>
              <w:right w:w="75" w:type="dxa"/>
            </w:tcMar>
            <w:vAlign w:val="center"/>
          </w:tcPr>
          <w:p w14:paraId="14C76C13" w14:textId="77777777" w:rsidR="00C14111" w:rsidRPr="009F4685" w:rsidRDefault="009515DE">
            <w:pPr>
              <w:jc w:val="center"/>
              <w:rPr>
                <w:color w:val="auto"/>
                <w:sz w:val="24"/>
                <w:szCs w:val="24"/>
              </w:rPr>
            </w:pPr>
            <w:r w:rsidRPr="009F4685">
              <w:rPr>
                <w:b/>
                <w:color w:val="auto"/>
                <w:sz w:val="24"/>
                <w:szCs w:val="24"/>
              </w:rPr>
              <w:t>Ņemts vērā / nav ņemts vērā</w:t>
            </w:r>
          </w:p>
        </w:tc>
        <w:tc>
          <w:tcPr>
            <w:tcW w:w="4853" w:type="dxa"/>
            <w:shd w:val="clear" w:color="auto" w:fill="F2F2F2" w:themeFill="background1" w:themeFillShade="F2"/>
            <w:noWrap/>
            <w:tcMar>
              <w:top w:w="75" w:type="dxa"/>
              <w:left w:w="75" w:type="dxa"/>
              <w:bottom w:w="75" w:type="dxa"/>
              <w:right w:w="75" w:type="dxa"/>
            </w:tcMar>
            <w:vAlign w:val="center"/>
          </w:tcPr>
          <w:p w14:paraId="4189C1C9" w14:textId="77777777" w:rsidR="00C14111" w:rsidRPr="009F4685" w:rsidRDefault="009515DE">
            <w:pPr>
              <w:jc w:val="center"/>
              <w:rPr>
                <w:color w:val="auto"/>
                <w:sz w:val="24"/>
                <w:szCs w:val="24"/>
              </w:rPr>
            </w:pPr>
            <w:r w:rsidRPr="009F4685">
              <w:rPr>
                <w:b/>
                <w:color w:val="auto"/>
                <w:sz w:val="24"/>
                <w:szCs w:val="24"/>
              </w:rPr>
              <w:t>Pamatojums, ja iebildums / priekšlikums nav ņemts vērā</w:t>
            </w:r>
          </w:p>
        </w:tc>
      </w:tr>
      <w:tr w:rsidR="009F4685" w:rsidRPr="009F4685" w14:paraId="13456467" w14:textId="77777777" w:rsidTr="003F2461">
        <w:tc>
          <w:tcPr>
            <w:tcW w:w="750" w:type="dxa"/>
            <w:shd w:val="clear" w:color="auto" w:fill="FFFFFF"/>
            <w:noWrap/>
            <w:tcMar>
              <w:top w:w="75" w:type="dxa"/>
              <w:left w:w="75" w:type="dxa"/>
              <w:bottom w:w="75" w:type="dxa"/>
              <w:right w:w="75" w:type="dxa"/>
            </w:tcMar>
            <w:vAlign w:val="center"/>
          </w:tcPr>
          <w:p w14:paraId="011D17A9" w14:textId="77777777" w:rsidR="00C14111" w:rsidRPr="009F4685" w:rsidRDefault="009515DE">
            <w:pPr>
              <w:jc w:val="center"/>
              <w:rPr>
                <w:color w:val="auto"/>
                <w:sz w:val="24"/>
                <w:szCs w:val="24"/>
              </w:rPr>
            </w:pPr>
            <w:r w:rsidRPr="009F4685">
              <w:rPr>
                <w:color w:val="auto"/>
                <w:sz w:val="24"/>
                <w:szCs w:val="24"/>
              </w:rPr>
              <w:t>1.</w:t>
            </w:r>
          </w:p>
        </w:tc>
        <w:tc>
          <w:tcPr>
            <w:tcW w:w="1735" w:type="dxa"/>
            <w:shd w:val="clear" w:color="auto" w:fill="FFFFFF"/>
            <w:noWrap/>
            <w:tcMar>
              <w:top w:w="75" w:type="dxa"/>
              <w:left w:w="75" w:type="dxa"/>
              <w:bottom w:w="75" w:type="dxa"/>
              <w:right w:w="75" w:type="dxa"/>
            </w:tcMar>
            <w:vAlign w:val="center"/>
          </w:tcPr>
          <w:p w14:paraId="54215BA6" w14:textId="77777777" w:rsidR="00C14111" w:rsidRPr="009F4685" w:rsidRDefault="009515DE">
            <w:pPr>
              <w:jc w:val="left"/>
              <w:rPr>
                <w:color w:val="auto"/>
                <w:sz w:val="24"/>
                <w:szCs w:val="24"/>
              </w:rPr>
            </w:pPr>
            <w:r w:rsidRPr="009F4685">
              <w:rPr>
                <w:color w:val="auto"/>
                <w:sz w:val="24"/>
                <w:szCs w:val="24"/>
              </w:rPr>
              <w:t>"Zaļā brīvība", Lilija Apine</w:t>
            </w:r>
          </w:p>
        </w:tc>
        <w:tc>
          <w:tcPr>
            <w:tcW w:w="5812" w:type="dxa"/>
            <w:shd w:val="clear" w:color="auto" w:fill="FFFFFF"/>
            <w:noWrap/>
            <w:tcMar>
              <w:top w:w="75" w:type="dxa"/>
              <w:left w:w="75" w:type="dxa"/>
              <w:bottom w:w="75" w:type="dxa"/>
              <w:right w:w="75" w:type="dxa"/>
            </w:tcMar>
            <w:vAlign w:val="center"/>
          </w:tcPr>
          <w:p w14:paraId="2AC36367" w14:textId="77777777" w:rsidR="003F2461" w:rsidRPr="009F4685" w:rsidRDefault="009515DE" w:rsidP="004B6FFD">
            <w:pPr>
              <w:rPr>
                <w:color w:val="auto"/>
                <w:sz w:val="24"/>
                <w:szCs w:val="24"/>
              </w:rPr>
            </w:pPr>
            <w:r w:rsidRPr="009F4685">
              <w:rPr>
                <w:color w:val="auto"/>
                <w:sz w:val="24"/>
                <w:szCs w:val="24"/>
              </w:rPr>
              <w:t>Biedrības “Zaļā brīvība” priekšlikumi un iebildumi Latvijas Atveseļošanas un noturības mehānisma plāna papildinājumiem un izmaiņām</w:t>
            </w:r>
            <w:r w:rsidRPr="009F4685">
              <w:rPr>
                <w:color w:val="auto"/>
                <w:sz w:val="24"/>
                <w:szCs w:val="24"/>
              </w:rPr>
              <w:br/>
            </w:r>
            <w:r w:rsidRPr="009F4685">
              <w:rPr>
                <w:color w:val="auto"/>
                <w:sz w:val="24"/>
                <w:szCs w:val="24"/>
              </w:rPr>
              <w:br/>
              <w:t xml:space="preserve">1) Izsakām bažas par iecerēto investīciju “Patērētās dabasgāzes zaļināšana, izveidojot reģionālos biometāna ievades punktus”, kas ietverta REPowerEU sadaļā investīcijā 7.1.1.1.i. “Elektroenerģijas pārvades un sadales tīklu modernizācija un AER īpatsvara palielināšana energoapgādes sistēmā”. Kaut arī biometāna piejaukuma vairošana dabasgāzes sistēmā radītu, kaut nelielu, tomēr tūlītēju CO2 emisiju samazinājumu, tomēr maz ticams, ka biometāns nākotnē varētu aizstāt dabasgāzi pilnībā, tādā apmērā, kādā prognozējama gāzveida kurināmā izmantošana, arī situācijā, ja nenotiek valsts vadīta mērķtiecīga pāreja uz elektrificētiem risinājumiem. Līdz ar to investīcijas plašas gāzveida kurināmā sistēmas uzturēšanā var paildzināt fosilās dabasgāzes izmantošanu enerģētikā. Mūsuprāt, publiskajām investīcijām jātiek orientētām uz elektrifikācijas veicināšanu siltumapgādē, piemēram, individuālajiem un industriālajiem siltumsūkņiem. Vienlaikus pieaugot to iedzīvotāju īpatsvaram, kas no dabasgāzes atsakās par labu citām tehnoloģijām, gāzveida kurināmā infrastruktūras uzturēšana kļūs aizvien nerentablāka. Atbalstām biogāzes </w:t>
            </w:r>
            <w:r w:rsidRPr="009F4685">
              <w:rPr>
                <w:color w:val="auto"/>
                <w:sz w:val="24"/>
                <w:szCs w:val="24"/>
              </w:rPr>
              <w:lastRenderedPageBreak/>
              <w:t xml:space="preserve">ražošanu no dažāda veida atkritumiem, tā samazinot piesārņojumu, un tās racionālu izmantošanu tur, kur elektrifikācija ir apgrūtināta vai neiespējama. Tomēr investīcijām biometāna </w:t>
            </w:r>
            <w:r w:rsidR="003F2461" w:rsidRPr="009F4685">
              <w:rPr>
                <w:color w:val="auto"/>
                <w:sz w:val="24"/>
                <w:szCs w:val="24"/>
              </w:rPr>
              <w:t>infrastruktūrā</w:t>
            </w:r>
            <w:r w:rsidRPr="009F4685">
              <w:rPr>
                <w:color w:val="auto"/>
                <w:sz w:val="24"/>
                <w:szCs w:val="24"/>
              </w:rPr>
              <w:t xml:space="preserve"> nevajadzētu novērst uzmanību (un investīcijas) no nepieciešamības pēc iespējas ātrāk pāriet uz elektrificētiem risinājumiem siltumapgādē. </w:t>
            </w:r>
            <w:r w:rsidRPr="009F4685">
              <w:rPr>
                <w:color w:val="auto"/>
                <w:sz w:val="24"/>
                <w:szCs w:val="24"/>
              </w:rPr>
              <w:br/>
            </w:r>
            <w:r w:rsidRPr="009F4685">
              <w:rPr>
                <w:color w:val="auto"/>
                <w:sz w:val="24"/>
                <w:szCs w:val="24"/>
              </w:rPr>
              <w:br/>
              <w:t>Turklāt biogāzes ražošana ir cieši saistīta ar gaļas un piena ražošanu, kas, būdama ar lielu negatīvu ietekmi uz klimata pārmaiņām, ceļā uz klimatneitralitāti būs jāsamazina, pamazām mainot iedzīvotāju paradumus.  </w:t>
            </w:r>
            <w:r w:rsidRPr="009F4685">
              <w:rPr>
                <w:color w:val="auto"/>
                <w:sz w:val="24"/>
                <w:szCs w:val="24"/>
              </w:rPr>
              <w:br/>
            </w:r>
          </w:p>
          <w:p w14:paraId="0B967FCB" w14:textId="77777777" w:rsidR="003F2461" w:rsidRPr="009F4685" w:rsidRDefault="003F2461" w:rsidP="004B6FFD">
            <w:pPr>
              <w:rPr>
                <w:color w:val="auto"/>
                <w:sz w:val="24"/>
                <w:szCs w:val="24"/>
              </w:rPr>
            </w:pPr>
          </w:p>
          <w:p w14:paraId="222FCEC3" w14:textId="77777777" w:rsidR="0060562C" w:rsidRPr="009F4685" w:rsidRDefault="009515DE" w:rsidP="004B6FFD">
            <w:pPr>
              <w:rPr>
                <w:color w:val="auto"/>
                <w:sz w:val="24"/>
                <w:szCs w:val="24"/>
              </w:rPr>
            </w:pPr>
            <w:r w:rsidRPr="009F4685">
              <w:rPr>
                <w:color w:val="auto"/>
                <w:sz w:val="24"/>
                <w:szCs w:val="24"/>
              </w:rPr>
              <w:br/>
              <w:t>2) Neatbalstām ierosinātās izmaiņas 3.1.1.1.i. investīcijā “Valsts reģionālo un vietējo autoceļu tīkla uzlabošana”, kurā tiek svītroti investīcijas rādītāji Nr.87 un Nr.88 jeb septiņu bezizmešu bateriju elektrovilcienu iegāde un piegāde un 21 bezizmešu pilsētas sabiedriskā transporta vienību (elektroautobusu un tramvaju) piegāde Rīgas metropoles areāla tīklam. Izsvītrošanas pamatojumā ir minēts, ka “tie dublējas ar 1.1.1.1.i.1. un 1.1.1.2.i.1.pasākuma rādītājiem, un konkrētie rādītāji tiks sasniegti 1.komponentes ietvaros”. Tomēr šie rādītāji netiks sasniegti minēto pasākumu ietvaros, jo: </w:t>
            </w:r>
            <w:r w:rsidRPr="009F4685">
              <w:rPr>
                <w:color w:val="auto"/>
                <w:sz w:val="24"/>
                <w:szCs w:val="24"/>
              </w:rPr>
              <w:br/>
              <w:t xml:space="preserve">2.1. Esošajā aprakstā starp 1.1.1.1.i.1. un 1.1.1.2.i.1. pasākumiem nemaz nav iecerēta bezizmešu bateriju </w:t>
            </w:r>
            <w:r w:rsidRPr="009F4685">
              <w:rPr>
                <w:color w:val="auto"/>
                <w:sz w:val="24"/>
                <w:szCs w:val="24"/>
              </w:rPr>
              <w:lastRenderedPageBreak/>
              <w:t>elektrovilcienu iegāde un piegāde. Tādējādi, svītrojot tos 3.1.1.1.i. investīcijā, nekur vairs nav paredzēta šada investīcija. </w:t>
            </w:r>
            <w:r w:rsidRPr="009F4685">
              <w:rPr>
                <w:color w:val="auto"/>
                <w:sz w:val="24"/>
                <w:szCs w:val="24"/>
              </w:rPr>
              <w:br/>
              <w:t>2.2. Pārējie rādītāji - 21 bezizmešu pilsētas sabiedriskā transporta vienību (elektroautobusu un tramvaju) piegāde - arī netiks sasniegti 1.1.1.1.i.1. un 1.1.1.2.i.1. pasākumu ietvaros, jo līdz ar grozījumiem tiem jau tā tiek samazināti sasniedzamie rādītāji (objektīvu iemeslu dēļ). Tikai tad, ja šiem 1.1.1.1.i.1. un 1.1.1.2.i.1. pasākumiem pieaugtu sasniedzamie rādītāji vai tie vismaz nesamazinātos, tad varētu uzskatīt, ka minēto rādītāju izslēgšana no 3.1.1.1.i. investīcijas neietekmētu kopējos sasniegtos rādītājus transporta sektora emisiju samazināšanā. </w:t>
            </w:r>
            <w:r w:rsidRPr="009F4685">
              <w:rPr>
                <w:color w:val="auto"/>
                <w:sz w:val="24"/>
                <w:szCs w:val="24"/>
              </w:rPr>
              <w:br/>
              <w:t>Šobrīd 3.1.1.1.i. investīcijas rādītājs “valsts reģionālo un vietējo ceļu renovāciju un rekonstrukciju 210 km garumā” netiek samazināts uz to pasākumu rēķina, kas būtu radījis SEG emisiju samazinājumu transporta nozarē.  </w:t>
            </w:r>
            <w:r w:rsidRPr="009F4685">
              <w:rPr>
                <w:color w:val="auto"/>
                <w:sz w:val="24"/>
                <w:szCs w:val="24"/>
              </w:rPr>
              <w:br/>
              <w:t>Aicinām uzlabot skaidrojumu par to, kā investīciju rādītāju Nr.87 un Nr.88 izslēgšana no 3.1.1.1.i. investīcijas tiks kompensēta ar  1.1.1.1.i.1. un 1.1.1.2.i.1. pasākumos plānotajām, īstenotajām investīcijām. </w:t>
            </w:r>
            <w:r w:rsidRPr="009F4685">
              <w:rPr>
                <w:color w:val="auto"/>
                <w:sz w:val="24"/>
                <w:szCs w:val="24"/>
              </w:rPr>
              <w:br/>
            </w:r>
            <w:r w:rsidRPr="009F4685">
              <w:rPr>
                <w:color w:val="auto"/>
                <w:sz w:val="24"/>
                <w:szCs w:val="24"/>
              </w:rPr>
              <w:br/>
            </w:r>
          </w:p>
          <w:p w14:paraId="63C7A371" w14:textId="77777777" w:rsidR="0060562C" w:rsidRPr="009F4685" w:rsidRDefault="0060562C" w:rsidP="004B6FFD">
            <w:pPr>
              <w:rPr>
                <w:color w:val="auto"/>
                <w:sz w:val="24"/>
                <w:szCs w:val="24"/>
              </w:rPr>
            </w:pPr>
          </w:p>
          <w:p w14:paraId="1EFF8D54" w14:textId="77777777" w:rsidR="0060562C" w:rsidRPr="009F4685" w:rsidRDefault="0060562C" w:rsidP="004B6FFD">
            <w:pPr>
              <w:rPr>
                <w:color w:val="auto"/>
                <w:sz w:val="24"/>
                <w:szCs w:val="24"/>
              </w:rPr>
            </w:pPr>
          </w:p>
          <w:p w14:paraId="69759641" w14:textId="77777777" w:rsidR="0060562C" w:rsidRPr="009F4685" w:rsidRDefault="0060562C" w:rsidP="004B6FFD">
            <w:pPr>
              <w:rPr>
                <w:color w:val="auto"/>
                <w:sz w:val="24"/>
                <w:szCs w:val="24"/>
              </w:rPr>
            </w:pPr>
          </w:p>
          <w:p w14:paraId="554F037B" w14:textId="77777777" w:rsidR="0060562C" w:rsidRPr="009F4685" w:rsidRDefault="0060562C" w:rsidP="004B6FFD">
            <w:pPr>
              <w:rPr>
                <w:color w:val="auto"/>
                <w:sz w:val="24"/>
                <w:szCs w:val="24"/>
              </w:rPr>
            </w:pPr>
          </w:p>
          <w:p w14:paraId="2AD8420A" w14:textId="77777777" w:rsidR="0060562C" w:rsidRPr="009F4685" w:rsidRDefault="0060562C" w:rsidP="004B6FFD">
            <w:pPr>
              <w:rPr>
                <w:color w:val="auto"/>
                <w:sz w:val="24"/>
                <w:szCs w:val="24"/>
              </w:rPr>
            </w:pPr>
          </w:p>
          <w:p w14:paraId="173A06DC" w14:textId="77777777" w:rsidR="0060562C" w:rsidRPr="009F4685" w:rsidRDefault="0060562C" w:rsidP="004B6FFD">
            <w:pPr>
              <w:rPr>
                <w:color w:val="auto"/>
                <w:sz w:val="24"/>
                <w:szCs w:val="24"/>
              </w:rPr>
            </w:pPr>
          </w:p>
          <w:p w14:paraId="533F3F9E" w14:textId="77777777" w:rsidR="0060562C" w:rsidRPr="009F4685" w:rsidRDefault="0060562C" w:rsidP="004B6FFD">
            <w:pPr>
              <w:rPr>
                <w:color w:val="auto"/>
                <w:sz w:val="24"/>
                <w:szCs w:val="24"/>
              </w:rPr>
            </w:pPr>
          </w:p>
          <w:p w14:paraId="72B8B605" w14:textId="77777777" w:rsidR="0060562C" w:rsidRPr="009F4685" w:rsidRDefault="0060562C" w:rsidP="004B6FFD">
            <w:pPr>
              <w:rPr>
                <w:color w:val="auto"/>
                <w:sz w:val="24"/>
                <w:szCs w:val="24"/>
              </w:rPr>
            </w:pPr>
          </w:p>
          <w:p w14:paraId="5B47217D" w14:textId="77777777" w:rsidR="0060562C" w:rsidRPr="009F4685" w:rsidRDefault="0060562C" w:rsidP="004B6FFD">
            <w:pPr>
              <w:rPr>
                <w:color w:val="auto"/>
                <w:sz w:val="24"/>
                <w:szCs w:val="24"/>
              </w:rPr>
            </w:pPr>
          </w:p>
          <w:p w14:paraId="2E176100" w14:textId="77777777" w:rsidR="0060562C" w:rsidRPr="009F4685" w:rsidRDefault="0060562C" w:rsidP="004B6FFD">
            <w:pPr>
              <w:rPr>
                <w:color w:val="auto"/>
                <w:sz w:val="24"/>
                <w:szCs w:val="24"/>
              </w:rPr>
            </w:pPr>
          </w:p>
          <w:p w14:paraId="43FCCB58" w14:textId="77777777" w:rsidR="0060562C" w:rsidRPr="009F4685" w:rsidRDefault="0060562C" w:rsidP="004B6FFD">
            <w:pPr>
              <w:rPr>
                <w:color w:val="auto"/>
                <w:sz w:val="24"/>
                <w:szCs w:val="24"/>
              </w:rPr>
            </w:pPr>
          </w:p>
          <w:p w14:paraId="07A6D383" w14:textId="77777777" w:rsidR="0060562C" w:rsidRPr="009F4685" w:rsidRDefault="0060562C" w:rsidP="004B6FFD">
            <w:pPr>
              <w:rPr>
                <w:color w:val="auto"/>
                <w:sz w:val="24"/>
                <w:szCs w:val="24"/>
              </w:rPr>
            </w:pPr>
          </w:p>
          <w:p w14:paraId="5DD7E72F" w14:textId="77777777" w:rsidR="0060562C" w:rsidRPr="009F4685" w:rsidRDefault="0060562C" w:rsidP="004B6FFD">
            <w:pPr>
              <w:rPr>
                <w:color w:val="auto"/>
                <w:sz w:val="24"/>
                <w:szCs w:val="24"/>
              </w:rPr>
            </w:pPr>
          </w:p>
          <w:p w14:paraId="0B0930AA" w14:textId="77777777" w:rsidR="0060562C" w:rsidRPr="009F4685" w:rsidRDefault="0060562C" w:rsidP="004B6FFD">
            <w:pPr>
              <w:rPr>
                <w:color w:val="auto"/>
                <w:sz w:val="24"/>
                <w:szCs w:val="24"/>
              </w:rPr>
            </w:pPr>
          </w:p>
          <w:p w14:paraId="6B5A5DBD" w14:textId="77777777" w:rsidR="0060562C" w:rsidRPr="009F4685" w:rsidRDefault="0060562C" w:rsidP="004B6FFD">
            <w:pPr>
              <w:rPr>
                <w:color w:val="auto"/>
                <w:sz w:val="24"/>
                <w:szCs w:val="24"/>
              </w:rPr>
            </w:pPr>
          </w:p>
          <w:p w14:paraId="7AA610E5" w14:textId="77777777" w:rsidR="0060562C" w:rsidRPr="009F4685" w:rsidRDefault="0060562C" w:rsidP="004B6FFD">
            <w:pPr>
              <w:rPr>
                <w:color w:val="auto"/>
                <w:sz w:val="24"/>
                <w:szCs w:val="24"/>
              </w:rPr>
            </w:pPr>
          </w:p>
          <w:p w14:paraId="55D8A4C8" w14:textId="77777777" w:rsidR="0060562C" w:rsidRPr="009F4685" w:rsidRDefault="0060562C" w:rsidP="004B6FFD">
            <w:pPr>
              <w:rPr>
                <w:color w:val="auto"/>
                <w:sz w:val="24"/>
                <w:szCs w:val="24"/>
              </w:rPr>
            </w:pPr>
          </w:p>
          <w:p w14:paraId="0B14F025" w14:textId="77777777" w:rsidR="0060562C" w:rsidRPr="009F4685" w:rsidRDefault="0060562C" w:rsidP="004B6FFD">
            <w:pPr>
              <w:rPr>
                <w:color w:val="auto"/>
                <w:sz w:val="24"/>
                <w:szCs w:val="24"/>
              </w:rPr>
            </w:pPr>
          </w:p>
          <w:p w14:paraId="608DA90E" w14:textId="77777777" w:rsidR="0060562C" w:rsidRPr="009F4685" w:rsidRDefault="0060562C" w:rsidP="004B6FFD">
            <w:pPr>
              <w:rPr>
                <w:color w:val="auto"/>
                <w:sz w:val="24"/>
                <w:szCs w:val="24"/>
              </w:rPr>
            </w:pPr>
          </w:p>
          <w:p w14:paraId="27B640A9" w14:textId="77777777" w:rsidR="0060562C" w:rsidRPr="009F4685" w:rsidRDefault="0060562C" w:rsidP="004B6FFD">
            <w:pPr>
              <w:rPr>
                <w:color w:val="auto"/>
                <w:sz w:val="24"/>
                <w:szCs w:val="24"/>
              </w:rPr>
            </w:pPr>
          </w:p>
          <w:p w14:paraId="1E22A6A9" w14:textId="77777777" w:rsidR="0060562C" w:rsidRPr="009F4685" w:rsidRDefault="0060562C" w:rsidP="004B6FFD">
            <w:pPr>
              <w:rPr>
                <w:color w:val="auto"/>
                <w:sz w:val="24"/>
                <w:szCs w:val="24"/>
              </w:rPr>
            </w:pPr>
          </w:p>
          <w:p w14:paraId="376DA09D" w14:textId="77777777" w:rsidR="0060562C" w:rsidRPr="009F4685" w:rsidRDefault="0060562C" w:rsidP="004B6FFD">
            <w:pPr>
              <w:rPr>
                <w:color w:val="auto"/>
                <w:sz w:val="24"/>
                <w:szCs w:val="24"/>
              </w:rPr>
            </w:pPr>
          </w:p>
          <w:p w14:paraId="2E17CE3E" w14:textId="77777777" w:rsidR="0060562C" w:rsidRPr="009F4685" w:rsidRDefault="0060562C" w:rsidP="004B6FFD">
            <w:pPr>
              <w:rPr>
                <w:color w:val="auto"/>
                <w:sz w:val="24"/>
                <w:szCs w:val="24"/>
              </w:rPr>
            </w:pPr>
          </w:p>
          <w:p w14:paraId="30811C41" w14:textId="77777777" w:rsidR="0060562C" w:rsidRPr="009F4685" w:rsidRDefault="0060562C" w:rsidP="004B6FFD">
            <w:pPr>
              <w:rPr>
                <w:color w:val="auto"/>
                <w:sz w:val="24"/>
                <w:szCs w:val="24"/>
              </w:rPr>
            </w:pPr>
          </w:p>
          <w:p w14:paraId="13B779A2" w14:textId="77777777" w:rsidR="0060562C" w:rsidRPr="009F4685" w:rsidRDefault="0060562C" w:rsidP="004B6FFD">
            <w:pPr>
              <w:rPr>
                <w:color w:val="auto"/>
                <w:sz w:val="24"/>
                <w:szCs w:val="24"/>
              </w:rPr>
            </w:pPr>
          </w:p>
          <w:p w14:paraId="2A4F4377" w14:textId="77777777" w:rsidR="0060562C" w:rsidRPr="009F4685" w:rsidRDefault="0060562C" w:rsidP="004B6FFD">
            <w:pPr>
              <w:rPr>
                <w:color w:val="auto"/>
                <w:sz w:val="24"/>
                <w:szCs w:val="24"/>
              </w:rPr>
            </w:pPr>
          </w:p>
          <w:p w14:paraId="3C1886C4" w14:textId="77777777" w:rsidR="0060562C" w:rsidRPr="009F4685" w:rsidRDefault="0060562C" w:rsidP="004B6FFD">
            <w:pPr>
              <w:rPr>
                <w:color w:val="auto"/>
                <w:sz w:val="24"/>
                <w:szCs w:val="24"/>
              </w:rPr>
            </w:pPr>
          </w:p>
          <w:p w14:paraId="01668A0B" w14:textId="77777777" w:rsidR="0060562C" w:rsidRPr="009F4685" w:rsidRDefault="0060562C" w:rsidP="004B6FFD">
            <w:pPr>
              <w:rPr>
                <w:color w:val="auto"/>
                <w:sz w:val="24"/>
                <w:szCs w:val="24"/>
              </w:rPr>
            </w:pPr>
          </w:p>
          <w:p w14:paraId="54937B42" w14:textId="77777777" w:rsidR="0060562C" w:rsidRPr="009F4685" w:rsidRDefault="0060562C" w:rsidP="004B6FFD">
            <w:pPr>
              <w:rPr>
                <w:color w:val="auto"/>
                <w:sz w:val="24"/>
                <w:szCs w:val="24"/>
              </w:rPr>
            </w:pPr>
          </w:p>
          <w:p w14:paraId="2A197056" w14:textId="77777777" w:rsidR="0060562C" w:rsidRPr="009F4685" w:rsidRDefault="0060562C" w:rsidP="004B6FFD">
            <w:pPr>
              <w:rPr>
                <w:color w:val="auto"/>
                <w:sz w:val="24"/>
                <w:szCs w:val="24"/>
              </w:rPr>
            </w:pPr>
          </w:p>
          <w:p w14:paraId="68546E1F" w14:textId="77777777" w:rsidR="0060562C" w:rsidRPr="009F4685" w:rsidRDefault="0060562C" w:rsidP="004B6FFD">
            <w:pPr>
              <w:rPr>
                <w:color w:val="auto"/>
                <w:sz w:val="24"/>
                <w:szCs w:val="24"/>
              </w:rPr>
            </w:pPr>
          </w:p>
          <w:p w14:paraId="501C8F42" w14:textId="77777777" w:rsidR="0060562C" w:rsidRPr="009F4685" w:rsidRDefault="0060562C" w:rsidP="004B6FFD">
            <w:pPr>
              <w:rPr>
                <w:color w:val="auto"/>
                <w:sz w:val="24"/>
                <w:szCs w:val="24"/>
              </w:rPr>
            </w:pPr>
          </w:p>
          <w:p w14:paraId="2EC354F4" w14:textId="77777777" w:rsidR="0060562C" w:rsidRPr="009F4685" w:rsidRDefault="0060562C" w:rsidP="004B6FFD">
            <w:pPr>
              <w:rPr>
                <w:color w:val="auto"/>
                <w:sz w:val="24"/>
                <w:szCs w:val="24"/>
              </w:rPr>
            </w:pPr>
          </w:p>
          <w:p w14:paraId="667E00E7" w14:textId="77777777" w:rsidR="0060562C" w:rsidRPr="009F4685" w:rsidRDefault="0060562C" w:rsidP="004B6FFD">
            <w:pPr>
              <w:rPr>
                <w:color w:val="auto"/>
                <w:sz w:val="24"/>
                <w:szCs w:val="24"/>
              </w:rPr>
            </w:pPr>
          </w:p>
          <w:p w14:paraId="07E5E94C" w14:textId="77777777" w:rsidR="0060562C" w:rsidRPr="009F4685" w:rsidRDefault="0060562C" w:rsidP="004B6FFD">
            <w:pPr>
              <w:rPr>
                <w:color w:val="auto"/>
                <w:sz w:val="24"/>
                <w:szCs w:val="24"/>
              </w:rPr>
            </w:pPr>
          </w:p>
          <w:p w14:paraId="4CCF14A8" w14:textId="77777777" w:rsidR="0060562C" w:rsidRPr="009F4685" w:rsidRDefault="0060562C" w:rsidP="004B6FFD">
            <w:pPr>
              <w:rPr>
                <w:color w:val="auto"/>
                <w:sz w:val="24"/>
                <w:szCs w:val="24"/>
              </w:rPr>
            </w:pPr>
          </w:p>
          <w:p w14:paraId="563260BD" w14:textId="77777777" w:rsidR="0060562C" w:rsidRPr="009F4685" w:rsidRDefault="0060562C" w:rsidP="004B6FFD">
            <w:pPr>
              <w:rPr>
                <w:color w:val="auto"/>
                <w:sz w:val="24"/>
                <w:szCs w:val="24"/>
              </w:rPr>
            </w:pPr>
          </w:p>
          <w:p w14:paraId="167FDFDA" w14:textId="77777777" w:rsidR="0060562C" w:rsidRPr="009F4685" w:rsidRDefault="0060562C" w:rsidP="004B6FFD">
            <w:pPr>
              <w:rPr>
                <w:color w:val="auto"/>
                <w:sz w:val="24"/>
                <w:szCs w:val="24"/>
              </w:rPr>
            </w:pPr>
          </w:p>
          <w:p w14:paraId="2C481682" w14:textId="77777777" w:rsidR="0060562C" w:rsidRPr="009F4685" w:rsidRDefault="0060562C" w:rsidP="004B6FFD">
            <w:pPr>
              <w:rPr>
                <w:color w:val="auto"/>
                <w:sz w:val="24"/>
                <w:szCs w:val="24"/>
              </w:rPr>
            </w:pPr>
          </w:p>
          <w:p w14:paraId="268EC404" w14:textId="77777777" w:rsidR="0060562C" w:rsidRPr="009F4685" w:rsidRDefault="0060562C" w:rsidP="004B6FFD">
            <w:pPr>
              <w:rPr>
                <w:color w:val="auto"/>
                <w:sz w:val="24"/>
                <w:szCs w:val="24"/>
              </w:rPr>
            </w:pPr>
          </w:p>
          <w:p w14:paraId="5623A210" w14:textId="77777777" w:rsidR="0060562C" w:rsidRPr="009F4685" w:rsidRDefault="0060562C" w:rsidP="004B6FFD">
            <w:pPr>
              <w:rPr>
                <w:color w:val="auto"/>
                <w:sz w:val="24"/>
                <w:szCs w:val="24"/>
              </w:rPr>
            </w:pPr>
          </w:p>
          <w:p w14:paraId="05F65B4B" w14:textId="77777777" w:rsidR="0060562C" w:rsidRPr="009F4685" w:rsidRDefault="0060562C" w:rsidP="004B6FFD">
            <w:pPr>
              <w:rPr>
                <w:color w:val="auto"/>
                <w:sz w:val="24"/>
                <w:szCs w:val="24"/>
              </w:rPr>
            </w:pPr>
          </w:p>
          <w:p w14:paraId="777B7254" w14:textId="77777777" w:rsidR="0060562C" w:rsidRPr="009F4685" w:rsidRDefault="0060562C" w:rsidP="004B6FFD">
            <w:pPr>
              <w:rPr>
                <w:color w:val="auto"/>
                <w:sz w:val="24"/>
                <w:szCs w:val="24"/>
              </w:rPr>
            </w:pPr>
          </w:p>
          <w:p w14:paraId="68A78F3E" w14:textId="77777777" w:rsidR="0060562C" w:rsidRPr="009F4685" w:rsidRDefault="0060562C" w:rsidP="004B6FFD">
            <w:pPr>
              <w:rPr>
                <w:color w:val="auto"/>
                <w:sz w:val="24"/>
                <w:szCs w:val="24"/>
              </w:rPr>
            </w:pPr>
          </w:p>
          <w:p w14:paraId="4FBC58A2" w14:textId="77777777" w:rsidR="0060562C" w:rsidRPr="009F4685" w:rsidRDefault="0060562C" w:rsidP="004B6FFD">
            <w:pPr>
              <w:rPr>
                <w:color w:val="auto"/>
                <w:sz w:val="24"/>
                <w:szCs w:val="24"/>
              </w:rPr>
            </w:pPr>
          </w:p>
          <w:p w14:paraId="4B960074" w14:textId="77777777" w:rsidR="0060562C" w:rsidRPr="009F4685" w:rsidRDefault="0060562C" w:rsidP="004B6FFD">
            <w:pPr>
              <w:rPr>
                <w:color w:val="auto"/>
                <w:sz w:val="24"/>
                <w:szCs w:val="24"/>
              </w:rPr>
            </w:pPr>
          </w:p>
          <w:p w14:paraId="4C74CABA" w14:textId="77777777" w:rsidR="0060562C" w:rsidRPr="009F4685" w:rsidRDefault="0060562C" w:rsidP="004B6FFD">
            <w:pPr>
              <w:rPr>
                <w:color w:val="auto"/>
                <w:sz w:val="24"/>
                <w:szCs w:val="24"/>
              </w:rPr>
            </w:pPr>
          </w:p>
          <w:p w14:paraId="5EAA5248" w14:textId="77777777" w:rsidR="0060562C" w:rsidRPr="009F4685" w:rsidRDefault="0060562C" w:rsidP="004B6FFD">
            <w:pPr>
              <w:rPr>
                <w:color w:val="auto"/>
                <w:sz w:val="24"/>
                <w:szCs w:val="24"/>
              </w:rPr>
            </w:pPr>
          </w:p>
          <w:p w14:paraId="574AA99B" w14:textId="77777777" w:rsidR="0060562C" w:rsidRPr="009F4685" w:rsidRDefault="0060562C" w:rsidP="004B6FFD">
            <w:pPr>
              <w:rPr>
                <w:color w:val="auto"/>
                <w:sz w:val="24"/>
                <w:szCs w:val="24"/>
              </w:rPr>
            </w:pPr>
          </w:p>
          <w:p w14:paraId="13E59855" w14:textId="77777777" w:rsidR="0060562C" w:rsidRPr="009F4685" w:rsidRDefault="0060562C" w:rsidP="004B6FFD">
            <w:pPr>
              <w:rPr>
                <w:color w:val="auto"/>
                <w:sz w:val="24"/>
                <w:szCs w:val="24"/>
              </w:rPr>
            </w:pPr>
          </w:p>
          <w:p w14:paraId="56C86942" w14:textId="77777777" w:rsidR="0060562C" w:rsidRPr="009F4685" w:rsidRDefault="0060562C" w:rsidP="004B6FFD">
            <w:pPr>
              <w:rPr>
                <w:color w:val="auto"/>
                <w:sz w:val="24"/>
                <w:szCs w:val="24"/>
              </w:rPr>
            </w:pPr>
          </w:p>
          <w:p w14:paraId="2BB8AA8D" w14:textId="77777777" w:rsidR="0060562C" w:rsidRPr="009F4685" w:rsidRDefault="0060562C" w:rsidP="004B6FFD">
            <w:pPr>
              <w:rPr>
                <w:color w:val="auto"/>
                <w:sz w:val="24"/>
                <w:szCs w:val="24"/>
              </w:rPr>
            </w:pPr>
          </w:p>
          <w:p w14:paraId="7F2097E4" w14:textId="77777777" w:rsidR="0060562C" w:rsidRPr="009F4685" w:rsidRDefault="0060562C" w:rsidP="004B6FFD">
            <w:pPr>
              <w:rPr>
                <w:color w:val="auto"/>
                <w:sz w:val="24"/>
                <w:szCs w:val="24"/>
              </w:rPr>
            </w:pPr>
          </w:p>
          <w:p w14:paraId="015FB837" w14:textId="77777777" w:rsidR="0060562C" w:rsidRPr="009F4685" w:rsidRDefault="0060562C" w:rsidP="004B6FFD">
            <w:pPr>
              <w:rPr>
                <w:color w:val="auto"/>
                <w:sz w:val="24"/>
                <w:szCs w:val="24"/>
              </w:rPr>
            </w:pPr>
          </w:p>
          <w:p w14:paraId="15EC6EC1" w14:textId="77777777" w:rsidR="0060562C" w:rsidRPr="009F4685" w:rsidRDefault="0060562C" w:rsidP="004B6FFD">
            <w:pPr>
              <w:rPr>
                <w:color w:val="auto"/>
                <w:sz w:val="24"/>
                <w:szCs w:val="24"/>
              </w:rPr>
            </w:pPr>
          </w:p>
          <w:p w14:paraId="006928DB" w14:textId="77777777" w:rsidR="0060562C" w:rsidRPr="009F4685" w:rsidRDefault="0060562C" w:rsidP="004B6FFD">
            <w:pPr>
              <w:rPr>
                <w:color w:val="auto"/>
                <w:sz w:val="24"/>
                <w:szCs w:val="24"/>
              </w:rPr>
            </w:pPr>
          </w:p>
          <w:p w14:paraId="06C78278" w14:textId="77777777" w:rsidR="0060562C" w:rsidRPr="009F4685" w:rsidRDefault="0060562C" w:rsidP="004B6FFD">
            <w:pPr>
              <w:rPr>
                <w:color w:val="auto"/>
                <w:sz w:val="24"/>
                <w:szCs w:val="24"/>
              </w:rPr>
            </w:pPr>
          </w:p>
          <w:p w14:paraId="31807774" w14:textId="77777777" w:rsidR="0060562C" w:rsidRPr="009F4685" w:rsidRDefault="0060562C" w:rsidP="004B6FFD">
            <w:pPr>
              <w:rPr>
                <w:color w:val="auto"/>
                <w:sz w:val="24"/>
                <w:szCs w:val="24"/>
              </w:rPr>
            </w:pPr>
          </w:p>
          <w:p w14:paraId="64A13160" w14:textId="77777777" w:rsidR="0060562C" w:rsidRPr="009F4685" w:rsidRDefault="0060562C" w:rsidP="004B6FFD">
            <w:pPr>
              <w:rPr>
                <w:color w:val="auto"/>
                <w:sz w:val="24"/>
                <w:szCs w:val="24"/>
              </w:rPr>
            </w:pPr>
          </w:p>
          <w:p w14:paraId="107E5900" w14:textId="77777777" w:rsidR="0060562C" w:rsidRPr="009F4685" w:rsidRDefault="0060562C" w:rsidP="004B6FFD">
            <w:pPr>
              <w:rPr>
                <w:color w:val="auto"/>
                <w:sz w:val="24"/>
                <w:szCs w:val="24"/>
              </w:rPr>
            </w:pPr>
          </w:p>
          <w:p w14:paraId="660F34BA" w14:textId="77777777" w:rsidR="0060562C" w:rsidRPr="009F4685" w:rsidRDefault="0060562C" w:rsidP="004B6FFD">
            <w:pPr>
              <w:rPr>
                <w:color w:val="auto"/>
                <w:sz w:val="24"/>
                <w:szCs w:val="24"/>
              </w:rPr>
            </w:pPr>
          </w:p>
          <w:p w14:paraId="3C1B2FFB" w14:textId="77777777" w:rsidR="0060562C" w:rsidRPr="009F4685" w:rsidRDefault="0060562C" w:rsidP="004B6FFD">
            <w:pPr>
              <w:rPr>
                <w:color w:val="auto"/>
                <w:sz w:val="24"/>
                <w:szCs w:val="24"/>
              </w:rPr>
            </w:pPr>
          </w:p>
          <w:p w14:paraId="0961213B" w14:textId="77777777" w:rsidR="0060562C" w:rsidRPr="009F4685" w:rsidRDefault="0060562C" w:rsidP="004B6FFD">
            <w:pPr>
              <w:rPr>
                <w:color w:val="auto"/>
                <w:sz w:val="24"/>
                <w:szCs w:val="24"/>
              </w:rPr>
            </w:pPr>
          </w:p>
          <w:p w14:paraId="54475C86" w14:textId="77777777" w:rsidR="0060562C" w:rsidRPr="009F4685" w:rsidRDefault="0060562C" w:rsidP="004B6FFD">
            <w:pPr>
              <w:rPr>
                <w:color w:val="auto"/>
                <w:sz w:val="24"/>
                <w:szCs w:val="24"/>
              </w:rPr>
            </w:pPr>
          </w:p>
          <w:p w14:paraId="5BDF49A3" w14:textId="77777777" w:rsidR="0060562C" w:rsidRPr="009F4685" w:rsidRDefault="0060562C" w:rsidP="004B6FFD">
            <w:pPr>
              <w:rPr>
                <w:color w:val="auto"/>
                <w:sz w:val="24"/>
                <w:szCs w:val="24"/>
              </w:rPr>
            </w:pPr>
          </w:p>
          <w:p w14:paraId="7510A775" w14:textId="77777777" w:rsidR="0060562C" w:rsidRPr="009F4685" w:rsidRDefault="0060562C" w:rsidP="004B6FFD">
            <w:pPr>
              <w:rPr>
                <w:color w:val="auto"/>
                <w:sz w:val="24"/>
                <w:szCs w:val="24"/>
              </w:rPr>
            </w:pPr>
          </w:p>
          <w:p w14:paraId="049E792B" w14:textId="77777777" w:rsidR="0060562C" w:rsidRPr="009F4685" w:rsidRDefault="0060562C" w:rsidP="004B6FFD">
            <w:pPr>
              <w:rPr>
                <w:color w:val="auto"/>
                <w:sz w:val="24"/>
                <w:szCs w:val="24"/>
              </w:rPr>
            </w:pPr>
          </w:p>
          <w:p w14:paraId="63D3D8D9" w14:textId="77777777" w:rsidR="0060562C" w:rsidRPr="009F4685" w:rsidRDefault="0060562C" w:rsidP="004B6FFD">
            <w:pPr>
              <w:rPr>
                <w:color w:val="auto"/>
                <w:sz w:val="24"/>
                <w:szCs w:val="24"/>
              </w:rPr>
            </w:pPr>
          </w:p>
          <w:p w14:paraId="26C411C3" w14:textId="77777777" w:rsidR="0060562C" w:rsidRPr="009F4685" w:rsidRDefault="0060562C" w:rsidP="004B6FFD">
            <w:pPr>
              <w:rPr>
                <w:color w:val="auto"/>
                <w:sz w:val="24"/>
                <w:szCs w:val="24"/>
              </w:rPr>
            </w:pPr>
          </w:p>
          <w:p w14:paraId="13C873DB" w14:textId="77777777" w:rsidR="0060562C" w:rsidRPr="009F4685" w:rsidRDefault="0060562C" w:rsidP="004B6FFD">
            <w:pPr>
              <w:rPr>
                <w:color w:val="auto"/>
                <w:sz w:val="24"/>
                <w:szCs w:val="24"/>
              </w:rPr>
            </w:pPr>
          </w:p>
          <w:p w14:paraId="118FE510" w14:textId="77777777" w:rsidR="0060562C" w:rsidRPr="009F4685" w:rsidRDefault="0060562C" w:rsidP="004B6FFD">
            <w:pPr>
              <w:rPr>
                <w:color w:val="auto"/>
                <w:sz w:val="24"/>
                <w:szCs w:val="24"/>
              </w:rPr>
            </w:pPr>
          </w:p>
          <w:p w14:paraId="0D6FD4E7" w14:textId="77777777" w:rsidR="0060562C" w:rsidRPr="009F4685" w:rsidRDefault="0060562C" w:rsidP="004B6FFD">
            <w:pPr>
              <w:rPr>
                <w:color w:val="auto"/>
                <w:sz w:val="24"/>
                <w:szCs w:val="24"/>
              </w:rPr>
            </w:pPr>
          </w:p>
          <w:p w14:paraId="4CFC6ED3" w14:textId="77777777" w:rsidR="0060562C" w:rsidRPr="009F4685" w:rsidRDefault="0060562C" w:rsidP="004B6FFD">
            <w:pPr>
              <w:rPr>
                <w:color w:val="auto"/>
                <w:sz w:val="24"/>
                <w:szCs w:val="24"/>
              </w:rPr>
            </w:pPr>
          </w:p>
          <w:p w14:paraId="25FB9A4B" w14:textId="77777777" w:rsidR="0060562C" w:rsidRPr="009F4685" w:rsidRDefault="0060562C" w:rsidP="004B6FFD">
            <w:pPr>
              <w:rPr>
                <w:color w:val="auto"/>
                <w:sz w:val="24"/>
                <w:szCs w:val="24"/>
              </w:rPr>
            </w:pPr>
          </w:p>
          <w:p w14:paraId="6DAE36F4" w14:textId="77777777" w:rsidR="0060562C" w:rsidRPr="009F4685" w:rsidRDefault="0060562C" w:rsidP="004B6FFD">
            <w:pPr>
              <w:rPr>
                <w:color w:val="auto"/>
                <w:sz w:val="24"/>
                <w:szCs w:val="24"/>
              </w:rPr>
            </w:pPr>
          </w:p>
          <w:p w14:paraId="1C9FF712" w14:textId="77777777" w:rsidR="00934336" w:rsidRPr="009F4685" w:rsidRDefault="009515DE" w:rsidP="004B6FFD">
            <w:pPr>
              <w:rPr>
                <w:color w:val="auto"/>
                <w:sz w:val="24"/>
                <w:szCs w:val="24"/>
              </w:rPr>
            </w:pPr>
            <w:r w:rsidRPr="009F4685">
              <w:rPr>
                <w:color w:val="auto"/>
                <w:sz w:val="24"/>
                <w:szCs w:val="24"/>
              </w:rPr>
              <w:t xml:space="preserve">3) Neatbalstām ierosinātās izmaiņas investīcijā 1.2.1.2.i. “Energoefektivitātes paaugstināšana uzņēmējdarbībā (ietverot pāreju uz atjaunojamo energoresursu tehnoloģiju izmantošanu siltumapgādē un pētniecības un attīstības aktivitātes (t.sk. bioekonomikā)”, papildinot 322. un 402. paragrāfā ar atbalstu mazemisiju transportlīdzekļiem (hibrīdautomašīnām), nevis tikai “nulles-emisiju transportlīdzekļu iegādei”. Publiskajām investīcijām būtu jādod tirgum skaidrs signāls, ka autotransporta nozarei jāvirzās uz pilnīgi dekarbonizāciju. Kaut arī, kā norādīts pamatojumā, rinda uz elektroauto iegādi ir relatīvi gara un hibrīdauto paredzēta zemāka finansiālā atbalsta intensitāte (turklāt tikai hibrīdauto zem 50g CO2/km), uzskatām, ka transporta nozares dekarbonizācijā iespējami efektīvāki </w:t>
            </w:r>
            <w:r w:rsidRPr="009F4685">
              <w:rPr>
                <w:color w:val="auto"/>
                <w:sz w:val="24"/>
                <w:szCs w:val="24"/>
              </w:rPr>
              <w:lastRenderedPageBreak/>
              <w:t>pasākumi, nekā atbalsts hibrīdauto. </w:t>
            </w:r>
            <w:r w:rsidRPr="009F4685">
              <w:rPr>
                <w:color w:val="auto"/>
                <w:sz w:val="24"/>
                <w:szCs w:val="24"/>
              </w:rPr>
              <w:br/>
              <w:t>Ierosinām hibrīdauto vietā atbalstu paredzēt elektriskajiem mikromobilitātes pārvietošanās līdzekļiem, piemēram, elektriskajiem velosipēdiem vai arī potenciāli neapgūtos līdzekļus pārvirzīt uz citu pasākumu, kas veltīts sabiedriskā transporta uzlabošanai, dekarbonizācijai. </w:t>
            </w:r>
            <w:r w:rsidRPr="009F4685">
              <w:rPr>
                <w:color w:val="auto"/>
                <w:sz w:val="24"/>
                <w:szCs w:val="24"/>
              </w:rPr>
              <w:br/>
            </w:r>
          </w:p>
          <w:p w14:paraId="3B6E9272" w14:textId="77777777" w:rsidR="00934336" w:rsidRPr="009F4685" w:rsidRDefault="00934336" w:rsidP="004B6FFD">
            <w:pPr>
              <w:rPr>
                <w:color w:val="auto"/>
                <w:sz w:val="24"/>
                <w:szCs w:val="24"/>
              </w:rPr>
            </w:pPr>
          </w:p>
          <w:p w14:paraId="542D2F53" w14:textId="77777777" w:rsidR="00934336" w:rsidRPr="009F4685" w:rsidRDefault="00934336" w:rsidP="004B6FFD">
            <w:pPr>
              <w:rPr>
                <w:color w:val="auto"/>
                <w:sz w:val="24"/>
                <w:szCs w:val="24"/>
              </w:rPr>
            </w:pPr>
          </w:p>
          <w:p w14:paraId="3BE345BA" w14:textId="77777777" w:rsidR="00934336" w:rsidRPr="009F4685" w:rsidRDefault="00934336" w:rsidP="004B6FFD">
            <w:pPr>
              <w:rPr>
                <w:color w:val="auto"/>
                <w:sz w:val="24"/>
                <w:szCs w:val="24"/>
              </w:rPr>
            </w:pPr>
          </w:p>
          <w:p w14:paraId="4C55EB9F" w14:textId="77777777" w:rsidR="00934336" w:rsidRPr="009F4685" w:rsidRDefault="00934336" w:rsidP="004B6FFD">
            <w:pPr>
              <w:rPr>
                <w:color w:val="auto"/>
                <w:sz w:val="24"/>
                <w:szCs w:val="24"/>
              </w:rPr>
            </w:pPr>
          </w:p>
          <w:p w14:paraId="1C94DC0F" w14:textId="77777777" w:rsidR="00934336" w:rsidRPr="009F4685" w:rsidRDefault="00934336" w:rsidP="004B6FFD">
            <w:pPr>
              <w:rPr>
                <w:color w:val="auto"/>
                <w:sz w:val="24"/>
                <w:szCs w:val="24"/>
              </w:rPr>
            </w:pPr>
          </w:p>
          <w:p w14:paraId="24F64354" w14:textId="77777777" w:rsidR="00934336" w:rsidRPr="009F4685" w:rsidRDefault="00934336" w:rsidP="004B6FFD">
            <w:pPr>
              <w:rPr>
                <w:color w:val="auto"/>
                <w:sz w:val="24"/>
                <w:szCs w:val="24"/>
              </w:rPr>
            </w:pPr>
          </w:p>
          <w:p w14:paraId="09FAF48E" w14:textId="77777777" w:rsidR="00934336" w:rsidRPr="009F4685" w:rsidRDefault="00934336" w:rsidP="004B6FFD">
            <w:pPr>
              <w:rPr>
                <w:color w:val="auto"/>
                <w:sz w:val="24"/>
                <w:szCs w:val="24"/>
              </w:rPr>
            </w:pPr>
          </w:p>
          <w:p w14:paraId="2B77C7BC" w14:textId="77777777" w:rsidR="00934336" w:rsidRPr="009F4685" w:rsidRDefault="00934336" w:rsidP="004B6FFD">
            <w:pPr>
              <w:rPr>
                <w:color w:val="auto"/>
                <w:sz w:val="24"/>
                <w:szCs w:val="24"/>
              </w:rPr>
            </w:pPr>
          </w:p>
          <w:p w14:paraId="14752430" w14:textId="77777777" w:rsidR="00934336" w:rsidRPr="009F4685" w:rsidRDefault="00934336" w:rsidP="004B6FFD">
            <w:pPr>
              <w:rPr>
                <w:color w:val="auto"/>
                <w:sz w:val="24"/>
                <w:szCs w:val="24"/>
              </w:rPr>
            </w:pPr>
          </w:p>
          <w:p w14:paraId="2EE8B730" w14:textId="77777777" w:rsidR="00934336" w:rsidRPr="009F4685" w:rsidRDefault="00934336" w:rsidP="004B6FFD">
            <w:pPr>
              <w:rPr>
                <w:color w:val="auto"/>
                <w:sz w:val="24"/>
                <w:szCs w:val="24"/>
              </w:rPr>
            </w:pPr>
          </w:p>
          <w:p w14:paraId="0E87E2C0" w14:textId="77777777" w:rsidR="00934336" w:rsidRPr="009F4685" w:rsidRDefault="00934336" w:rsidP="004B6FFD">
            <w:pPr>
              <w:rPr>
                <w:color w:val="auto"/>
                <w:sz w:val="24"/>
                <w:szCs w:val="24"/>
              </w:rPr>
            </w:pPr>
          </w:p>
          <w:p w14:paraId="47010914" w14:textId="77777777" w:rsidR="00934336" w:rsidRPr="009F4685" w:rsidRDefault="00934336" w:rsidP="004B6FFD">
            <w:pPr>
              <w:rPr>
                <w:color w:val="auto"/>
                <w:sz w:val="24"/>
                <w:szCs w:val="24"/>
              </w:rPr>
            </w:pPr>
          </w:p>
          <w:p w14:paraId="449F9C21" w14:textId="77777777" w:rsidR="00934336" w:rsidRPr="009F4685" w:rsidRDefault="00934336" w:rsidP="004B6FFD">
            <w:pPr>
              <w:rPr>
                <w:color w:val="auto"/>
                <w:sz w:val="24"/>
                <w:szCs w:val="24"/>
              </w:rPr>
            </w:pPr>
          </w:p>
          <w:p w14:paraId="6976C051" w14:textId="77777777" w:rsidR="00934336" w:rsidRPr="009F4685" w:rsidRDefault="00934336" w:rsidP="004B6FFD">
            <w:pPr>
              <w:rPr>
                <w:color w:val="auto"/>
                <w:sz w:val="24"/>
                <w:szCs w:val="24"/>
              </w:rPr>
            </w:pPr>
          </w:p>
          <w:p w14:paraId="5C3636C6" w14:textId="77777777" w:rsidR="00934336" w:rsidRPr="009F4685" w:rsidRDefault="00934336" w:rsidP="004B6FFD">
            <w:pPr>
              <w:rPr>
                <w:color w:val="auto"/>
                <w:sz w:val="24"/>
                <w:szCs w:val="24"/>
              </w:rPr>
            </w:pPr>
          </w:p>
          <w:p w14:paraId="50B94AEE" w14:textId="77777777" w:rsidR="00934336" w:rsidRPr="009F4685" w:rsidRDefault="00934336" w:rsidP="004B6FFD">
            <w:pPr>
              <w:rPr>
                <w:color w:val="auto"/>
                <w:sz w:val="24"/>
                <w:szCs w:val="24"/>
              </w:rPr>
            </w:pPr>
          </w:p>
          <w:p w14:paraId="352B8F09" w14:textId="77777777" w:rsidR="00934336" w:rsidRPr="009F4685" w:rsidRDefault="00934336" w:rsidP="004B6FFD">
            <w:pPr>
              <w:rPr>
                <w:color w:val="auto"/>
                <w:sz w:val="24"/>
                <w:szCs w:val="24"/>
              </w:rPr>
            </w:pPr>
          </w:p>
          <w:p w14:paraId="525866AE" w14:textId="77777777" w:rsidR="00934336" w:rsidRPr="009F4685" w:rsidRDefault="00934336" w:rsidP="004B6FFD">
            <w:pPr>
              <w:rPr>
                <w:color w:val="auto"/>
                <w:sz w:val="24"/>
                <w:szCs w:val="24"/>
              </w:rPr>
            </w:pPr>
          </w:p>
          <w:p w14:paraId="6043D31A" w14:textId="77777777" w:rsidR="00934336" w:rsidRPr="009F4685" w:rsidRDefault="00934336" w:rsidP="004B6FFD">
            <w:pPr>
              <w:rPr>
                <w:color w:val="auto"/>
                <w:sz w:val="24"/>
                <w:szCs w:val="24"/>
              </w:rPr>
            </w:pPr>
          </w:p>
          <w:p w14:paraId="15DDECA0" w14:textId="77777777" w:rsidR="00934336" w:rsidRPr="009F4685" w:rsidRDefault="00934336" w:rsidP="004B6FFD">
            <w:pPr>
              <w:rPr>
                <w:color w:val="auto"/>
                <w:sz w:val="24"/>
                <w:szCs w:val="24"/>
              </w:rPr>
            </w:pPr>
          </w:p>
          <w:p w14:paraId="2AF6E310" w14:textId="77777777" w:rsidR="00934336" w:rsidRPr="009F4685" w:rsidRDefault="00934336" w:rsidP="004B6FFD">
            <w:pPr>
              <w:rPr>
                <w:color w:val="auto"/>
                <w:sz w:val="24"/>
                <w:szCs w:val="24"/>
              </w:rPr>
            </w:pPr>
          </w:p>
          <w:p w14:paraId="154127B5" w14:textId="2A6FE3D1" w:rsidR="0060562C" w:rsidRPr="009F4685" w:rsidRDefault="009515DE" w:rsidP="004B6FFD">
            <w:pPr>
              <w:rPr>
                <w:color w:val="auto"/>
                <w:sz w:val="24"/>
                <w:szCs w:val="24"/>
              </w:rPr>
            </w:pPr>
            <w:r w:rsidRPr="009F4685">
              <w:rPr>
                <w:color w:val="auto"/>
                <w:sz w:val="24"/>
                <w:szCs w:val="24"/>
              </w:rPr>
              <w:lastRenderedPageBreak/>
              <w:br/>
              <w:t>4) Grozījumu plānā minēts, ka Latvija neplāno izmantot aizdevuma atbalstu, kas ir pieejams līdz pat 2 miljardiem EUR. Latvijai milzīgs izaicinājums ir dzīvojamā fonda atjaunošana, energoefektivitātes uzlabošana un ar šobrīd paredzēto finansējumu no Kohēzijas fondiem un Atveseļošanās fonda ir daudzkārt par maz, lai īstenotu nepieciešamo trajektoriju virzībā uz ēku sektora dekarbonizāciju, uz klimatneitralitāti. Turklāt šobrīd nepieciešams galvenokārt nevis papildu finansējums pašiem renovācijas projektiem (ņemot vērā šī fonda īstenošanas ierobežoto laika nogriezni un pieteikšanās pasivitāti no iedzīvotāju puses), bet programmu dažādošana, lai novērstu tos “pudeles kaklus”, kas šobrīd neveicina iedzīvotājus lemt par ēku renovācijas uzsākšanu. Daudzdzīvokļu ēku renovācija ir aktivitāte, kas ne tikai rada drošu CO2 emisiju samazinājumu relatīvi īsā termiņā, bet sniedz būtisku atdevi arī kopējai ekonomiskajai situācijai, mazinot nepieciešamību pēc energoresursu importa, samazinot pašvaldību izdevumus, kas rodas, palīdzot mazturīgajai sabiedrības daļai segt ar mājokli saistītos izdevumus, veicinot ekonomisko aktivitāti būvniecības sektorā, kā arī uzlabojot iedzīvotāju pirktspēju ilgākā termiņā. Latvijai būtu jāizmanto izdevīgas aizņemšanās iespējas investīcijām, kuras ar augstu garantiju sniegs pozitīvu atdevi vietējai ekonomikai. </w:t>
            </w:r>
            <w:r w:rsidRPr="009F4685">
              <w:rPr>
                <w:color w:val="auto"/>
                <w:sz w:val="24"/>
                <w:szCs w:val="24"/>
              </w:rPr>
              <w:br/>
              <w:t>Ierosinām izmantot aizdevuma iespēju, lai īstenotu sekojošas vai līdzvērtīgas programmas: </w:t>
            </w:r>
            <w:r w:rsidRPr="009F4685">
              <w:rPr>
                <w:color w:val="auto"/>
                <w:sz w:val="24"/>
                <w:szCs w:val="24"/>
              </w:rPr>
              <w:br/>
            </w:r>
            <w:r w:rsidRPr="009F4685">
              <w:rPr>
                <w:color w:val="auto"/>
                <w:sz w:val="24"/>
                <w:szCs w:val="24"/>
              </w:rPr>
              <w:lastRenderedPageBreak/>
              <w:t>4.1. Programmu pašvaldībām, lai gūtu atbalstu vienas pieturas aģentūru izveidei, kapacitātes vairošanai (tai skaitā, piemēram, projektu vadītāju izglītošanai un algošanai, kas palīdzētu daudzdzīvokļu māju iedzīvotāju kopienām veiksmīgi iziet cauri pieteikšanās un realizācijas procesiem). </w:t>
            </w:r>
            <w:r w:rsidRPr="009F4685">
              <w:rPr>
                <w:color w:val="auto"/>
                <w:sz w:val="24"/>
                <w:szCs w:val="24"/>
              </w:rPr>
              <w:br/>
              <w:t>4.2. Konkursus vairāku viena tipa daudzdzīvokļu māju nosiltināšanai viena iepirkuma ietvaros, ietverot arī siltinājuma elementu masveida ražošanu, līdzīgi, kā tiek īstenots Igaunijā, tādējādi samazinot izmaksas un paātrinot nosiltināšanas procesu. </w:t>
            </w:r>
            <w:r w:rsidRPr="009F4685">
              <w:rPr>
                <w:color w:val="auto"/>
                <w:sz w:val="24"/>
                <w:szCs w:val="24"/>
              </w:rPr>
              <w:br/>
              <w:t>4.3. Mērķētas atbalsta shēmas (ne tikai augstāka atbalsta intensitāte) ēku renovācijai mazturīgākajai sabiedrības daļai, it sevišķi daudzdzīvokļu ēkās, kurās ir pašvaldībām piederoši dzīvokļi. </w:t>
            </w:r>
            <w:r w:rsidRPr="009F4685">
              <w:rPr>
                <w:color w:val="auto"/>
                <w:sz w:val="24"/>
                <w:szCs w:val="24"/>
              </w:rPr>
              <w:br/>
            </w:r>
          </w:p>
          <w:p w14:paraId="45B504E4" w14:textId="77777777" w:rsidR="0060562C" w:rsidRPr="009F4685" w:rsidRDefault="0060562C" w:rsidP="004B6FFD">
            <w:pPr>
              <w:rPr>
                <w:color w:val="auto"/>
                <w:sz w:val="24"/>
                <w:szCs w:val="24"/>
              </w:rPr>
            </w:pPr>
          </w:p>
          <w:p w14:paraId="1EC5E46C" w14:textId="5821E881" w:rsidR="00C14111" w:rsidRPr="009F4685" w:rsidRDefault="009515DE" w:rsidP="004B6FFD">
            <w:pPr>
              <w:rPr>
                <w:color w:val="auto"/>
                <w:sz w:val="24"/>
                <w:szCs w:val="24"/>
              </w:rPr>
            </w:pPr>
            <w:r w:rsidRPr="009F4685">
              <w:rPr>
                <w:color w:val="auto"/>
                <w:sz w:val="24"/>
                <w:szCs w:val="24"/>
              </w:rPr>
              <w:t>5) Izsakām bažas par izmaiņām investīcijā “1.3.1.2.i. Investīcijas plūdu risku mazināšanas infrastruktūrā”: </w:t>
            </w:r>
            <w:r w:rsidRPr="009F4685">
              <w:rPr>
                <w:color w:val="auto"/>
                <w:sz w:val="24"/>
                <w:szCs w:val="24"/>
              </w:rPr>
              <w:br/>
              <w:t xml:space="preserve">Grozījumu plānā ietverts jauns projekts - “Valsts nozīmes ūdensnoteka Bolupe Balvu novadā”, kura “Nonodarīt būtisku kaitējumu” principa izvērtējumā teikts, ka “pasākumam nebūs kaitīgas ietekmes uz bioloģisko daudzveidību un ekosistēmām, jo: prioritāri tiks īstenoti “zaļās infrastruktūras” risinājumi, vai arī kombinētās infrastruktūras izbūve, kas papildināta ar dabā balstītu risinājumu elementiem; jebkurš sugu traucējums vai negatīva ietekme uz dzīvotnēm ārpus šīm vietām gan </w:t>
            </w:r>
            <w:r w:rsidRPr="009F4685">
              <w:rPr>
                <w:color w:val="auto"/>
                <w:sz w:val="24"/>
                <w:szCs w:val="24"/>
              </w:rPr>
              <w:lastRenderedPageBreak/>
              <w:t>būvniecības, gan ekspluatācijas posmā tiks novērsta, veicot nepieciešamās profilakses un mazināšanas darbības; plānotajiem pasākumiem tiks veikts ietekmes uz vidi novērtējums normatīvo aktu noteiktajā apjomā; tas atbilst Dzīvotņu un putnu direktīvas prasībām; pasākums mazinās negatīvo ietekmi uz bioloģisko daudzveidību.” Vēlamies norādīt, ka šim projektam ir iespējama būtiska ietekme uz bioloģisko daudzveidību un tieši pieguļošajām Natura 2000 teritorijām (Lubāna mitrāju). Konkrētie riski ir plaši aprakstīti 03.04.2023 Vides Konsultatīvās padomes vēstulē Nr.1-11 “Par valsts nozīmes ūdensnotekas Bolupe atjaunošanas projektu pik. 88/00-358/00”. Lai gan Valsts Vides dienests jau šobrīd ir lēmis, ka projektam tiks veikts sākotnējais ietekmes uz vidi novērtējums, vēlamies uzsvērt, ka atbilstoši Eiropas Savienības Dzīvotņu direktīvas 6. panta 3. punktam, arī pašam Latvijas Atveseļošanas fonda plānam vai to grozījumiem ir nepieciešams veikt novērtējumu ietekmei uz Natura 2000 teritorijām, ja ir risks ka šīs teritorijas varētu tikt negatīvi ietekmētas plāna ievēšanas gaitā. Šāds novērtējums netika iekļauts Finanšu ministrijas veiktajā 2021. gada oktobra stratēģiskajā ietemes uz vidi novērtējumā, neskatoties uz to, ka sākotnēji investīcijā bija iekļauti vairāki projekti Natura 2000 teritorijās. Tas nav pievienots arī šiem grozījumiem attiecībā uz Bolupi. </w:t>
            </w:r>
            <w:r w:rsidRPr="009F4685">
              <w:rPr>
                <w:color w:val="auto"/>
                <w:sz w:val="24"/>
                <w:szCs w:val="24"/>
              </w:rPr>
              <w:br/>
              <w:t xml:space="preserve">Grozījumu plānā minēts, ka “sarunās ar Eiropas Komisiju 2023.gada 12.janvārī tika izrunāta iespēja par elastīgu projektu nomaiņu gadījumos, kad projektu īstenošanas </w:t>
            </w:r>
            <w:r w:rsidRPr="009F4685">
              <w:rPr>
                <w:color w:val="auto"/>
                <w:sz w:val="24"/>
                <w:szCs w:val="24"/>
              </w:rPr>
              <w:lastRenderedPageBreak/>
              <w:t>riska palielinājuma (laika izteiksmē) dēļ vai būtisku klimatisku apstākļu (neparedzētu lietavu vai plūdu) dēļ tiek apdraudēta investīciju projektu īstenošana kopumā. Eiropas komisijas eksperti neiebilda šādai pamatotai jautājuma risinājuma iespējai.” Norādām, ka elastīgas objektu maiņas gadījumā jauniem objektiem arī ir nepieciešams “Nenodarīt būtisku kaitējumu” principa izvērtējums, kā arī nepieciešams nodrošināt caurspīdīgumu un dot iespēju sabiedrības līdzdalībai. </w:t>
            </w:r>
            <w:r w:rsidRPr="009F4685">
              <w:rPr>
                <w:color w:val="auto"/>
                <w:sz w:val="24"/>
                <w:szCs w:val="24"/>
              </w:rPr>
              <w:br/>
              <w:t>Grozījumos ir norādīts, ka investīcijas projektu skaits tika samazināts no 29 uz 21. Ir pievienoti “Nenodarīt būtisku kaitējumu” principa izvērtējumi pieciem jauniem projektiem, taču nav minēts, kuri projekti ir izņemti ārā no investīcijas, līdz ar to nav saprotams, kāds ir aktuālais, pilnais projektu saraksts, kas tiks finansēts šajā investīcijā. </w:t>
            </w:r>
            <w:r w:rsidRPr="009F4685">
              <w:rPr>
                <w:color w:val="auto"/>
                <w:sz w:val="24"/>
                <w:szCs w:val="24"/>
              </w:rPr>
              <w:br/>
              <w:t xml:space="preserve">Atveseļošanas un noturības mehānisma plāna 2021.-2026. gadam (turpmāk – ANM plāna) 1.pielikumā principa “Nenodarīt būtisku kaitējumu” novērtējumā attiecībā uz aktivitāti “1.3.1.2.i. Investīcijas plūdu risku mazināšanas infrastruktūrā, t.sk polderu sūkņu staciju atjaunošana, aizsargdambju atjaunošana, potamālo upju regulēto posmu atjaunošana” cita starpā minēts, ka pasākumam nebūs kaitīgas ietekmes uz bioloģisko daudzveidību un ekosistēmām, jo prioritāri tiks īstenoti “zaļās infrastruktūras” risinājumi, vai arī kombinētās infrastruktūras izbūve, kas papildināta ar dabā balstītu risinājumu elementiem un pasākums mazinās negatīvo </w:t>
            </w:r>
            <w:r w:rsidRPr="009F4685">
              <w:rPr>
                <w:color w:val="auto"/>
                <w:sz w:val="24"/>
                <w:szCs w:val="24"/>
              </w:rPr>
              <w:lastRenderedPageBreak/>
              <w:t xml:space="preserve">ietekmi uz bioloģisko daudzveidību.” Zaļā infrastruktūra tiek definēta kā “stratēģiski plānots pilnīgi vai daļēji dabisku teritoriju tīkls kombinācijā ar citiem vides objektiem, kas ir izveidots un tiek pārvaldīts, lai sniegtu plašu ekosistēmu pakalpojumu klāstu. Tas ietver zaļās zonas (vai zilās, ja attiecas uz ūdens ekosistēmām) un citus fiziskus elementus sauszemes (tostarp piekrastes) un jūras teritorijās.” (Eiropas Komisija, COM/2013/0249). Piemēram, arī ganības un ilgtspējīgi apsaimniekoti zālāji, meža zemes, upes un palienes ir zaļās infrastruktūras elementi (Eiropas Vides Aģentūra un EK, ClimatAdapt). Starp šobrīd investīcijā (sākotnējā plānā vai grozījumos) iekļautajiem projektiem pēc mums pieejamās informācijas nav neviens projekts, kurā tiktu plānota esošo palieņu un citu mitrāju, dabisku upju posmu vai citu biotopu sistēmiska integrācija. Šo dzīvotņu loma ir atzīta arī ES Plūdu direktīvā, kurā uzsvērts, “ka plūdu risku pārvaldības plānos upēm ir jādod vairāk vietas un jāapsver, kur iespējams, upju palieņu apsaimniekošana un/vai atjaunošana”. Turklāt nesens EK Kopējā pētniecības centra pētījums arī secina, ka ūdens “aiztures zonas” (aut. piez. - tostarp, palienes un citi mitrāji) ir ekonomiski viens no pamatotākajiem risinājumiem. Papildu tam, pēdējā Ziņojumā Eiropas Komisijai par ES nozīmes biotopu (dzīvotņu) un sugu aizsardzības stāvokli Latvijā ir norādīts, ka vairākiem ES aizsargājamajiem biotopiem, kas ir saistīti ar upēm un to periodisku applūšanu (6450 ‘Palieņu zālāji’, 3260 ‘Upju straujteces </w:t>
            </w:r>
            <w:r w:rsidRPr="009F4685">
              <w:rPr>
                <w:color w:val="auto"/>
                <w:sz w:val="24"/>
                <w:szCs w:val="24"/>
              </w:rPr>
              <w:lastRenderedPageBreak/>
              <w:t>vai dabiski upju posmi’, 9080* ‘Staignāju meži”) ir nelabvēlīgs-nepietiekams vai nelabvēlīgs-slikts aizsardzības stāvoklis, turklāt ES Biodaudzveidības stratēģija 2030 un ES Zaļais kurss paredz šo biotopu atjaunošanu lielā mērogā. Līdz ar to, atveseļošanās un noturības mehānisma plāna papildinājumos būtu nepieciešams atbalstīt vairāk projektu, kuri uzlabo šo dabas elementu stāvokli, reizē mazinot arī plūdu risku upju sateces baseinos.  </w:t>
            </w:r>
            <w:r w:rsidRPr="009F4685">
              <w:rPr>
                <w:color w:val="auto"/>
                <w:sz w:val="24"/>
                <w:szCs w:val="24"/>
              </w:rPr>
              <w:br/>
            </w:r>
          </w:p>
        </w:tc>
        <w:tc>
          <w:tcPr>
            <w:tcW w:w="1417" w:type="dxa"/>
            <w:shd w:val="clear" w:color="auto" w:fill="FFFFFF"/>
            <w:noWrap/>
            <w:tcMar>
              <w:top w:w="75" w:type="dxa"/>
              <w:left w:w="75" w:type="dxa"/>
              <w:bottom w:w="75" w:type="dxa"/>
              <w:right w:w="75" w:type="dxa"/>
            </w:tcMar>
            <w:vAlign w:val="center"/>
          </w:tcPr>
          <w:p w14:paraId="28D8BE81" w14:textId="53140CD2" w:rsidR="00C14111" w:rsidRPr="009F4685" w:rsidRDefault="00EE5FD3" w:rsidP="004B6FFD">
            <w:pPr>
              <w:rPr>
                <w:color w:val="auto"/>
                <w:sz w:val="24"/>
                <w:szCs w:val="24"/>
              </w:rPr>
            </w:pPr>
            <w:r w:rsidRPr="009F4685">
              <w:rPr>
                <w:b/>
                <w:color w:val="auto"/>
                <w:sz w:val="24"/>
                <w:szCs w:val="24"/>
              </w:rPr>
              <w:lastRenderedPageBreak/>
              <w:t>Ņemts vērā</w:t>
            </w:r>
            <w:r w:rsidR="00D919F4" w:rsidRPr="009F4685">
              <w:rPr>
                <w:b/>
                <w:color w:val="auto"/>
                <w:sz w:val="24"/>
                <w:szCs w:val="24"/>
              </w:rPr>
              <w:t>, sniedzot skaidrojumu</w:t>
            </w:r>
          </w:p>
        </w:tc>
        <w:tc>
          <w:tcPr>
            <w:tcW w:w="4853" w:type="dxa"/>
            <w:shd w:val="clear" w:color="auto" w:fill="FFFFFF"/>
            <w:noWrap/>
            <w:tcMar>
              <w:top w:w="75" w:type="dxa"/>
              <w:left w:w="75" w:type="dxa"/>
              <w:bottom w:w="75" w:type="dxa"/>
              <w:right w:w="75" w:type="dxa"/>
            </w:tcMar>
            <w:vAlign w:val="center"/>
          </w:tcPr>
          <w:p w14:paraId="37D9F09C" w14:textId="77777777" w:rsidR="009F4685" w:rsidRPr="009F4685" w:rsidRDefault="00E85EC7" w:rsidP="00271371">
            <w:pPr>
              <w:pStyle w:val="ListParagraph"/>
              <w:numPr>
                <w:ilvl w:val="0"/>
                <w:numId w:val="1"/>
              </w:numPr>
              <w:rPr>
                <w:b/>
                <w:bCs/>
                <w:color w:val="auto"/>
                <w:sz w:val="24"/>
                <w:szCs w:val="24"/>
              </w:rPr>
            </w:pPr>
            <w:r w:rsidRPr="009F4685">
              <w:rPr>
                <w:color w:val="auto"/>
                <w:sz w:val="24"/>
                <w:szCs w:val="24"/>
              </w:rPr>
              <w:t xml:space="preserve">Attiecībā uz RePowerEU ietvaros plānotajām investīcijām biometāna ievades punkta būvniecībā, informējam, ka saskaņā ar Eiropas Komisijas paziņojumu “REPowerEU: Vienota Eiropas rīcība cenas ziņā pieejamākai, drošākai un ilgtspējīgākai enerģijai” Eiropas Savienībā ir plānota biometāna ražošanas palielināšana, t.i., plānots, ka 2030. gadā tiktu saražoti 35 miljardi kubikmetru metāna gadā. Lai to paveiktu, dalībvalstu stratēģiskajos plānos finansējums būtu jānovirza biometānam, kas saražots no ilgtspējīgiem biomasas avotiem, tostarp jo īpaši no lauksaimniecības atkritumiem un atlikām. </w:t>
            </w:r>
            <w:r w:rsidR="00D919F4" w:rsidRPr="009F4685">
              <w:rPr>
                <w:color w:val="auto"/>
                <w:sz w:val="24"/>
                <w:szCs w:val="24"/>
              </w:rPr>
              <w:t>Skaidrojam</w:t>
            </w:r>
            <w:r w:rsidRPr="009F4685">
              <w:rPr>
                <w:color w:val="auto"/>
                <w:sz w:val="24"/>
                <w:szCs w:val="24"/>
              </w:rPr>
              <w:t xml:space="preserve">, ka ar RePowerEU plānotajām </w:t>
            </w:r>
            <w:r w:rsidR="003F2461" w:rsidRPr="009F4685">
              <w:rPr>
                <w:color w:val="auto"/>
                <w:sz w:val="24"/>
                <w:szCs w:val="24"/>
              </w:rPr>
              <w:t>investīcijām</w:t>
            </w:r>
            <w:r w:rsidRPr="009F4685">
              <w:rPr>
                <w:color w:val="auto"/>
                <w:sz w:val="24"/>
                <w:szCs w:val="24"/>
              </w:rPr>
              <w:t xml:space="preserve"> biometāna ievades punkta būvniecībā Latvija sāks daļēji īstenot attiecīgo Eiropas Savienības mērķi.</w:t>
            </w:r>
          </w:p>
          <w:p w14:paraId="4E48C291" w14:textId="77777777" w:rsidR="009F4685" w:rsidRPr="009F4685" w:rsidRDefault="00271371" w:rsidP="009F4685">
            <w:pPr>
              <w:pStyle w:val="ListParagraph"/>
              <w:ind w:left="360"/>
              <w:rPr>
                <w:b/>
                <w:bCs/>
                <w:color w:val="auto"/>
                <w:sz w:val="24"/>
                <w:szCs w:val="24"/>
              </w:rPr>
            </w:pPr>
            <w:r w:rsidRPr="009F4685">
              <w:rPr>
                <w:color w:val="auto"/>
                <w:sz w:val="24"/>
                <w:szCs w:val="24"/>
              </w:rPr>
              <w:t xml:space="preserve">Papildus informējam, ka, analizējot datus par esošo biogāzes ražotņu izvietojumu un novērtējot potenciālo biometāna ražošanas apjomu, 2022.gadā </w:t>
            </w:r>
            <w:r w:rsidR="00500E92" w:rsidRPr="009F4685">
              <w:rPr>
                <w:color w:val="auto"/>
                <w:sz w:val="24"/>
                <w:szCs w:val="24"/>
              </w:rPr>
              <w:t>AS “Conexus Baltic Grid” (turpmāk – Conexus)</w:t>
            </w:r>
            <w:r w:rsidRPr="009F4685">
              <w:rPr>
                <w:color w:val="auto"/>
                <w:sz w:val="24"/>
                <w:szCs w:val="24"/>
              </w:rPr>
              <w:t xml:space="preserve"> identificēja četrus potenciālos pirmās kārtas biometāna </w:t>
            </w:r>
            <w:r w:rsidRPr="009F4685">
              <w:rPr>
                <w:color w:val="auto"/>
                <w:sz w:val="24"/>
                <w:szCs w:val="24"/>
              </w:rPr>
              <w:lastRenderedPageBreak/>
              <w:t>ievades punktus. Balstoties uz šiem datiem</w:t>
            </w:r>
            <w:r w:rsidR="00500E92" w:rsidRPr="009F4685">
              <w:rPr>
                <w:color w:val="auto"/>
                <w:sz w:val="24"/>
                <w:szCs w:val="24"/>
              </w:rPr>
              <w:t>,</w:t>
            </w:r>
            <w:r w:rsidRPr="009F4685">
              <w:rPr>
                <w:color w:val="auto"/>
                <w:sz w:val="24"/>
                <w:szCs w:val="24"/>
              </w:rPr>
              <w:t xml:space="preserve"> Conexus veica sabiedrisko apspriešanu</w:t>
            </w:r>
            <w:r w:rsidR="00BA14A8" w:rsidRPr="009F4685">
              <w:rPr>
                <w:color w:val="auto"/>
                <w:sz w:val="24"/>
                <w:szCs w:val="24"/>
              </w:rPr>
              <w:t xml:space="preserve"> (informācija par Conexus veiktās publiskās apspriedes rezultātiem pieejama tīmekļa vietnē: </w:t>
            </w:r>
            <w:hyperlink r:id="rId7" w:history="1">
              <w:r w:rsidR="00BA14A8" w:rsidRPr="009F4685">
                <w:rPr>
                  <w:rStyle w:val="Hyperlink"/>
                  <w:color w:val="auto"/>
                  <w:sz w:val="24"/>
                  <w:szCs w:val="24"/>
                </w:rPr>
                <w:t>Biomet__na_ievades_punkti_-_rezult__ti_.pdf</w:t>
              </w:r>
            </w:hyperlink>
            <w:r w:rsidR="00BA14A8" w:rsidRPr="009F4685">
              <w:rPr>
                <w:color w:val="auto"/>
                <w:sz w:val="24"/>
                <w:szCs w:val="24"/>
              </w:rPr>
              <w:t>)</w:t>
            </w:r>
            <w:r w:rsidRPr="009F4685">
              <w:rPr>
                <w:color w:val="auto"/>
                <w:sz w:val="24"/>
                <w:szCs w:val="24"/>
              </w:rPr>
              <w:t xml:space="preserve">, piedāvājot </w:t>
            </w:r>
            <w:r w:rsidR="00500E92" w:rsidRPr="009F4685">
              <w:rPr>
                <w:color w:val="auto"/>
                <w:sz w:val="24"/>
                <w:szCs w:val="24"/>
              </w:rPr>
              <w:t xml:space="preserve">iespēju visām </w:t>
            </w:r>
            <w:r w:rsidRPr="009F4685">
              <w:rPr>
                <w:color w:val="auto"/>
                <w:sz w:val="24"/>
                <w:szCs w:val="24"/>
              </w:rPr>
              <w:t xml:space="preserve">ieinteresētajam pusēm sniegt savu viedokli par biometāna ievades punktu projektu. Ņemot vērā iesaistīto pušu pausto interesi, Conexus </w:t>
            </w:r>
            <w:r w:rsidR="00500E92" w:rsidRPr="009F4685">
              <w:rPr>
                <w:color w:val="auto"/>
                <w:sz w:val="24"/>
                <w:szCs w:val="24"/>
              </w:rPr>
              <w:t>risinājums paredz</w:t>
            </w:r>
            <w:r w:rsidRPr="009F4685">
              <w:rPr>
                <w:color w:val="auto"/>
                <w:sz w:val="24"/>
                <w:szCs w:val="24"/>
              </w:rPr>
              <w:t xml:space="preserve"> biometāna ievades punktu ieceres īstenošanu sākt ar Džūkstes biometāna ievades punktu, ar laiku attīstot arī pārējos punktus, balstoties uz pirmā biometāna ievades punkta darbības laikā uzkrāto pieredzi. Džūkstes biometāna ievades punkts varētu apkalpot līdz divdesmit 50 - 60 km rādiusā esošus biometāna ražotājus. Papildus Conexus organizējusi iesaistīto pušu semināru, kurā pārrunāti saņemtie komentāri un diskutēts par projektu.</w:t>
            </w:r>
            <w:r w:rsidR="00500E92" w:rsidRPr="009F4685">
              <w:rPr>
                <w:color w:val="auto"/>
                <w:sz w:val="24"/>
                <w:szCs w:val="24"/>
              </w:rPr>
              <w:t xml:space="preserve"> </w:t>
            </w:r>
          </w:p>
          <w:p w14:paraId="5098C7D1" w14:textId="07F6AD9E" w:rsidR="001B462A" w:rsidRPr="009F4685" w:rsidRDefault="00E85EC7" w:rsidP="009F4685">
            <w:pPr>
              <w:pStyle w:val="ListParagraph"/>
              <w:ind w:left="360"/>
              <w:rPr>
                <w:b/>
                <w:bCs/>
                <w:color w:val="auto"/>
                <w:sz w:val="24"/>
                <w:szCs w:val="24"/>
              </w:rPr>
            </w:pPr>
            <w:r w:rsidRPr="009F4685">
              <w:rPr>
                <w:color w:val="auto"/>
                <w:sz w:val="24"/>
                <w:szCs w:val="24"/>
              </w:rPr>
              <w:t xml:space="preserve">Attiecībā uz nepieciešamību RePowerEU ietvaros paredzēt investīcijas individuālu, elektrificētu apkures risinājumu, piemēram, siltumsūkņu uzstādīšanā, informējam, ka šādas investīcijas </w:t>
            </w:r>
            <w:r w:rsidR="00D919F4" w:rsidRPr="009F4685">
              <w:rPr>
                <w:color w:val="auto"/>
                <w:sz w:val="24"/>
                <w:szCs w:val="24"/>
              </w:rPr>
              <w:t>plānots īstenot</w:t>
            </w:r>
            <w:r w:rsidR="0095238E" w:rsidRPr="009F4685">
              <w:rPr>
                <w:color w:val="auto"/>
                <w:sz w:val="24"/>
                <w:szCs w:val="24"/>
              </w:rPr>
              <w:t xml:space="preserve"> </w:t>
            </w:r>
            <w:r w:rsidR="00D919F4" w:rsidRPr="009F4685">
              <w:rPr>
                <w:color w:val="auto"/>
                <w:sz w:val="24"/>
                <w:szCs w:val="24"/>
              </w:rPr>
              <w:t>ar</w:t>
            </w:r>
            <w:r w:rsidR="0095238E" w:rsidRPr="009F4685">
              <w:rPr>
                <w:color w:val="auto"/>
                <w:sz w:val="24"/>
                <w:szCs w:val="24"/>
              </w:rPr>
              <w:t xml:space="preserve"> cit</w:t>
            </w:r>
            <w:r w:rsidR="00D919F4" w:rsidRPr="009F4685">
              <w:rPr>
                <w:color w:val="auto"/>
                <w:sz w:val="24"/>
                <w:szCs w:val="24"/>
              </w:rPr>
              <w:t>u</w:t>
            </w:r>
            <w:r w:rsidR="0095238E" w:rsidRPr="009F4685">
              <w:rPr>
                <w:color w:val="auto"/>
                <w:sz w:val="24"/>
                <w:szCs w:val="24"/>
              </w:rPr>
              <w:t xml:space="preserve"> instrument</w:t>
            </w:r>
            <w:r w:rsidR="00D919F4" w:rsidRPr="009F4685">
              <w:rPr>
                <w:color w:val="auto"/>
                <w:sz w:val="24"/>
                <w:szCs w:val="24"/>
              </w:rPr>
              <w:t>u atbalstu</w:t>
            </w:r>
            <w:r w:rsidRPr="009F4685">
              <w:rPr>
                <w:color w:val="auto"/>
                <w:sz w:val="24"/>
                <w:szCs w:val="24"/>
              </w:rPr>
              <w:t xml:space="preserve">, piemēram, Emisijas kvotu izsolīšanas instrumenta finansēto </w:t>
            </w:r>
            <w:r w:rsidRPr="009F4685">
              <w:rPr>
                <w:color w:val="auto"/>
                <w:sz w:val="24"/>
                <w:szCs w:val="24"/>
              </w:rPr>
              <w:lastRenderedPageBreak/>
              <w:t>projektu atklāta konkursa “Siltumnīcefekta gāzu emisiju samazināšana mājsaimniecībās – atbalsts atjaunojamo energoresursu izmantošanai” ietvaros.</w:t>
            </w:r>
          </w:p>
          <w:p w14:paraId="22A05D26" w14:textId="77777777" w:rsidR="003F2461" w:rsidRPr="009F4685" w:rsidRDefault="003F2461" w:rsidP="00E85EC7">
            <w:pPr>
              <w:pStyle w:val="ListParagraph"/>
              <w:ind w:left="0"/>
              <w:rPr>
                <w:color w:val="auto"/>
                <w:sz w:val="24"/>
                <w:szCs w:val="24"/>
              </w:rPr>
            </w:pPr>
          </w:p>
          <w:p w14:paraId="2AF4FC03" w14:textId="77777777" w:rsidR="009F4685" w:rsidRPr="009F4685" w:rsidRDefault="00C73A07" w:rsidP="00774490">
            <w:pPr>
              <w:pStyle w:val="ListParagraph"/>
              <w:numPr>
                <w:ilvl w:val="0"/>
                <w:numId w:val="1"/>
              </w:numPr>
              <w:rPr>
                <w:color w:val="auto"/>
                <w:sz w:val="24"/>
                <w:szCs w:val="24"/>
              </w:rPr>
            </w:pPr>
            <w:r w:rsidRPr="009F4685">
              <w:rPr>
                <w:color w:val="auto"/>
                <w:sz w:val="24"/>
                <w:szCs w:val="24"/>
              </w:rPr>
              <w:t>Attiecībā uz investīcijai 3.1.1.1.i. norādītā mērķrādītāja Nr.87 “Pilsētas - piepilsētas elektrovilcienu (bateriju elektrovilcienu) iegāde” un mērķrādītāja Nr.88 “Elektrotransporta vienību (elektroautobusi, tramvaji) skaita pieaugums Rīgas pilsētā” svītrošanu, s</w:t>
            </w:r>
            <w:r w:rsidR="00D919F4" w:rsidRPr="009F4685">
              <w:rPr>
                <w:color w:val="auto"/>
                <w:sz w:val="24"/>
                <w:szCs w:val="24"/>
              </w:rPr>
              <w:t xml:space="preserve">kaidrojam, ka Atveseļošanas un noturības mehānisma (turpmāk – ANM) </w:t>
            </w:r>
            <w:r w:rsidR="00885940" w:rsidRPr="009F4685">
              <w:rPr>
                <w:color w:val="auto"/>
                <w:sz w:val="24"/>
                <w:szCs w:val="24"/>
              </w:rPr>
              <w:tab/>
              <w:t>plāna investīcijas 3.1.1.1.i. mērķrādītāj</w:t>
            </w:r>
            <w:r w:rsidR="00463428" w:rsidRPr="009F4685">
              <w:rPr>
                <w:color w:val="auto"/>
                <w:sz w:val="24"/>
                <w:szCs w:val="24"/>
              </w:rPr>
              <w:t>s</w:t>
            </w:r>
            <w:r w:rsidR="00885940" w:rsidRPr="009F4685">
              <w:rPr>
                <w:color w:val="auto"/>
                <w:sz w:val="24"/>
                <w:szCs w:val="24"/>
              </w:rPr>
              <w:t xml:space="preserve"> Nr.87</w:t>
            </w:r>
            <w:r w:rsidR="00463428" w:rsidRPr="009F4685">
              <w:rPr>
                <w:color w:val="auto"/>
                <w:sz w:val="24"/>
                <w:szCs w:val="24"/>
              </w:rPr>
              <w:t xml:space="preserve"> </w:t>
            </w:r>
            <w:r w:rsidR="00885940" w:rsidRPr="009F4685">
              <w:rPr>
                <w:color w:val="auto"/>
                <w:sz w:val="24"/>
                <w:szCs w:val="24"/>
              </w:rPr>
              <w:t>un Nr.88</w:t>
            </w:r>
            <w:r w:rsidR="00463428" w:rsidRPr="009F4685">
              <w:rPr>
                <w:color w:val="auto"/>
                <w:sz w:val="24"/>
                <w:szCs w:val="24"/>
              </w:rPr>
              <w:t xml:space="preserve"> </w:t>
            </w:r>
            <w:r w:rsidR="00885940" w:rsidRPr="009F4685">
              <w:rPr>
                <w:color w:val="auto"/>
                <w:sz w:val="24"/>
                <w:szCs w:val="24"/>
              </w:rPr>
              <w:t xml:space="preserve">ir ANM plāna sākotnējā redakcijā noteiktie “papildinātības pasākumi”, proti – tie nav atsevišķi </w:t>
            </w:r>
            <w:r w:rsidR="002D7F60" w:rsidRPr="009F4685">
              <w:rPr>
                <w:color w:val="auto"/>
                <w:sz w:val="24"/>
                <w:szCs w:val="24"/>
              </w:rPr>
              <w:t xml:space="preserve">sasniedzamie </w:t>
            </w:r>
            <w:r w:rsidR="00885940" w:rsidRPr="009F4685">
              <w:rPr>
                <w:color w:val="auto"/>
                <w:sz w:val="24"/>
                <w:szCs w:val="24"/>
              </w:rPr>
              <w:t>mērķi</w:t>
            </w:r>
            <w:r w:rsidR="00463428" w:rsidRPr="009F4685">
              <w:rPr>
                <w:color w:val="auto"/>
                <w:sz w:val="24"/>
                <w:szCs w:val="24"/>
              </w:rPr>
              <w:t xml:space="preserve"> investīcijai 3.1.1.1.i.</w:t>
            </w:r>
            <w:r w:rsidR="00885940" w:rsidRPr="009F4685">
              <w:rPr>
                <w:color w:val="auto"/>
                <w:sz w:val="24"/>
                <w:szCs w:val="24"/>
              </w:rPr>
              <w:t xml:space="preserve"> </w:t>
            </w:r>
            <w:r w:rsidR="00D33C0C" w:rsidRPr="009F4685">
              <w:rPr>
                <w:color w:val="auto"/>
                <w:sz w:val="24"/>
                <w:szCs w:val="24"/>
              </w:rPr>
              <w:t xml:space="preserve">un </w:t>
            </w:r>
            <w:r w:rsidR="00885940" w:rsidRPr="009F4685">
              <w:rPr>
                <w:color w:val="auto"/>
                <w:sz w:val="24"/>
                <w:szCs w:val="24"/>
              </w:rPr>
              <w:t>tiem netiek novirzīts papildu finansējums VARAM atbildībā esošās investīcijas 3.1.1.1.i. ietvaros</w:t>
            </w:r>
            <w:r w:rsidR="00463428" w:rsidRPr="009F4685">
              <w:rPr>
                <w:color w:val="auto"/>
                <w:sz w:val="24"/>
                <w:szCs w:val="24"/>
              </w:rPr>
              <w:t>.</w:t>
            </w:r>
            <w:r w:rsidR="00885940" w:rsidRPr="009F4685">
              <w:rPr>
                <w:color w:val="auto"/>
                <w:sz w:val="24"/>
                <w:szCs w:val="24"/>
              </w:rPr>
              <w:t xml:space="preserve"> </w:t>
            </w:r>
            <w:r w:rsidR="00463428" w:rsidRPr="009F4685">
              <w:rPr>
                <w:color w:val="auto"/>
                <w:sz w:val="24"/>
                <w:szCs w:val="24"/>
              </w:rPr>
              <w:t xml:space="preserve">Minēto </w:t>
            </w:r>
            <w:r w:rsidR="00885940" w:rsidRPr="009F4685">
              <w:rPr>
                <w:color w:val="auto"/>
                <w:sz w:val="24"/>
                <w:szCs w:val="24"/>
              </w:rPr>
              <w:t>mērķ</w:t>
            </w:r>
            <w:r w:rsidR="00463428" w:rsidRPr="009F4685">
              <w:rPr>
                <w:color w:val="auto"/>
                <w:sz w:val="24"/>
                <w:szCs w:val="24"/>
              </w:rPr>
              <w:t>rādītāju (Nr.87 un Nr.88)</w:t>
            </w:r>
            <w:r w:rsidR="00885940" w:rsidRPr="009F4685">
              <w:rPr>
                <w:color w:val="auto"/>
                <w:sz w:val="24"/>
                <w:szCs w:val="24"/>
              </w:rPr>
              <w:t xml:space="preserve"> sasniegšana paredzēta SM atbildībā esošo investīciju 1.1.1.1.i. un 1.1.1.2.i. pasākumu ietvaros. Mērķrādītāju izmaiņas</w:t>
            </w:r>
            <w:r w:rsidR="00463428" w:rsidRPr="009F4685">
              <w:rPr>
                <w:color w:val="auto"/>
                <w:sz w:val="24"/>
                <w:szCs w:val="24"/>
              </w:rPr>
              <w:t xml:space="preserve"> investīcijai 3.1.1.1.i.</w:t>
            </w:r>
            <w:r w:rsidR="00885940" w:rsidRPr="009F4685">
              <w:rPr>
                <w:color w:val="auto"/>
                <w:sz w:val="24"/>
                <w:szCs w:val="24"/>
              </w:rPr>
              <w:t xml:space="preserve"> ierosinātas, ņemot vērā </w:t>
            </w:r>
            <w:r w:rsidR="0095238E" w:rsidRPr="009F4685">
              <w:rPr>
                <w:color w:val="auto"/>
                <w:sz w:val="24"/>
                <w:szCs w:val="24"/>
              </w:rPr>
              <w:t xml:space="preserve">arī </w:t>
            </w:r>
            <w:r w:rsidR="00885940" w:rsidRPr="009F4685">
              <w:rPr>
                <w:color w:val="auto"/>
                <w:sz w:val="24"/>
                <w:szCs w:val="24"/>
              </w:rPr>
              <w:t xml:space="preserve">Eiropas Komisijas </w:t>
            </w:r>
            <w:r w:rsidR="00463428" w:rsidRPr="009F4685">
              <w:rPr>
                <w:color w:val="auto"/>
                <w:sz w:val="24"/>
                <w:szCs w:val="24"/>
              </w:rPr>
              <w:t>izteikto aicinājumu</w:t>
            </w:r>
            <w:r w:rsidR="00805886" w:rsidRPr="009F4685">
              <w:rPr>
                <w:color w:val="auto"/>
                <w:sz w:val="24"/>
                <w:szCs w:val="24"/>
              </w:rPr>
              <w:t xml:space="preserve"> ANM plāna grozījumu neformālās saskaņošanas laikā</w:t>
            </w:r>
            <w:r w:rsidR="00885940" w:rsidRPr="009F4685">
              <w:rPr>
                <w:color w:val="auto"/>
                <w:sz w:val="24"/>
                <w:szCs w:val="24"/>
              </w:rPr>
              <w:t xml:space="preserve">, </w:t>
            </w:r>
            <w:r w:rsidR="00805886" w:rsidRPr="009F4685">
              <w:rPr>
                <w:color w:val="auto"/>
                <w:sz w:val="24"/>
                <w:szCs w:val="24"/>
              </w:rPr>
              <w:t>rosinot</w:t>
            </w:r>
            <w:r w:rsidR="00885940" w:rsidRPr="009F4685">
              <w:rPr>
                <w:color w:val="auto"/>
                <w:sz w:val="24"/>
                <w:szCs w:val="24"/>
              </w:rPr>
              <w:t xml:space="preserve"> </w:t>
            </w:r>
            <w:r w:rsidR="00885940" w:rsidRPr="009F4685">
              <w:rPr>
                <w:color w:val="auto"/>
                <w:sz w:val="24"/>
                <w:szCs w:val="24"/>
              </w:rPr>
              <w:lastRenderedPageBreak/>
              <w:t xml:space="preserve">rādītāju </w:t>
            </w:r>
            <w:r w:rsidR="00805886" w:rsidRPr="009F4685">
              <w:rPr>
                <w:color w:val="auto"/>
                <w:sz w:val="24"/>
                <w:szCs w:val="24"/>
              </w:rPr>
              <w:t xml:space="preserve">svītrošanu, tādejādi </w:t>
            </w:r>
            <w:r w:rsidR="00885940" w:rsidRPr="009F4685">
              <w:rPr>
                <w:color w:val="auto"/>
                <w:sz w:val="24"/>
                <w:szCs w:val="24"/>
              </w:rPr>
              <w:t>uzlabo</w:t>
            </w:r>
            <w:r w:rsidR="00805886" w:rsidRPr="009F4685">
              <w:rPr>
                <w:color w:val="auto"/>
                <w:sz w:val="24"/>
                <w:szCs w:val="24"/>
              </w:rPr>
              <w:t>jot</w:t>
            </w:r>
            <w:r w:rsidR="00885940" w:rsidRPr="009F4685">
              <w:rPr>
                <w:color w:val="auto"/>
                <w:sz w:val="24"/>
                <w:szCs w:val="24"/>
              </w:rPr>
              <w:t xml:space="preserve"> CID pielikuma lasāmību, </w:t>
            </w:r>
            <w:r w:rsidR="00805886" w:rsidRPr="009F4685">
              <w:rPr>
                <w:color w:val="auto"/>
                <w:sz w:val="24"/>
                <w:szCs w:val="24"/>
              </w:rPr>
              <w:t xml:space="preserve">turklāt mērķrādītāji </w:t>
            </w:r>
            <w:r w:rsidR="00885940" w:rsidRPr="009F4685">
              <w:rPr>
                <w:color w:val="auto"/>
                <w:sz w:val="24"/>
                <w:szCs w:val="24"/>
              </w:rPr>
              <w:t xml:space="preserve"> dublējas ar investīciju pasākumu 1.1.1.1.i.1. un 1.1.1.2.i.1. mērķrādītājiem, un tie</w:t>
            </w:r>
            <w:r w:rsidR="0095238E" w:rsidRPr="009F4685">
              <w:rPr>
                <w:color w:val="auto"/>
                <w:sz w:val="24"/>
                <w:szCs w:val="24"/>
              </w:rPr>
              <w:t xml:space="preserve"> faktiski</w:t>
            </w:r>
            <w:r w:rsidR="00885940" w:rsidRPr="009F4685">
              <w:rPr>
                <w:color w:val="auto"/>
                <w:sz w:val="24"/>
                <w:szCs w:val="24"/>
              </w:rPr>
              <w:t xml:space="preserve"> tiks sasniegti 1.komponentes ietvaros</w:t>
            </w:r>
            <w:r w:rsidR="00805886" w:rsidRPr="009F4685">
              <w:rPr>
                <w:color w:val="auto"/>
                <w:sz w:val="24"/>
                <w:szCs w:val="24"/>
              </w:rPr>
              <w:t>.</w:t>
            </w:r>
            <w:r w:rsidR="00885940" w:rsidRPr="009F4685">
              <w:rPr>
                <w:color w:val="auto"/>
                <w:sz w:val="24"/>
                <w:szCs w:val="24"/>
              </w:rPr>
              <w:t xml:space="preserve"> </w:t>
            </w:r>
            <w:r w:rsidR="00805886" w:rsidRPr="009F4685">
              <w:rPr>
                <w:color w:val="auto"/>
                <w:sz w:val="24"/>
                <w:szCs w:val="24"/>
              </w:rPr>
              <w:t>A</w:t>
            </w:r>
            <w:r w:rsidR="00885940" w:rsidRPr="009F4685">
              <w:rPr>
                <w:color w:val="auto"/>
                <w:sz w:val="24"/>
                <w:szCs w:val="24"/>
              </w:rPr>
              <w:t>ttiecīgi</w:t>
            </w:r>
            <w:r w:rsidR="00805886" w:rsidRPr="009F4685">
              <w:rPr>
                <w:color w:val="auto"/>
                <w:sz w:val="24"/>
                <w:szCs w:val="24"/>
              </w:rPr>
              <w:t xml:space="preserve">, </w:t>
            </w:r>
            <w:r w:rsidR="00885940" w:rsidRPr="009F4685">
              <w:rPr>
                <w:color w:val="auto"/>
                <w:sz w:val="24"/>
                <w:szCs w:val="24"/>
              </w:rPr>
              <w:t xml:space="preserve"> mērķrādītāj</w:t>
            </w:r>
            <w:r w:rsidR="00805886" w:rsidRPr="009F4685">
              <w:rPr>
                <w:color w:val="auto"/>
                <w:sz w:val="24"/>
                <w:szCs w:val="24"/>
              </w:rPr>
              <w:t>a</w:t>
            </w:r>
            <w:r w:rsidR="00885940" w:rsidRPr="009F4685">
              <w:rPr>
                <w:color w:val="auto"/>
                <w:sz w:val="24"/>
                <w:szCs w:val="24"/>
              </w:rPr>
              <w:t xml:space="preserve"> Nr.87 un Nr.88 svītrošana no ANM plāna pēc būtības neietekmē nedz investīcijas 3.1.1.1.i., nedz kopējā ANM plāna īstenošanu (</w:t>
            </w:r>
            <w:r w:rsidR="00805886" w:rsidRPr="009F4685">
              <w:rPr>
                <w:color w:val="auto"/>
                <w:sz w:val="24"/>
                <w:szCs w:val="24"/>
              </w:rPr>
              <w:t xml:space="preserve">ierosinātie grozījumi </w:t>
            </w:r>
            <w:r w:rsidR="00885940" w:rsidRPr="009F4685">
              <w:rPr>
                <w:color w:val="auto"/>
                <w:sz w:val="24"/>
                <w:szCs w:val="24"/>
              </w:rPr>
              <w:t>ir tehnisks precizējums, lai novērstu mērķrādītāju dublēšanu)</w:t>
            </w:r>
            <w:r w:rsidR="00805886" w:rsidRPr="009F4685">
              <w:rPr>
                <w:color w:val="auto"/>
                <w:sz w:val="24"/>
                <w:szCs w:val="24"/>
              </w:rPr>
              <w:t>.</w:t>
            </w:r>
          </w:p>
          <w:p w14:paraId="0A0FFFB0" w14:textId="77777777" w:rsidR="009F4685" w:rsidRPr="009F4685" w:rsidRDefault="00C73A07" w:rsidP="009F4685">
            <w:pPr>
              <w:pStyle w:val="ListParagraph"/>
              <w:ind w:left="360"/>
              <w:rPr>
                <w:color w:val="auto"/>
                <w:sz w:val="24"/>
                <w:szCs w:val="24"/>
              </w:rPr>
            </w:pPr>
            <w:r w:rsidRPr="009F4685">
              <w:rPr>
                <w:color w:val="auto"/>
                <w:sz w:val="24"/>
                <w:szCs w:val="24"/>
              </w:rPr>
              <w:t>Papildus skaidrojam, ka atbilstoši ANM plān</w:t>
            </w:r>
            <w:r w:rsidR="0000434B" w:rsidRPr="009F4685">
              <w:rPr>
                <w:color w:val="auto"/>
                <w:sz w:val="24"/>
                <w:szCs w:val="24"/>
              </w:rPr>
              <w:t>ā ierosinātajiem grozījumiem</w:t>
            </w:r>
            <w:r w:rsidRPr="009F4685">
              <w:rPr>
                <w:color w:val="auto"/>
                <w:sz w:val="24"/>
                <w:szCs w:val="24"/>
              </w:rPr>
              <w:t xml:space="preserve"> 1.1.1.1.i. investīcijas "Konkurētspējīgs dzelzceļa pasažieru transports kopējā Rīgas valstspilsētas sabiedriskā transporta sistēmā, attīstot bezemisiju dzelzceļa infrastruktūru ar bezemisiju ritekļiem" 1.1.1.1.i.1. pasākuma ietvaros līdz 2026.gada 30.jūnijam </w:t>
            </w:r>
            <w:r w:rsidR="0000434B" w:rsidRPr="009F4685">
              <w:rPr>
                <w:color w:val="auto"/>
                <w:sz w:val="24"/>
                <w:szCs w:val="24"/>
              </w:rPr>
              <w:t>plānots izveidot</w:t>
            </w:r>
            <w:r w:rsidRPr="009F4685">
              <w:rPr>
                <w:color w:val="auto"/>
                <w:sz w:val="24"/>
                <w:szCs w:val="24"/>
              </w:rPr>
              <w:t xml:space="preserve"> </w:t>
            </w:r>
            <w:r w:rsidR="0000434B" w:rsidRPr="009F4685">
              <w:rPr>
                <w:color w:val="auto"/>
                <w:sz w:val="24"/>
                <w:szCs w:val="24"/>
              </w:rPr>
              <w:t>bateriju elekrovilcienu uzlādes infrastruktūru Rīgas metropoles areāla neelektrificētajā dzelzceļa tīkla zonā</w:t>
            </w:r>
            <w:r w:rsidR="001C4FA3" w:rsidRPr="009F4685">
              <w:rPr>
                <w:color w:val="auto"/>
                <w:sz w:val="24"/>
                <w:szCs w:val="24"/>
              </w:rPr>
              <w:t xml:space="preserve">, kas būtiski </w:t>
            </w:r>
            <w:r w:rsidR="0000434B" w:rsidRPr="009F4685">
              <w:rPr>
                <w:color w:val="auto"/>
                <w:sz w:val="24"/>
                <w:szCs w:val="24"/>
              </w:rPr>
              <w:t>nepieciešams</w:t>
            </w:r>
            <w:r w:rsidR="003A3BCC" w:rsidRPr="009F4685">
              <w:rPr>
                <w:color w:val="auto"/>
                <w:sz w:val="24"/>
                <w:szCs w:val="24"/>
              </w:rPr>
              <w:t>, lai nodrošinātu jauno</w:t>
            </w:r>
            <w:r w:rsidR="0000434B" w:rsidRPr="009F4685">
              <w:rPr>
                <w:color w:val="auto"/>
                <w:sz w:val="24"/>
                <w:szCs w:val="24"/>
              </w:rPr>
              <w:t xml:space="preserve"> bateriju elektrovilcienu</w:t>
            </w:r>
            <w:r w:rsidR="003A3BCC" w:rsidRPr="009F4685">
              <w:rPr>
                <w:color w:val="auto"/>
                <w:sz w:val="24"/>
                <w:szCs w:val="24"/>
              </w:rPr>
              <w:t xml:space="preserve"> uzlādes iespējas</w:t>
            </w:r>
            <w:r w:rsidR="0000434B" w:rsidRPr="009F4685">
              <w:rPr>
                <w:color w:val="auto"/>
                <w:sz w:val="24"/>
                <w:szCs w:val="24"/>
              </w:rPr>
              <w:t>.</w:t>
            </w:r>
            <w:r w:rsidRPr="009F4685">
              <w:rPr>
                <w:color w:val="auto"/>
                <w:sz w:val="24"/>
                <w:szCs w:val="24"/>
              </w:rPr>
              <w:t>.</w:t>
            </w:r>
          </w:p>
          <w:p w14:paraId="23927128" w14:textId="77777777" w:rsidR="009F4685" w:rsidRPr="009F4685" w:rsidRDefault="00C73A07" w:rsidP="009F4685">
            <w:pPr>
              <w:pStyle w:val="ListParagraph"/>
              <w:ind w:left="360"/>
              <w:rPr>
                <w:color w:val="auto"/>
                <w:sz w:val="24"/>
                <w:szCs w:val="24"/>
              </w:rPr>
            </w:pPr>
            <w:r w:rsidRPr="009F4685">
              <w:rPr>
                <w:color w:val="auto"/>
                <w:sz w:val="24"/>
                <w:szCs w:val="24"/>
              </w:rPr>
              <w:t xml:space="preserve">Vēršam uzmanību, ka 1.1.1.2.i. investīcijas “Videi draudzīgi uzlabojumi Rīgas pilsētas sabiedriskā transporta sistēmā” 1.1.1.2.i.1. pasākuma ietvaros nav iespējama (objektīvu </w:t>
            </w:r>
            <w:r w:rsidRPr="009F4685">
              <w:rPr>
                <w:color w:val="auto"/>
                <w:sz w:val="24"/>
                <w:szCs w:val="24"/>
              </w:rPr>
              <w:lastRenderedPageBreak/>
              <w:t>apstākļu dēļ) četru zemās grīdas tramvaju iegāde, līdz ar to 1.1.1.2.i.1. pasākuma sasniedzamā rādītāja (mērķa) vērtība tiek samazināta (no “21” uz “17”). Jāņem vērā, ka līdz papildu investīciju piesaistei finansējuma saņēmējs (“Rīgas satiksme”) 7.tramvaja līniju (t.sk. dzelzceļa stacijas “Šķirotava” mobilitātes punktu) apkalpos ar esošo ritošo sastāvu, t.sk. esošajiem zemās grīdas tramvajiem. Jāņem vērā, ka sabiedriskā transporta pasažieriem būtiski neietekmēs tramvaja pieejamību.</w:t>
            </w:r>
          </w:p>
          <w:p w14:paraId="407056B6" w14:textId="77777777" w:rsidR="009F4685" w:rsidRPr="009F4685" w:rsidRDefault="00B75BDA" w:rsidP="009F4685">
            <w:pPr>
              <w:pStyle w:val="ListParagraph"/>
              <w:ind w:left="360"/>
              <w:rPr>
                <w:color w:val="auto"/>
                <w:sz w:val="24"/>
                <w:szCs w:val="24"/>
              </w:rPr>
            </w:pPr>
            <w:r w:rsidRPr="009F4685">
              <w:rPr>
                <w:color w:val="auto"/>
                <w:sz w:val="24"/>
                <w:szCs w:val="24"/>
              </w:rPr>
              <w:t>Attiecībā uz SEG emisiju samazinājumu</w:t>
            </w:r>
            <w:r w:rsidRPr="009F4685" w:rsidDel="00C73A07">
              <w:rPr>
                <w:color w:val="auto"/>
                <w:sz w:val="24"/>
                <w:szCs w:val="24"/>
              </w:rPr>
              <w:t xml:space="preserve"> </w:t>
            </w:r>
            <w:r w:rsidR="00C73A07" w:rsidRPr="009F4685">
              <w:rPr>
                <w:color w:val="auto"/>
                <w:sz w:val="24"/>
                <w:szCs w:val="24"/>
              </w:rPr>
              <w:t xml:space="preserve"> informējam, ka</w:t>
            </w:r>
            <w:r w:rsidR="00885940" w:rsidRPr="009F4685">
              <w:rPr>
                <w:color w:val="auto"/>
                <w:sz w:val="24"/>
                <w:szCs w:val="24"/>
              </w:rPr>
              <w:t xml:space="preserve"> investīcijas 3.1.1.1.i. mērķis – 210 km valsts reģionālo un vietējo ceļu renovācija un rekonstrukcija – atbilstoši principa “Nenodarīt būtisku kaitējumu” novērtējumam, nerada ievērojamas SEG emisijas, jo autoceļu atjaunošana ir daļa no visaptverošā plāna transporta jomā un atbilst Gaisa piesārņojuma samazināšanas rīcības plānam 2020.-2030. gadam, kur sasaistē ar  politiku transporta sektorā valsts reģionālo autoceļu kvalitātes uzlabošanas pasākumam ir norādīta pozitīva ietekme uz gaisa kvalitāti. Papildus, ievērojot principu “Nenodarīt būtisku kaitējumu”, valsts reģionālo un vietējo autoceļu atjaunošanai </w:t>
            </w:r>
            <w:r w:rsidR="00885940" w:rsidRPr="009F4685">
              <w:rPr>
                <w:color w:val="auto"/>
                <w:sz w:val="24"/>
                <w:szCs w:val="24"/>
              </w:rPr>
              <w:lastRenderedPageBreak/>
              <w:t>ANM plāna ietvaros kā papildinošas investīcijas (kurām ir ietekme uz SEG emisiju samazināšanu), tiek plānotas gan jau iepriekš norādīto investīciju 1.1.1.1.i. un 1.1.1.2.i., gan investīcijas 3.1.1.6.i. “Pašvaldību funkciju īstenošanai un pakalpojumu sniegšanai nepieciešamo bezemisiju transportlīdzekļu iegāde” ietvaros.</w:t>
            </w:r>
            <w:r w:rsidR="009515DE" w:rsidRPr="009F4685">
              <w:rPr>
                <w:color w:val="auto"/>
                <w:sz w:val="24"/>
                <w:szCs w:val="24"/>
              </w:rPr>
              <w:t xml:space="preserve"> </w:t>
            </w:r>
          </w:p>
          <w:p w14:paraId="27BC59C6" w14:textId="11F35E2B" w:rsidR="00127462" w:rsidRPr="009F4685" w:rsidRDefault="00B75BDA" w:rsidP="009F4685">
            <w:pPr>
              <w:pStyle w:val="ListParagraph"/>
              <w:ind w:left="360"/>
              <w:rPr>
                <w:color w:val="auto"/>
                <w:sz w:val="24"/>
                <w:szCs w:val="24"/>
              </w:rPr>
            </w:pPr>
            <w:r w:rsidRPr="009F4685">
              <w:rPr>
                <w:color w:val="auto"/>
                <w:sz w:val="24"/>
                <w:szCs w:val="24"/>
              </w:rPr>
              <w:t>Tāpat atzīmējams</w:t>
            </w:r>
            <w:r w:rsidR="00127462" w:rsidRPr="009F4685">
              <w:rPr>
                <w:color w:val="auto"/>
                <w:sz w:val="24"/>
                <w:szCs w:val="24"/>
              </w:rPr>
              <w:t xml:space="preserve">, ka ANM plāna 1.1.1.r. reforma “Rīgas metropoles areāla transporta sistēmas zaļināšana” (turpmāk – Reforma) kopumā ir tieši vērsta uz CO2 emisiju samazināšanu noteiktā teritorijā, proti, Rīgas metropoles areālā, un Reformas ietvaros kopumā plānotie investīciju projekti ar maziem izņēmumiem savā starpā ir ar lielu mijiedarbību un viens otru papildina un pastiprina sagaidāmo ietekmi uz novēršamo CO2 emisiju daudzumu. Līdz ar to, ievērojot plānoto investīciju projektu ciešu mijiedarbību un papildinošu efektu, it sevišķi Rīgas valstspilsētas sabiedriskā transporta un dzelzceļa transporta sistēmas uzlabošanas projektos, ietekme uz CO2 novēršanu tiks novērtēta kā investīciju grupas kopējā ietekme. Kopējā ietekme ir lielā mērā atkarīga arī no daudziem citiem </w:t>
            </w:r>
            <w:r w:rsidR="00127462" w:rsidRPr="009F4685">
              <w:rPr>
                <w:color w:val="auto"/>
                <w:sz w:val="24"/>
                <w:szCs w:val="24"/>
              </w:rPr>
              <w:lastRenderedPageBreak/>
              <w:t>īstenotiem transporta politikas pasākumiem, kas vērsti uz videi draudzīgu sabiedriskā transporta veidu izmantošanas īpatsvara palielināšanu. Tas ir īpaši svarīgi īstenojamo investīciju (projektu) kontekstā, jo liela daļa no aprēķinātajām novērstām CO2 emisijām ir saistīta ar patērētāju uzvedības maiņu, proti, privāto automašīnu pasažieru pārsēšanās uz sabiedrisko transportu, tādejādi mazinot privāto automašīnu izmantošanu un CO2 samazinājumu.</w:t>
            </w:r>
          </w:p>
          <w:p w14:paraId="7343DFDA" w14:textId="77777777" w:rsidR="00994864" w:rsidRPr="009F4685" w:rsidRDefault="00994864" w:rsidP="00404F73">
            <w:pPr>
              <w:rPr>
                <w:color w:val="auto"/>
                <w:sz w:val="24"/>
                <w:szCs w:val="24"/>
              </w:rPr>
            </w:pPr>
          </w:p>
          <w:p w14:paraId="23BCC606" w14:textId="2571A593" w:rsidR="00F36D3E" w:rsidRPr="009F4685" w:rsidRDefault="00994864" w:rsidP="00FD039B">
            <w:pPr>
              <w:pStyle w:val="ListParagraph"/>
              <w:numPr>
                <w:ilvl w:val="0"/>
                <w:numId w:val="1"/>
              </w:numPr>
              <w:rPr>
                <w:b/>
                <w:bCs/>
                <w:color w:val="auto"/>
                <w:sz w:val="24"/>
                <w:szCs w:val="24"/>
              </w:rPr>
            </w:pPr>
            <w:r w:rsidRPr="009F4685">
              <w:rPr>
                <w:color w:val="auto"/>
                <w:sz w:val="24"/>
                <w:szCs w:val="24"/>
              </w:rPr>
              <w:t>Grozījumi attiecībā uz transportlīdzekļu loka paplašināšanu netiks virzīti, atstājot investīcijas tvērumu sākotnēji plānotajā apmērā.</w:t>
            </w:r>
          </w:p>
          <w:p w14:paraId="1816BD53" w14:textId="77777777" w:rsidR="007E1846" w:rsidRPr="009F4685" w:rsidRDefault="007E1846" w:rsidP="007944C9">
            <w:pPr>
              <w:pStyle w:val="ListParagraph"/>
              <w:ind w:left="0"/>
              <w:rPr>
                <w:color w:val="auto"/>
                <w:sz w:val="24"/>
                <w:szCs w:val="24"/>
              </w:rPr>
            </w:pPr>
          </w:p>
          <w:p w14:paraId="21ACAEEF" w14:textId="5A85F68F" w:rsidR="0060562C" w:rsidRPr="009F4685" w:rsidRDefault="007D4E0B" w:rsidP="009F4685">
            <w:pPr>
              <w:pStyle w:val="ListParagraph"/>
              <w:numPr>
                <w:ilvl w:val="0"/>
                <w:numId w:val="1"/>
              </w:numPr>
              <w:rPr>
                <w:b/>
                <w:bCs/>
                <w:color w:val="auto"/>
                <w:sz w:val="24"/>
                <w:szCs w:val="24"/>
              </w:rPr>
            </w:pPr>
            <w:r w:rsidRPr="009F4685">
              <w:rPr>
                <w:color w:val="auto"/>
                <w:sz w:val="24"/>
                <w:szCs w:val="24"/>
              </w:rPr>
              <w:t xml:space="preserve">Ņemot vērā ANM plāna grozījumu ietvaros norādīto, Latvija neplāno aizdevuma izmantošanu. Skaidrojam, ka aizdevums ietekmēs gan valdības parādu, gan valdības izdevumus, palielinot tos. Arī budžeta ietvars 2023.-2025.gadam jau ir apstiprināts un visa pieejamā fiskālā telpa trim gadiem ir sadalīta. Attiecīgi papildus izdevumiem pretī ir jābūt kompensējošiem pasākumiem (izdevumu pārskatīšana vai jauni ieņēmumu avoti). Attiecībā uz risinājumiem dzīvojamā </w:t>
            </w:r>
            <w:r w:rsidRPr="009F4685">
              <w:rPr>
                <w:color w:val="auto"/>
                <w:sz w:val="24"/>
                <w:szCs w:val="24"/>
              </w:rPr>
              <w:lastRenderedPageBreak/>
              <w:t>fonda atjaunošanai un energoefektivitātes uzlabošanai, skaidrojam, ka Ekonomikas ministrija strādā pie likumdošanas izmaiņām, lai risinātu situācijas, kad mājas iedzīvotāju kopsapulcēs nepietiek kvorums lēmumu pieņemšanai par mājas atjaunošanas darbu veikšanu. Papildus tam, tiek strādāts pie likumdošana izmaiņām, lai mājas veidotu atbilstošus uzkrājumus, kas veicinātu māju atjaunošanu un energoefektivitātes uzlabošanu.</w:t>
            </w:r>
          </w:p>
          <w:p w14:paraId="0C6B3219" w14:textId="77777777" w:rsidR="0060562C" w:rsidRPr="009F4685" w:rsidRDefault="0060562C" w:rsidP="007944C9">
            <w:pPr>
              <w:pStyle w:val="ListParagraph"/>
              <w:ind w:left="0"/>
              <w:rPr>
                <w:color w:val="auto"/>
                <w:sz w:val="24"/>
                <w:szCs w:val="24"/>
              </w:rPr>
            </w:pPr>
          </w:p>
          <w:p w14:paraId="453E52BC" w14:textId="77777777" w:rsidR="009F4685" w:rsidRPr="009F4685" w:rsidRDefault="000234CA" w:rsidP="000F21A1">
            <w:pPr>
              <w:pStyle w:val="ListParagraph"/>
              <w:numPr>
                <w:ilvl w:val="0"/>
                <w:numId w:val="1"/>
              </w:numPr>
              <w:rPr>
                <w:b/>
                <w:bCs/>
                <w:color w:val="auto"/>
                <w:sz w:val="24"/>
                <w:szCs w:val="24"/>
              </w:rPr>
            </w:pPr>
            <w:r w:rsidRPr="009F4685">
              <w:rPr>
                <w:color w:val="auto"/>
                <w:sz w:val="24"/>
                <w:szCs w:val="24"/>
              </w:rPr>
              <w:t>Skaidrojam, ka v</w:t>
            </w:r>
            <w:r w:rsidR="000F21A1" w:rsidRPr="009F4685">
              <w:rPr>
                <w:color w:val="auto"/>
                <w:sz w:val="24"/>
                <w:szCs w:val="24"/>
              </w:rPr>
              <w:t>alsts nozīmes ūdensnotekas Bolupe regulēta</w:t>
            </w:r>
            <w:r w:rsidRPr="009F4685">
              <w:rPr>
                <w:color w:val="auto"/>
                <w:sz w:val="24"/>
                <w:szCs w:val="24"/>
              </w:rPr>
              <w:t>jam</w:t>
            </w:r>
            <w:r w:rsidR="000F21A1" w:rsidRPr="009F4685">
              <w:rPr>
                <w:color w:val="auto"/>
                <w:sz w:val="24"/>
                <w:szCs w:val="24"/>
              </w:rPr>
              <w:t xml:space="preserve"> posm</w:t>
            </w:r>
            <w:r w:rsidRPr="009F4685">
              <w:rPr>
                <w:color w:val="auto"/>
                <w:sz w:val="24"/>
                <w:szCs w:val="24"/>
              </w:rPr>
              <w:t>am</w:t>
            </w:r>
            <w:r w:rsidR="000F21A1" w:rsidRPr="009F4685">
              <w:rPr>
                <w:color w:val="auto"/>
                <w:sz w:val="24"/>
                <w:szCs w:val="24"/>
              </w:rPr>
              <w:t xml:space="preserve"> </w:t>
            </w:r>
            <w:r w:rsidRPr="009F4685">
              <w:rPr>
                <w:color w:val="auto"/>
                <w:sz w:val="24"/>
                <w:szCs w:val="24"/>
              </w:rPr>
              <w:t>g</w:t>
            </w:r>
            <w:r w:rsidR="000F21A1" w:rsidRPr="009F4685">
              <w:rPr>
                <w:color w:val="auto"/>
                <w:sz w:val="24"/>
                <w:szCs w:val="24"/>
              </w:rPr>
              <w:t>ultne ir piesērējusi ar barības vielām bagātīgu sanesumu, kā rezultātā tā ir intensīvi aizaugusi ar ūdensaugiem</w:t>
            </w:r>
            <w:r w:rsidRPr="009F4685">
              <w:rPr>
                <w:color w:val="auto"/>
                <w:sz w:val="24"/>
                <w:szCs w:val="24"/>
              </w:rPr>
              <w:t>.</w:t>
            </w:r>
            <w:r w:rsidR="000F21A1" w:rsidRPr="009F4685">
              <w:rPr>
                <w:color w:val="auto"/>
                <w:sz w:val="24"/>
                <w:szCs w:val="24"/>
              </w:rPr>
              <w:t xml:space="preserve"> </w:t>
            </w:r>
            <w:r w:rsidRPr="009F4685">
              <w:rPr>
                <w:color w:val="auto"/>
                <w:sz w:val="24"/>
                <w:szCs w:val="24"/>
              </w:rPr>
              <w:t>L</w:t>
            </w:r>
            <w:r w:rsidR="000F21A1" w:rsidRPr="009F4685">
              <w:rPr>
                <w:color w:val="auto"/>
                <w:sz w:val="24"/>
                <w:szCs w:val="24"/>
              </w:rPr>
              <w:t>ai nodrošinātu ūdensnotekas hidroloģisko režīmu, mazinātu plūdu riskus un uzlabotu ūdensobjekta ekoloģisko kvalitāti, ir nepieciešama tās atjaunošana.</w:t>
            </w:r>
            <w:r w:rsidR="009F4685" w:rsidRPr="009F4685">
              <w:rPr>
                <w:color w:val="auto"/>
                <w:sz w:val="24"/>
                <w:szCs w:val="24"/>
              </w:rPr>
              <w:t xml:space="preserve"> </w:t>
            </w:r>
            <w:r w:rsidR="000F21A1" w:rsidRPr="009F4685">
              <w:rPr>
                <w:color w:val="auto"/>
                <w:sz w:val="24"/>
                <w:szCs w:val="24"/>
              </w:rPr>
              <w:t>Ietekmētā platība-1200 ha.</w:t>
            </w:r>
            <w:r w:rsidR="009F4685" w:rsidRPr="009F4685">
              <w:rPr>
                <w:color w:val="auto"/>
                <w:sz w:val="24"/>
                <w:szCs w:val="24"/>
              </w:rPr>
              <w:t xml:space="preserve"> </w:t>
            </w:r>
            <w:r w:rsidR="000F21A1" w:rsidRPr="009F4685">
              <w:rPr>
                <w:color w:val="auto"/>
                <w:sz w:val="24"/>
                <w:szCs w:val="24"/>
              </w:rPr>
              <w:t>Valsts nozīmes  ūdensnotekā Bolupe ietek 6 valsts nozīmes ūdensnotekas un divās  no tām pēdējos gados veikti ūdensnoteku atjaunošanas būvdarbi.</w:t>
            </w:r>
          </w:p>
          <w:p w14:paraId="1E112857" w14:textId="1E55A064" w:rsidR="000F21A1" w:rsidRPr="009F4685" w:rsidRDefault="000234CA" w:rsidP="009F4685">
            <w:pPr>
              <w:pStyle w:val="ListParagraph"/>
              <w:ind w:left="360"/>
              <w:rPr>
                <w:b/>
                <w:bCs/>
                <w:color w:val="auto"/>
                <w:sz w:val="24"/>
                <w:szCs w:val="24"/>
              </w:rPr>
            </w:pPr>
            <w:r w:rsidRPr="009F4685">
              <w:rPr>
                <w:color w:val="auto"/>
                <w:sz w:val="24"/>
                <w:szCs w:val="24"/>
              </w:rPr>
              <w:t xml:space="preserve">Lai nodrošinātu visu saistīto aspektu izvērtēšanu, t.sk. projekta ietekmi uz bioloģisko daudzveidību un pieguļošajām </w:t>
            </w:r>
            <w:r w:rsidRPr="009F4685">
              <w:rPr>
                <w:color w:val="auto"/>
                <w:sz w:val="24"/>
                <w:szCs w:val="24"/>
              </w:rPr>
              <w:lastRenderedPageBreak/>
              <w:t>Natura 2000 teritorijām, t</w:t>
            </w:r>
            <w:r w:rsidR="000F21A1" w:rsidRPr="009F4685">
              <w:rPr>
                <w:color w:val="auto"/>
                <w:sz w:val="24"/>
                <w:szCs w:val="24"/>
              </w:rPr>
              <w:t>iks veikts sākotnējais ietekmes uz vidi izvērtējums</w:t>
            </w:r>
            <w:r w:rsidRPr="009F4685">
              <w:rPr>
                <w:color w:val="auto"/>
                <w:sz w:val="24"/>
                <w:szCs w:val="24"/>
              </w:rPr>
              <w:t>, kā arī</w:t>
            </w:r>
            <w:r w:rsidR="000F21A1" w:rsidRPr="009F4685">
              <w:rPr>
                <w:color w:val="auto"/>
                <w:sz w:val="24"/>
                <w:szCs w:val="24"/>
              </w:rPr>
              <w:t xml:space="preserve"> </w:t>
            </w:r>
            <w:r w:rsidRPr="009F4685">
              <w:rPr>
                <w:color w:val="auto"/>
                <w:sz w:val="24"/>
                <w:szCs w:val="24"/>
              </w:rPr>
              <w:t>t</w:t>
            </w:r>
            <w:r w:rsidR="000F21A1" w:rsidRPr="009F4685">
              <w:rPr>
                <w:color w:val="auto"/>
                <w:sz w:val="24"/>
                <w:szCs w:val="24"/>
              </w:rPr>
              <w:t>iks veikti 3 dažādu dabas ekspertu vērtējumi</w:t>
            </w:r>
            <w:r w:rsidRPr="009F4685">
              <w:rPr>
                <w:color w:val="auto"/>
                <w:sz w:val="24"/>
                <w:szCs w:val="24"/>
              </w:rPr>
              <w:t>,</w:t>
            </w:r>
            <w:r w:rsidR="000F21A1" w:rsidRPr="009F4685">
              <w:rPr>
                <w:color w:val="auto"/>
                <w:sz w:val="24"/>
                <w:szCs w:val="24"/>
              </w:rPr>
              <w:t xml:space="preserve"> pēc kuriem Valsts Vides dienests izdos tehniskos noteikumus būvniecībai.</w:t>
            </w:r>
            <w:r w:rsidR="009F4685" w:rsidRPr="009F4685">
              <w:rPr>
                <w:color w:val="auto"/>
                <w:sz w:val="24"/>
                <w:szCs w:val="24"/>
              </w:rPr>
              <w:t xml:space="preserve"> </w:t>
            </w:r>
            <w:r w:rsidR="000F21A1" w:rsidRPr="009F4685">
              <w:rPr>
                <w:color w:val="auto"/>
                <w:sz w:val="24"/>
                <w:szCs w:val="24"/>
              </w:rPr>
              <w:t>Projekta iekļaušana</w:t>
            </w:r>
            <w:r w:rsidR="00E140B0" w:rsidRPr="009F4685">
              <w:rPr>
                <w:color w:val="auto"/>
                <w:sz w:val="24"/>
                <w:szCs w:val="24"/>
              </w:rPr>
              <w:t xml:space="preserve"> investīcijas atbalsta tvērumā ir pārrunāta un</w:t>
            </w:r>
            <w:r w:rsidR="000F21A1" w:rsidRPr="009F4685">
              <w:rPr>
                <w:color w:val="auto"/>
                <w:sz w:val="24"/>
                <w:szCs w:val="24"/>
              </w:rPr>
              <w:t xml:space="preserve"> saskaņota </w:t>
            </w:r>
            <w:r w:rsidR="00994864" w:rsidRPr="009F4685">
              <w:rPr>
                <w:color w:val="auto"/>
                <w:sz w:val="24"/>
                <w:szCs w:val="24"/>
              </w:rPr>
              <w:t xml:space="preserve">arī </w:t>
            </w:r>
            <w:r w:rsidR="000F21A1" w:rsidRPr="009F4685">
              <w:rPr>
                <w:color w:val="auto"/>
                <w:sz w:val="24"/>
                <w:szCs w:val="24"/>
              </w:rPr>
              <w:t>ar EK</w:t>
            </w:r>
            <w:r w:rsidR="00994864" w:rsidRPr="009F4685">
              <w:rPr>
                <w:color w:val="auto"/>
                <w:sz w:val="24"/>
                <w:szCs w:val="24"/>
              </w:rPr>
              <w:t>, t.sk. ņemot vērā “Nonodarīt būtisku kaitējumu” principu.</w:t>
            </w:r>
          </w:p>
        </w:tc>
      </w:tr>
      <w:tr w:rsidR="009F4685" w:rsidRPr="009F4685" w14:paraId="145D7F14" w14:textId="77777777" w:rsidTr="003F2461">
        <w:tc>
          <w:tcPr>
            <w:tcW w:w="750" w:type="dxa"/>
            <w:shd w:val="clear" w:color="auto" w:fill="FFFFFF"/>
            <w:noWrap/>
            <w:tcMar>
              <w:top w:w="75" w:type="dxa"/>
              <w:left w:w="75" w:type="dxa"/>
              <w:bottom w:w="75" w:type="dxa"/>
              <w:right w:w="75" w:type="dxa"/>
            </w:tcMar>
            <w:vAlign w:val="center"/>
          </w:tcPr>
          <w:p w14:paraId="69FBEB9C" w14:textId="77777777" w:rsidR="009F4685" w:rsidRPr="009F4685" w:rsidRDefault="009F4685">
            <w:pPr>
              <w:jc w:val="center"/>
              <w:rPr>
                <w:color w:val="auto"/>
                <w:sz w:val="24"/>
                <w:szCs w:val="24"/>
              </w:rPr>
            </w:pPr>
          </w:p>
        </w:tc>
        <w:tc>
          <w:tcPr>
            <w:tcW w:w="1735" w:type="dxa"/>
            <w:shd w:val="clear" w:color="auto" w:fill="FFFFFF"/>
            <w:noWrap/>
            <w:tcMar>
              <w:top w:w="75" w:type="dxa"/>
              <w:left w:w="75" w:type="dxa"/>
              <w:bottom w:w="75" w:type="dxa"/>
              <w:right w:w="75" w:type="dxa"/>
            </w:tcMar>
            <w:vAlign w:val="center"/>
          </w:tcPr>
          <w:p w14:paraId="008ABC48" w14:textId="77777777" w:rsidR="009F4685" w:rsidRPr="009F4685" w:rsidRDefault="009F4685">
            <w:pPr>
              <w:jc w:val="left"/>
              <w:rPr>
                <w:color w:val="auto"/>
                <w:sz w:val="24"/>
                <w:szCs w:val="24"/>
              </w:rPr>
            </w:pPr>
          </w:p>
        </w:tc>
        <w:tc>
          <w:tcPr>
            <w:tcW w:w="5812" w:type="dxa"/>
            <w:shd w:val="clear" w:color="auto" w:fill="FFFFFF"/>
            <w:noWrap/>
            <w:tcMar>
              <w:top w:w="75" w:type="dxa"/>
              <w:left w:w="75" w:type="dxa"/>
              <w:bottom w:w="75" w:type="dxa"/>
              <w:right w:w="75" w:type="dxa"/>
            </w:tcMar>
            <w:vAlign w:val="center"/>
          </w:tcPr>
          <w:p w14:paraId="6565CC41" w14:textId="77777777" w:rsidR="009F4685" w:rsidRPr="009F4685" w:rsidRDefault="009F4685" w:rsidP="004B6FFD">
            <w:pPr>
              <w:rPr>
                <w:color w:val="auto"/>
                <w:sz w:val="24"/>
                <w:szCs w:val="24"/>
              </w:rPr>
            </w:pPr>
          </w:p>
        </w:tc>
        <w:tc>
          <w:tcPr>
            <w:tcW w:w="1417" w:type="dxa"/>
            <w:shd w:val="clear" w:color="auto" w:fill="FFFFFF"/>
            <w:noWrap/>
            <w:tcMar>
              <w:top w:w="75" w:type="dxa"/>
              <w:left w:w="75" w:type="dxa"/>
              <w:bottom w:w="75" w:type="dxa"/>
              <w:right w:w="75" w:type="dxa"/>
            </w:tcMar>
            <w:vAlign w:val="center"/>
          </w:tcPr>
          <w:p w14:paraId="0D59B900" w14:textId="77777777" w:rsidR="009F4685" w:rsidRPr="009F4685" w:rsidRDefault="009F4685" w:rsidP="004B6FFD">
            <w:pPr>
              <w:rPr>
                <w:b/>
                <w:color w:val="auto"/>
                <w:sz w:val="24"/>
                <w:szCs w:val="24"/>
              </w:rPr>
            </w:pPr>
          </w:p>
        </w:tc>
        <w:tc>
          <w:tcPr>
            <w:tcW w:w="4853" w:type="dxa"/>
            <w:shd w:val="clear" w:color="auto" w:fill="FFFFFF"/>
            <w:noWrap/>
            <w:tcMar>
              <w:top w:w="75" w:type="dxa"/>
              <w:left w:w="75" w:type="dxa"/>
              <w:bottom w:w="75" w:type="dxa"/>
              <w:right w:w="75" w:type="dxa"/>
            </w:tcMar>
            <w:vAlign w:val="center"/>
          </w:tcPr>
          <w:p w14:paraId="461AFCB5" w14:textId="77777777" w:rsidR="009F4685" w:rsidRPr="009F4685" w:rsidRDefault="009F4685" w:rsidP="004A2E44">
            <w:pPr>
              <w:pStyle w:val="ListParagraph"/>
              <w:ind w:left="360"/>
              <w:rPr>
                <w:color w:val="auto"/>
                <w:sz w:val="24"/>
                <w:szCs w:val="24"/>
              </w:rPr>
            </w:pPr>
          </w:p>
        </w:tc>
      </w:tr>
    </w:tbl>
    <w:p w14:paraId="6829923E" w14:textId="77777777" w:rsidR="00A669C2" w:rsidRPr="009F4685" w:rsidRDefault="00A669C2">
      <w:pPr>
        <w:rPr>
          <w:color w:val="auto"/>
          <w:sz w:val="24"/>
          <w:szCs w:val="24"/>
        </w:rPr>
      </w:pPr>
    </w:p>
    <w:sectPr w:rsidR="00A669C2" w:rsidRPr="009F4685">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297DB" w14:textId="77777777" w:rsidR="00A669C2" w:rsidRDefault="009515DE">
      <w:r>
        <w:separator/>
      </w:r>
    </w:p>
  </w:endnote>
  <w:endnote w:type="continuationSeparator" w:id="0">
    <w:p w14:paraId="55E12646" w14:textId="77777777" w:rsidR="00A669C2" w:rsidRDefault="00951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90FD" w14:textId="77E581B3" w:rsidR="00C14111" w:rsidRDefault="009515DE">
    <w:pPr>
      <w:jc w:val="right"/>
    </w:pPr>
    <w:r>
      <w:rPr>
        <w:sz w:val="24"/>
        <w:szCs w:val="24"/>
      </w:rPr>
      <w:fldChar w:fldCharType="begin"/>
    </w:r>
    <w:r>
      <w:rPr>
        <w:sz w:val="24"/>
        <w:szCs w:val="24"/>
      </w:rPr>
      <w:instrText>PAGE</w:instrText>
    </w:r>
    <w:r>
      <w:rPr>
        <w:sz w:val="24"/>
        <w:szCs w:val="24"/>
      </w:rPr>
      <w:fldChar w:fldCharType="separate"/>
    </w:r>
    <w:r w:rsidR="00F36D3E">
      <w:rPr>
        <w:noProof/>
        <w:sz w:val="24"/>
        <w:szCs w:val="24"/>
      </w:rPr>
      <w:t>10</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CA8EA" w14:textId="77777777" w:rsidR="00A669C2" w:rsidRDefault="009515D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C31A9" w14:textId="77777777" w:rsidR="00A669C2" w:rsidRDefault="009515DE">
      <w:r>
        <w:separator/>
      </w:r>
    </w:p>
  </w:footnote>
  <w:footnote w:type="continuationSeparator" w:id="0">
    <w:p w14:paraId="326CD015" w14:textId="77777777" w:rsidR="00A669C2" w:rsidRDefault="00951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B7CC" w14:textId="77777777" w:rsidR="00C14111" w:rsidRDefault="009515DE">
    <w:pPr>
      <w:pStyle w:val="Header"/>
      <w:contextualSpacing w:val="0"/>
    </w:pPr>
    <w:r>
      <w:t>Viedokļu pārskats 23-TA-1103</w:t>
    </w:r>
    <w:r>
      <w:br/>
      <w:t>Izdrukāts 02.06.2023. 09.09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0D7B" w14:textId="77777777" w:rsidR="00C14111" w:rsidRDefault="009515DE">
    <w:pPr>
      <w:pStyle w:val="Header"/>
      <w:contextualSpacing w:val="0"/>
    </w:pPr>
    <w:r>
      <w:t>Viedokļu pārskats 23-TA-1103</w:t>
    </w:r>
    <w:r>
      <w:br/>
      <w:t>Izdrukāts 02.06.2023. 09.09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C80F4C"/>
    <w:multiLevelType w:val="hybridMultilevel"/>
    <w:tmpl w:val="EE747A12"/>
    <w:lvl w:ilvl="0" w:tplc="8D78BC34">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922056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14111"/>
    <w:rsid w:val="0000434B"/>
    <w:rsid w:val="000234CA"/>
    <w:rsid w:val="000F21A1"/>
    <w:rsid w:val="00127462"/>
    <w:rsid w:val="001B462A"/>
    <w:rsid w:val="001C4FA3"/>
    <w:rsid w:val="001D7CBB"/>
    <w:rsid w:val="00271371"/>
    <w:rsid w:val="002972DC"/>
    <w:rsid w:val="002D7F60"/>
    <w:rsid w:val="002E23A3"/>
    <w:rsid w:val="003747FB"/>
    <w:rsid w:val="003A3BCC"/>
    <w:rsid w:val="003F2461"/>
    <w:rsid w:val="00404F73"/>
    <w:rsid w:val="004407AD"/>
    <w:rsid w:val="00463428"/>
    <w:rsid w:val="004A2E44"/>
    <w:rsid w:val="004B6FFD"/>
    <w:rsid w:val="00500E92"/>
    <w:rsid w:val="0052288B"/>
    <w:rsid w:val="00565131"/>
    <w:rsid w:val="0060562C"/>
    <w:rsid w:val="00646D20"/>
    <w:rsid w:val="00774490"/>
    <w:rsid w:val="00791161"/>
    <w:rsid w:val="007944C9"/>
    <w:rsid w:val="007A4A87"/>
    <w:rsid w:val="007C2EAE"/>
    <w:rsid w:val="007D4E0B"/>
    <w:rsid w:val="007E1846"/>
    <w:rsid w:val="00805886"/>
    <w:rsid w:val="00843519"/>
    <w:rsid w:val="00885940"/>
    <w:rsid w:val="008B6B28"/>
    <w:rsid w:val="008D718E"/>
    <w:rsid w:val="008E39B8"/>
    <w:rsid w:val="00905EAD"/>
    <w:rsid w:val="00934336"/>
    <w:rsid w:val="009515DE"/>
    <w:rsid w:val="0095238E"/>
    <w:rsid w:val="00994864"/>
    <w:rsid w:val="009F4685"/>
    <w:rsid w:val="00A669C2"/>
    <w:rsid w:val="00A91507"/>
    <w:rsid w:val="00B3449D"/>
    <w:rsid w:val="00B75BDA"/>
    <w:rsid w:val="00BA14A8"/>
    <w:rsid w:val="00C14111"/>
    <w:rsid w:val="00C633B4"/>
    <w:rsid w:val="00C73A07"/>
    <w:rsid w:val="00CA3787"/>
    <w:rsid w:val="00D33C0C"/>
    <w:rsid w:val="00D87C93"/>
    <w:rsid w:val="00D919F4"/>
    <w:rsid w:val="00E140B0"/>
    <w:rsid w:val="00E85EC7"/>
    <w:rsid w:val="00EE5FD3"/>
    <w:rsid w:val="00EF3F59"/>
    <w:rsid w:val="00F36D3E"/>
    <w:rsid w:val="00FD039B"/>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4A3C"/>
  <w15:docId w15:val="{73401306-8184-4E51-A389-A566C352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9515DE"/>
    <w:pPr>
      <w:ind w:left="720"/>
      <w:contextualSpacing/>
    </w:pPr>
  </w:style>
  <w:style w:type="paragraph" w:styleId="Revision">
    <w:name w:val="Revision"/>
    <w:hidden/>
    <w:uiPriority w:val="99"/>
    <w:semiHidden/>
    <w:rsid w:val="007A4A87"/>
    <w:pPr>
      <w:jc w:val="left"/>
    </w:pPr>
  </w:style>
  <w:style w:type="character" w:styleId="CommentReference">
    <w:name w:val="annotation reference"/>
    <w:basedOn w:val="DefaultParagraphFont"/>
    <w:uiPriority w:val="99"/>
    <w:semiHidden/>
    <w:unhideWhenUsed/>
    <w:rsid w:val="004407AD"/>
    <w:rPr>
      <w:sz w:val="16"/>
      <w:szCs w:val="16"/>
    </w:rPr>
  </w:style>
  <w:style w:type="paragraph" w:styleId="CommentText">
    <w:name w:val="annotation text"/>
    <w:basedOn w:val="Normal"/>
    <w:link w:val="CommentTextChar"/>
    <w:uiPriority w:val="99"/>
    <w:unhideWhenUsed/>
    <w:rsid w:val="004407AD"/>
    <w:rPr>
      <w:sz w:val="20"/>
    </w:rPr>
  </w:style>
  <w:style w:type="character" w:customStyle="1" w:styleId="CommentTextChar">
    <w:name w:val="Comment Text Char"/>
    <w:basedOn w:val="DefaultParagraphFont"/>
    <w:link w:val="CommentText"/>
    <w:uiPriority w:val="99"/>
    <w:rsid w:val="004407AD"/>
    <w:rPr>
      <w:sz w:val="20"/>
    </w:rPr>
  </w:style>
  <w:style w:type="paragraph" w:styleId="CommentSubject">
    <w:name w:val="annotation subject"/>
    <w:basedOn w:val="CommentText"/>
    <w:next w:val="CommentText"/>
    <w:link w:val="CommentSubjectChar"/>
    <w:uiPriority w:val="99"/>
    <w:semiHidden/>
    <w:unhideWhenUsed/>
    <w:rsid w:val="004407AD"/>
    <w:rPr>
      <w:b/>
      <w:bCs/>
    </w:rPr>
  </w:style>
  <w:style w:type="character" w:customStyle="1" w:styleId="CommentSubjectChar">
    <w:name w:val="Comment Subject Char"/>
    <w:basedOn w:val="CommentTextChar"/>
    <w:link w:val="CommentSubject"/>
    <w:uiPriority w:val="99"/>
    <w:semiHidden/>
    <w:rsid w:val="004407AD"/>
    <w:rPr>
      <w:b/>
      <w:bCs/>
      <w:sz w:val="20"/>
    </w:rPr>
  </w:style>
  <w:style w:type="paragraph" w:styleId="BalloonText">
    <w:name w:val="Balloon Text"/>
    <w:basedOn w:val="Normal"/>
    <w:link w:val="BalloonTextChar"/>
    <w:uiPriority w:val="99"/>
    <w:semiHidden/>
    <w:unhideWhenUsed/>
    <w:rsid w:val="00F36D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D3E"/>
    <w:rPr>
      <w:rFonts w:ascii="Segoe UI" w:hAnsi="Segoe UI" w:cs="Segoe UI"/>
      <w:sz w:val="18"/>
      <w:szCs w:val="18"/>
    </w:rPr>
  </w:style>
  <w:style w:type="character" w:styleId="Hyperlink">
    <w:name w:val="Hyperlink"/>
    <w:basedOn w:val="DefaultParagraphFont"/>
    <w:uiPriority w:val="99"/>
    <w:semiHidden/>
    <w:unhideWhenUsed/>
    <w:rsid w:val="003747FB"/>
    <w:rPr>
      <w:color w:val="0000FF"/>
      <w:u w:val="single"/>
    </w:rPr>
  </w:style>
  <w:style w:type="character" w:styleId="FollowedHyperlink">
    <w:name w:val="FollowedHyperlink"/>
    <w:basedOn w:val="DefaultParagraphFont"/>
    <w:uiPriority w:val="99"/>
    <w:semiHidden/>
    <w:unhideWhenUsed/>
    <w:rsid w:val="00CA37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866371">
      <w:bodyDiv w:val="1"/>
      <w:marLeft w:val="0"/>
      <w:marRight w:val="0"/>
      <w:marTop w:val="0"/>
      <w:marBottom w:val="0"/>
      <w:divBdr>
        <w:top w:val="none" w:sz="0" w:space="0" w:color="auto"/>
        <w:left w:val="none" w:sz="0" w:space="0" w:color="auto"/>
        <w:bottom w:val="none" w:sz="0" w:space="0" w:color="auto"/>
        <w:right w:val="none" w:sz="0" w:space="0" w:color="auto"/>
      </w:divBdr>
    </w:div>
    <w:div w:id="1894080613">
      <w:bodyDiv w:val="1"/>
      <w:marLeft w:val="0"/>
      <w:marRight w:val="0"/>
      <w:marTop w:val="0"/>
      <w:marBottom w:val="0"/>
      <w:divBdr>
        <w:top w:val="none" w:sz="0" w:space="0" w:color="auto"/>
        <w:left w:val="none" w:sz="0" w:space="0" w:color="auto"/>
        <w:bottom w:val="none" w:sz="0" w:space="0" w:color="auto"/>
        <w:right w:val="none" w:sz="0" w:space="0" w:color="auto"/>
      </w:divBdr>
    </w:div>
    <w:div w:id="2062098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fsd-kalni\AppData\Local\Microsoft\Windows\INetCache\Content.Outlook\9UM4SO4W\Biomet__na_ievades_punkti_-_rezult__ti_.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13</Pages>
  <Words>14056</Words>
  <Characters>8013</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viedoklu_parskats_23-TA-1103.docx</vt:lpstr>
    </vt:vector>
  </TitlesOfParts>
  <Company/>
  <LinksUpToDate>false</LinksUpToDate>
  <CharactersWithSpaces>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viedoklu_parskats_23-TA-1103.docx</dc:title>
  <cp:lastModifiedBy>Laura Naudiņa</cp:lastModifiedBy>
  <cp:revision>51</cp:revision>
  <dcterms:created xsi:type="dcterms:W3CDTF">2023-06-02T06:35:00Z</dcterms:created>
  <dcterms:modified xsi:type="dcterms:W3CDTF">2023-08-22T11:07:00Z</dcterms:modified>
</cp:coreProperties>
</file>