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25-TA-804: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piekritīgo transportlīdzekļu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Ukrainas civiliedzīvotāju atbalsta likuma 11.panta pirmo daļu valstij piekritīgos transportlīdzekļus var nodot bez atlīdzības (ziedot) </w:t>
            </w:r>
            <w:r w:rsidR="00000000" w:rsidRPr="00000000" w:rsidDel="00000000">
              <w:rPr>
                <w:u w:val="single"/>
                <w:rtl w:val="0"/>
              </w:rPr>
              <w:t xml:space="preserve">Ukrainas valdības īpašumā</w:t>
            </w:r>
            <w:r w:rsidR="00000000" w:rsidRPr="00000000" w:rsidDel="00000000">
              <w:rPr>
                <w:rtl w:val="0"/>
              </w:rPr>
              <w:t xml:space="preserve"> - vispārējam atbalstam Ukrainas sabiedrībai. Lūdzam papildināt anotācijas 1.3.sadaļu ar šādu teikumu: “Nododot kustamo mantu Ministru kabineta rīkojuma 1.punktā noteiktajām Ukrainas institūcijām, tā tiek nodota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(Nodrošinājuma valsts aģentūrai) kā attiecīgā tiesību akta virzītājs ir atbildīgs par tā atbilstību normatīvajiem aktiem, t.sk. par to, ka nododot Ministru kabineta rīkojuma projektā noteikto kustamo mantu, tā tiek nodota tikai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ir teksts - 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25-TA-804</w:t>
    </w:r>
    <w:r>
      <w:br/>
    </w:r>
    <w:r w:rsidR="00000000" w:rsidRPr="00000000" w:rsidDel="00000000">
      <w:rPr>
        <w:rtl w:val="0"/>
      </w:rPr>
      <w:t xml:space="preserve">06.04.2025. 20.01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25-TA-804</w:t>
    </w:r>
    <w:r>
      <w:br/>
    </w:r>
    <w:r w:rsidR="00000000" w:rsidRPr="00000000" w:rsidDel="00000000">
      <w:rPr>
        <w:rtl w:val="0"/>
      </w:rPr>
      <w:t xml:space="preserve">06.04.2025. 20.01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Izziņa_25-TA-804.docx</dc:title>
</cp:coreProperties>
</file>

<file path=docProps/custom.xml><?xml version="1.0" encoding="utf-8"?>
<Properties xmlns="http://schemas.openxmlformats.org/officeDocument/2006/custom-properties" xmlns:vt="http://schemas.openxmlformats.org/officeDocument/2006/docPropsVTypes"/>
</file>