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22-TA-3464: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10. novembra noteikumos Nr. 645 "Darbības programmas "Izaugsme un nodarbinātība" 5.6.2. specifiskā atbalsta mērķa "Teritoriju revitalizācija, reģenerējot degradētās teritorijas atbilstoši pašvaldību integrētajām attīstības programmām" un 13.1.3. specifiskā atbalsta mērķa "Atveseļošanas pasākumi vides un reģionālās attīstības jomā" 13.1.3.3. pasākuma "Teritoriju revitalizācija uzņēmējdarbības veicināšanai pašvaldībās"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anotācijā, vai MK noteikumu projekta grozījumi nav uzskatāmi par būtiskiem Eiropas Parlamenta un Padomes 2013.gada 17.decembra Regulas (ES) Nr.1303/2013,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71.panta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1.sadaļas 1.3.apakšpunkts “Pašreizējā situācija, problēmas un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ka noteikumu projektā paredzētie grozījumi nav būtiski Eiropas Parlamenta un Padomes 2013.gada 17.decembra Regulas (ES) Nr.1303/2013,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71.panta izpratnē par projektu darbību ilgumu.”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minētās regulas 71.pants attiecināms uz finansējuma saņēmējiem. 5.6.2.SAM gadījumā finansējuma saņēmēji ir galvenokārt pašvaldības, kas veic ieguldījumus pašvaldības infrastruktūrā, attiecīgi projekta ietvaros izveidotā infrastruktūra izpilda visus 71.pantā minētos nosacījumus, jo, piemēram, nav pārtraukta ražošanas darbība, nav notikušas būtiskas izmaiņas pašvaldības kā finansējuma saņēmēja darbības veidā, mērķos vai īstenošanas nosacījumos, netiek plānots pārcelt finansējuma saņēmēja darbību ārpus Eiropas Savienības u.tml. MK noteikumu projekta būtība ir saistīta ar projekta ietvaros plānotajiem sasniedzamajiem rādītājiem, kurus nodrošina komersanti, kas nav projekta finansējuma saņēmēji, bet kuru lietošanai izveidota pašvaldības infrastruktūra un pēc kuras ir komersantu pieprasījums. Projektu rādītāju sasniedzēju - komersantu ekonomisko aktivitāti ir būtiski ietekmējuši tādi globāli procesi kā Covid-19 pandēmija un karadarbība Ukrainā, tādejādi, nepieciešams pagarināt rādītāju sasniegšanas un uzskaites periodu, kas dod finansējuma saņēmējiem – pašvaldībām papildu laiku atbilstošu komersantu piesaistei un reģionālās attīstības politikai būtisku rādītāju (izveidotas jaunas darba vietas un piesaistītas privātās nefinanšu investīcijas)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25.punktā netiek veikti grozījumi, projektu īsteno un maksājumus projektā veic līdz 2023.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informāciju par Centrālo finanšu un līgumu aģentūru un finansējuma saņēmēju, ņemot vērā, ka pagarinot termiņu palielināsies slogs ne tikai īstenojot projektu, bet arī sadarbības iestādei, veicot projekta īstenošanas uzraudzību, kas pārsniedz Eiropas Parlamenta un Padomes 2013. gada 17.decembra Regulā (ES) Nr.1303/2013,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noteikto izdevumu attiecināmības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2.sadaļas 2.1.apakšpunkts “Sabiedrības grupas, kuras tiesiskais regulējums ietekmē, vai varētu ietekmēt”: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5.6.2.SAM ietvaros tiek sniegts komercdarbības atbalsts, CFLA veic projektu īstenošanas uzraudzību projekta dzīves cikla laikā, kas publiskās uzņēmējdarbības projektiem ir 10-15 gadi. Lai gan rādītāju ziņošanas termiņš tiek pagarināts, projektu kopējais skaits un to rādītāju uzraudzības apjoms paliek nemainīgs, ievērojot MK noteikumu Nr.645 10.3.apakšpunktā noteikto - ja projekta iesniedzējs iznākuma rādītāja vērtību sasniedz, sadarbības iestāde turpmāko projekta iznākuma rādītāja izpildes kontroli neveic.”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iznākuma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noteikumu projektā, pagarinot projekta nacionālo iznākuma rādītāju sasniegšanas termiņu līdz pieciem gadiem pēc projektu pabeigšanas, bet ne ilgāk kā līdz 2028. gada 31. decembrim, noteiktais jaunais termiņš būs atbilstošs Eiropas Savienības struktūrfondu un Kohēzijas fonda 2014.–2020. gada plānošanas perioda darbības programmai “Izaugsme un nodarbinātība” un Eiropas Savienības 2014.–2020. gada plānošanas perioda fondu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noteikumu projektā paredzētās izmaiņas rādītāju sasniegšanas termiņā ir atbilstošas Eiropas Savienības struktūrfondu un Kohēzijas fonda 2014.–2020. gada plānošanas perioda darbības programmas “Izaugsme un nodarbinātība” (turpmāk - darbības programma) un Eiropas Savienības struktūrfondu un Kohēzijas fonda 2014.–2020. gada plānošanas perioda fondu nosacījumiem, ņemot vērā, ka sasniegšanas termiņš tiek pagarināts nevis darbības programmā noteiktajam rādītājam, bet gan nacionālajiem projektu rādītājiem, kas pēc būtības ir papildu rādītāji, kas ir svarīgi ekonomiskās aktivitātes veicināšanai reģionos, ievērojot to, ka ERAF finansējums līdz 2023.gada beigām tiek ieguldīts uzņēmējdarbības publiskajā infrastruktūrā, kuras attīstība ir priekšnosacījums un tā ir nepieciešama jaunu darba vietu izveidei nefinanšu investīciju piesaistei, ko veic privātais sektors (komersanti).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iznākuma rādītāji: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r w:rsidR="00000000" w:rsidRPr="00000000" w:rsidDel="00000000">
              <w:rPr>
                <w:vertAlign w:val="superscript"/>
                <w:rtl w:val="0"/>
              </w:rPr>
              <w:t xml:space="preserve">2</w:t>
            </w:r>
            <w:r w:rsidR="00000000" w:rsidRPr="00000000" w:rsidDel="00000000">
              <w:rPr>
                <w:rtl w:val="0"/>
              </w:rPr>
              <w:t xml:space="preserve"> Ja tiek konstatēts, ka ir pārkāptas Komisijas regulas Nr. 651/2014, Komisijas regulas Nr. 1388/2014 vai Komisijas regulas Nr. 702/2014 prasības, sadarbības iestāde finansējuma saņēmējam uzliek par pienākumu atmaksāt sadarbības iestādei saņemto nelikumīgo valsts atbalstu, savukārt, ja tiek konstatēts, ka ir pārkāptas Komisijas regulas Nr. 1407/2013, Komisijas regulas Nr. 717/2014 vai Komisijas regulas Nr. 1408/2013 prasības, sadarbības iestāde finansējuma saņēmējam uzliek par pienākumu atmaksāt sadarbības iestādei visu saņemto valsts atbalstu. Atbalstu atmaksā kopā ar procentiem, kuru likmi publicē Eiropas Komisija saskaņā ar Komisijas 2004. gada 21. aprīļa Regulas (EK) Nr.  </w:t>
            </w:r>
            <w:r w:rsidR="00000000" w:rsidRPr="00000000" w:rsidDel="00000000">
              <w:rPr>
                <w:rtl w:val="0"/>
              </w:rPr>
              <w:t xml:space="preserve">794/2004</w:t>
            </w:r>
            <w:r w:rsidR="00000000" w:rsidRPr="00000000" w:rsidDel="00000000">
              <w:rPr>
                <w:rtl w:val="0"/>
              </w:rPr>
              <w:t xml:space="preserve">, ar ko īsteno Padomes Regulu (ES)  </w:t>
            </w:r>
            <w:r w:rsidR="00000000" w:rsidRPr="00000000" w:rsidDel="00000000">
              <w:rPr>
                <w:rtl w:val="0"/>
              </w:rPr>
              <w:t xml:space="preserve">2015/1589</w:t>
            </w:r>
            <w:r w:rsidR="00000000" w:rsidRPr="00000000" w:rsidDel="00000000">
              <w:rPr>
                <w:rtl w:val="0"/>
              </w:rPr>
              <w:t xml:space="preserve">, ar ko nosaka sīki izstrādātus noteikumus Līguma par Eiropas Savienības darbību 108. panta piemērošanai (turpmāk – Komisijas regula Nr.  </w:t>
            </w:r>
            <w:r w:rsidR="00000000" w:rsidRPr="00000000" w:rsidDel="00000000">
              <w:rPr>
                <w:rtl w:val="0"/>
              </w:rPr>
              <w:t xml:space="preserve">794/2004</w:t>
            </w:r>
            <w:r w:rsidR="00000000" w:rsidRPr="00000000" w:rsidDel="00000000">
              <w:rPr>
                <w:rtl w:val="0"/>
              </w:rPr>
              <w:t xml:space="preserve">), 10. pantu, tiem pieskaitot 100 bāzes punktus, no dienas, kad valsts atbalsts tika izmaksāts atbalsta saņēmējam (finansējuma saņēmējam vai sadarbības partnerim), līdz tā atgūšanas dienai, ievērojot Komisijas regulas  </w:t>
            </w:r>
            <w:r w:rsidR="00000000" w:rsidRPr="00000000" w:rsidDel="00000000">
              <w:rPr>
                <w:rtl w:val="0"/>
              </w:rPr>
              <w:t xml:space="preserve">794/2004</w:t>
            </w:r>
            <w:r w:rsidR="00000000" w:rsidRPr="00000000" w:rsidDel="00000000">
              <w:rPr>
                <w:rtl w:val="0"/>
              </w:rPr>
              <w:t xml:space="preserve"> 11. pantā noteikto procentu likmes piemērošanas metodi. Atmaksa veicama no finansējuma saņēmēja privātā finansējuma, par kuru nav saņemts nekāds komercdarbības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grozījumus Komercdarbības atbalsta kontroles likumā, kas nosaka nelikumīga komercdarbības atbalsta atgūšanu, lūdzam šo punktu izteikt,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r w:rsidR="00000000" w:rsidRPr="00000000" w:rsidDel="00000000">
              <w:rPr>
                <w:vertAlign w:val="superscript"/>
                <w:rtl w:val="0"/>
              </w:rPr>
              <w:t xml:space="preserve">2</w:t>
            </w:r>
            <w:r w:rsidR="00000000" w:rsidRPr="00000000" w:rsidDel="00000000">
              <w:rPr>
                <w:rtl w:val="0"/>
              </w:rPr>
              <w:t xml:space="preserve"> Ja tiek pārkāptas šajos noteikumos noteiktās komercdarbības atbalsta kontroles normas, tostarp nosacījumi, kas izriet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regulas Nr. 651/2014, Komisijas regulas Nr. 1388/2014 vai Komisijas regulas Nr. 702/2014 prasībām, sadarbības iestāde finansējuma saņēmējam uzliek par pienākumu atmaksāt sadarbības iestādei projekta ietvaros saņemto nelikumīgo komercdarbības atbalstu kopā ar procentiem no līdzekļiem, kas ir brīvi no komercdarbības atbalsta, atbilstoši Komercdarbības atbalsta kontroles likuma IV vai V nodaļas nosacījumiem. Savukārt, ja tiek pārkāptas šajos noteikumos noteiktās komercdarbības atbalsta kontroles normas, tostarp nosacījumi, kas izriet no Komisijas regulas Nr. 1407/2013, Komisijas regulas Nr. 717/2014 vai Komisijas regulas Nr. 1408/2013 prasībām, sadarbības iestāde finansējuma saņēmējam uzliek par pienākumu atmaksāt sadarbības iestādei visu saņemto valsts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72.</w:t>
            </w:r>
            <w:r w:rsidR="00000000" w:rsidRPr="00000000" w:rsidDel="00000000">
              <w:rPr>
                <w:vertAlign w:val="superscript"/>
                <w:rtl w:val="0"/>
              </w:rPr>
              <w:t xml:space="preserve">2</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pārkāptas šajos noteikumos noteiktās komercdarbības atbalsta kontroles normas, tostarp nosacījumi, kas izriet no Komisijas regulas Nr. 651/2014, Komisijas regulas Nr. 1388/2014 vai Komisijas regulas Nr. 702/2014 prasībām, sadarbības iestāde finansējuma saņēmējam uzliek par pienākumu atmaksāt sadarbības iestādei projekta ietvaros saņemto nelikumīgo komercdarbības atbalstu kopā ar procentiem no līdzekļiem, kas ir brīvi no komercdarbības atbalsta, atbilstoši Komercdarbības atbalsta kontroles likuma IV vai V nodaļas nosacījumiem. Savukārt, ja tiek pārkāptas šajos noteikumos noteiktās komercdarbības atbalsta kontroles normas, tostarp nosacījumi, kas izriet no Komisijas regulas Nr. 1407/2013, Komisijas regulas Nr. 717/2014 vai Komisijas regulas Nr. 1408/2013 prasībām, sadarbības iestāde finansējuma saņēmējam uzliek par pienākumu atmaksāt sadarbības iestādei visu saņemto valsts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papildināts ar jaunu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r w:rsidR="00000000" w:rsidRPr="00000000" w:rsidDel="00000000">
              <w:rPr>
                <w:vertAlign w:val="superscript"/>
                <w:rtl w:val="0"/>
              </w:rPr>
              <w:t xml:space="preserve">2</w:t>
            </w:r>
            <w:r w:rsidR="00000000" w:rsidRPr="00000000" w:rsidDel="00000000">
              <w:rPr>
                <w:rtl w:val="0"/>
              </w:rPr>
              <w:t xml:space="preserve"> Ja tiek pārkāptas šajos noteikumos noteiktās komercdarbības atbalsta kontroles normas, tostarp nosacījumi, kas izriet no Komisijas regulas Nr. 651/2014, Komisijas regulas Nr. 1388/2014 vai Komisijas regulas Nr. 702/2014 prasībām, sadarbības iestāde finansējuma saņēmējam uzliek par pienākumu atmaksāt sadarbības iestādei projekta ietvaros saņemto nelikumīgo komercdarbības atbalstu kopā ar procentiem no līdzekļiem, kas ir brīvi no komercdarbības atbalsta, atbilstoši Komercdarbības atbalsta kontroles likuma IV vai V nodaļas nosacījumiem. Savukārt, ja tiek pārkāptas šajos noteikumos noteiktās komercdarbības atbalsta kontroles normas, tostarp nosacījumi, kas izriet no Komisijas regulas Nr. 1407/2013, Komisijas regulas Nr. 717/2014 vai Komisijas regulas Nr. 1408/2013 prasībām, sadarbības iestāde finansējuma saņēmējam uzliek par pienākumu atmaksāt sadarbības iestādei visu saņemto valsts atbalstu kopā ar procentiem no līdzekļiem, kas ir brīvi no komercdarbības atbalsta, atbilstoši Komercdarbības atbalsta kontroles likuma IV vai V nodaļas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1.sadaļas 1.3.apakšsadaļas apakšnodaļā "Pašreizējā situācija" un arī turpmāk aizstāt tekstu "Eiropas Savienības fondu 2014.-2020.gada plānošanas perioda" ar tekstu "Eiropas Savienības struktūrfondu un Kohēzijas fonda 2014.–2020. gada plānošanas perioda".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ka/ vai rādītāju sasniegšanas termiņa pagarinājuma iespēja attiecas arī uz jau pabeigtajiem projektiem, kuru rādītāju sasniegšanu nav ietekmējušas kara Ukrainā sekas, bet rādītāju nesasniegšanai 3 gadu periodā ir bijuši citi iemesli, piemēram, covid-19 vai citi.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1.sadaļas 1.3.apakšpunkts “Pašreizējā situācija, problēmas un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vienlīdzības principu, nosacījums vienādi attiecināms uz visiem projektiem, tai skaitā pabeigtajiem projektiem, kuros nav sasniegti rādītāji (finansējuma saņēmējs nav iesniedzis CFLA pārskatu par rādītāju sasniegšanu), tai skaitā Covid -19 infekcijas pandēmijas ietekmes vai citu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MK noteikumu projekta ietekmi uz īstenošanā esošajiem projektiem, tai skaitā, vai būs nepieciešami grozījumi noslēgtajos līgumos /vienošanās.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iepriekšējo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1.sadaļas 1.3.apakšpunkts “Pašreizējā situācija, problēmas un risinājumi” ar informāciju, ka, ievērojot vienlīdzības principu, nosacījums vienādi attiecināms uz visiem projektiem, kuros nav sasniegti rādītāji (finansējuma saņēmējs nav iesniedzis CFLA pārskatu par rādītāju sasniegšanu). Grozījumu nepieciešamību esošajā vienošanās vērtē CFLA katram projektam individuāli, saņemot attiecīgus grozījumus no finansējuma saņēmēja.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r w:rsidR="00000000" w:rsidRPr="00000000" w:rsidDel="00000000">
              <w:rPr>
                <w:vertAlign w:val="superscript"/>
                <w:rtl w:val="0"/>
              </w:rPr>
              <w:t xml:space="preserve">2</w:t>
            </w:r>
            <w:r w:rsidR="00000000" w:rsidRPr="00000000" w:rsidDel="00000000">
              <w:rPr>
                <w:rtl w:val="0"/>
              </w:rPr>
              <w:t xml:space="preserve"> Ja tiek pārkāptas šajos noteikumos noteiktās komercdarbības atbalsta kontroles normas, tostarp nosacījumi, kas izriet no Komisijas regulas Nr. 651/2014, Komisijas regulas Nr. 1388/2014 vai Komisijas regulas Nr. 702/2014 prasībām, sadarbības iestāde finansējuma saņēmējam uzliek par pienākumu atmaksāt sadarbības iestādei projekta ietvaros saņemto nelikumīgo komercdarbības atbalstu kopā ar procentiem no līdzekļiem, kas ir brīvi no komercdarbības atbalsta, atbilstoši Komercdarbības atbalsta kontroles likuma IV vai V nodaļas nosacījumiem. Savukārt, ja tiek pārkāptas šajos noteikumos noteiktās komercdarbības atbalsta kontroles normas, tostarp nosacījumi, kas izriet no Komisijas regulas Nr. 1407/2013, Komisijas regulas Nr. 717/2014 vai Komisijas regulas Nr. 1408/2013 prasībām, sadarbības iestāde finansējuma saņēmējam uzliek par pienākumu atmaksāt sadarbības iestādei visu saņemto valsts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noteikumi Nr.645 paredz arī komercdarbības atbalsta piešķiršanu sabiedrisko pakalpojumu sniedzējiem saskaņā ar Eiropas Komisijas 2011.gada 20.decembra lēmumu Nr. 2012/21/ES par Līguma par Eiropas Savienības darbību 106.panta 2.punkta piemērošanu valsts atbalstam attiecībā uz kompensāciju par sabiedriskajiem pakalpojumiem dažiem uzņēmumiem, kuriem uzticēts sniegt pakalpojumus ar vispārēju tautsaimniecisku nozīmi, lūdzam papildināt MK noteikumus Nr.645 ar kārtību, kādā būtu jāatgūst nelikumīgs valsts atbalsts, ja tiktu pārkāpti nosacījumi, kas izriet no minētā EK lēmuma 2012/21/ES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Nr.645 papildināti ar 72.</w:t>
            </w:r>
            <w:r w:rsidR="00000000" w:rsidRPr="00000000" w:rsidDel="00000000">
              <w:rPr>
                <w:vertAlign w:val="superscript"/>
                <w:rtl w:val="0"/>
              </w:rPr>
              <w:t xml:space="preserve">3</w:t>
            </w:r>
            <w:r w:rsidR="00000000" w:rsidRPr="00000000" w:rsidDel="00000000">
              <w:rPr>
                <w:rtl w:val="0"/>
              </w:rPr>
              <w:t xml:space="preserve"> punktu. Atbilstoši papildināta anotācija un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r w:rsidR="00000000" w:rsidRPr="00000000" w:rsidDel="00000000">
              <w:rPr>
                <w:vertAlign w:val="superscript"/>
                <w:rtl w:val="0"/>
              </w:rPr>
              <w:t xml:space="preserve">3</w:t>
            </w:r>
            <w:r w:rsidR="00000000" w:rsidRPr="00000000" w:rsidDel="00000000">
              <w:rPr>
                <w:rtl w:val="0"/>
              </w:rPr>
              <w:t xml:space="preserve"> Ja tiek pārkāptas šajos noteikumos noteiktās komercdarbības atbalsta piešķiršanas prasības vispārējas tautsaimnieciskas nozīmes pakalpojuma sniegšanai, atbalsta saņēmējam ir pienākums atmaksāt sadarbības iestādei visu projekta ietvaros saņemto nelikumīgo komercdarbības atbalstu kopā ar procentiem saskaņā ar Komercdarbības atbalsta kontroles likuma IV vai V nodaļu.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r w:rsidR="00000000" w:rsidRPr="00000000" w:rsidDel="00000000">
              <w:rPr>
                <w:vertAlign w:val="superscript"/>
                <w:rtl w:val="0"/>
              </w:rPr>
              <w:t xml:space="preserve">2</w:t>
            </w:r>
            <w:r w:rsidR="00000000" w:rsidRPr="00000000" w:rsidDel="00000000">
              <w:rPr>
                <w:rtl w:val="0"/>
              </w:rPr>
              <w:t xml:space="preserve"> Ja tiek pārkāptas šajos noteikumos noteiktās komercdarbības atbalsta kontroles normas, tostarp nosacījumi, kas izriet no Komisijas regulas Nr. 651/2014, Komisijas regulas Nr. 1388/2014 vai Komisijas regulas Nr. 702/2014 prasībām, sadarbības iestāde finansējuma saņēmējam uzliek par pienākumu atmaksāt sadarbības iestādei projekta ietvaros saņemto nelikumīgo komercdarbības atbalstu kopā ar procentiem no līdzekļiem, kas ir brīvi no komercdarbības atbalsta, atbilstoši Komercdarbības atbalsta kontroles likuma IV vai V nodaļas nosacījumiem. Savukārt, ja tiek pārkāptas šajos noteikumos noteiktās komercdarbības atbalsta kontroles normas, tostarp nosacījumi, kas izriet no Komisijas regulas Nr. 1407/2013, Komisijas regulas Nr. 717/2014 vai Komisijas regulas Nr. 1408/2013 prasībām, sadarbības iestāde finansējuma saņēmējam uzliek par pienākumu atmaksāt sadarbības iestādei visu saņemto valsts atbalstu kopā ar procentiem no līdzekļiem, kas ir brīvi no komercdarbības atbalsta, atbilstoši Komercdarbības atbalsta kontroles likuma IV vai V nodaļas nosacījumiem.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22-TA-3464</w:t>
    </w:r>
    <w:r>
      <w:br/>
    </w:r>
    <w:r w:rsidR="00000000" w:rsidRPr="00000000" w:rsidDel="00000000">
      <w:rPr>
        <w:rtl w:val="0"/>
      </w:rPr>
      <w:t xml:space="preserve">19.01.2023. 15.57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22-TA-3464</w:t>
    </w:r>
    <w:r>
      <w:br/>
    </w:r>
    <w:r w:rsidR="00000000" w:rsidRPr="00000000" w:rsidDel="00000000">
      <w:rPr>
        <w:rtl w:val="0"/>
      </w:rPr>
      <w:t xml:space="preserve">19.01.2023. 15.57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Izziņa_22-TA-3464.docx</dc:title>
</cp:coreProperties>
</file>

<file path=docProps/custom.xml><?xml version="1.0" encoding="utf-8"?>
<Properties xmlns="http://schemas.openxmlformats.org/officeDocument/2006/custom-properties" xmlns:vt="http://schemas.openxmlformats.org/officeDocument/2006/docPropsVTypes"/>
</file>