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22-TA-573: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21. decembra noteikumos Nr. 1171 "Noteikumi par Latvijas ūdeņu izmantošanas kārtību un kuģošanas režīmu tajos"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projekta anotācijas 4. sadaļu aizpilda, ja normatīvā akta projekts ietekmē spēkā esošo tiesību normu sistēmu. Proti, šajā sadaļā norāda tiesību aktu projektus, kuru izstrādāšanai paredzēts pilnvarojums normatīvā akta projektā, un citus spēkā esošos (vai jau apstiprinātos) tiesību aktus, kuros jāizdara grozījumi vai kuri jāatzīst par spēku zaudējušiem (atceltiem) saistībā ar normatīvā akta projektu, kā arī skaidro šādu izmaiņu nepieciešamību (</w:t>
            </w:r>
            <w:r w:rsidR="00000000" w:rsidRPr="00000000" w:rsidDel="00000000">
              <w:rPr>
                <w:i w:val="1"/>
                <w:rtl w:val="0"/>
              </w:rPr>
              <w:t xml:space="preserve">sk. Valsts kanceleja. Vadlīnijas tiesību akta projekta sākotnējās ietekmes novērtēšanai un novērtējuma ziņojuma sagatavošanai vienotajā tiesību aktu izstrādes un saskaņošanas portālā, 2021. 39. lpp.</w:t>
            </w:r>
            <w:r w:rsidR="00000000" w:rsidRPr="00000000" w:rsidDel="00000000">
              <w:rPr>
                <w:rtl w:val="0"/>
              </w:rPr>
              <w:t xml:space="preserve">). Tieslietu ministrijas ieskatā, nav saskatāma projekta ietekme uz grozījumu projektā ietverto regulējumu (vai otrādi), tāpat nav skaidrs, kāda ir projekta 4.1. sadaļā minēto nākotnē plānoto Jūrlietu pārvaldes un jūras drošības likuma grozījumu ietekme uz projektā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anotācijas 4.1. sadaļā norādītos normatīvo aktu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ievērojot Oficiālo publikāciju un tiesiskās informācijas likuma 9. panta pirmajā daļā noteikto ārējo normatīvo tiesību aktu hierarhiju, nav pieļaujams, ka nepieciešamība grozīt likumu izriet no Ministru kabineta noteikumu projekta. Ievērojot minēto, lūdzam svītrot projekta anotācijas 4.1.2. sadaļā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Ziemas navigācijas kārtību ledus apstākļos Latvijas ostās un ostu pievedceļos nosaka attiecīgo ostu pārvaldes saskaņā ar Ostu likumu un attiecīgo ostu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likuma 7. panta otrās daļas 7. punkts noteic, ka ostas pārvaldīšanu nodrošina ostas pārvalde, kura veic noteiktas valsts pārvaldes funkcijas, tostarp nodrošina ziemas navigāciju ostā. Savukārt Ostu likuma 17. panta otrā daļa noteic, ka ostas kapteinis izdod administratīvos aktus, kas saistīti ar kuģošanas drošības pasākumiem un vides piesārņojuma draudu novēršanu ostas akvatorijā, kuģuceļos, piestātnēs un termināļos, tostarp ar ziemas navigācijas kārtību ledus apstākļos. Tādējādi ar Ostu likumu ostas pārvaldes uzdevumi attiecībā uz ziemas navigāciju ostā ir nodalīti no ostas kapteiņa uzdevumiem.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projekta 1.2. apakšpunktā paredzētās Ministru kabineta 2010. gada 21. decembra noteikumu Nr. 1171 "Noteikumi par Latvijas ūdeņu izmantošanas kārtību un kuģošanas režīmu tajos" (turpmāk – Noteikumi) 13. punkta redakcijas nav saprotams, kā tiks noteikta ziemas navigācijas kārtība ledus apstākļos. Proti, ja ostas pārvaldei kā privāto tiesību juridiskai personai saskaņā ar Ostu likuma 7. panta otrās daļas 7. punktu ir pienākums nodrošināt ziemas navigāciju ostā, nav skaidrs, kā ostas pārvalde nodrošinās, ka tās noteiktā kārtība ziemas navigācijai ostā būs juridiski saistoša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1.2. apakšpunktā ietverto Noteikumu 13. punktu, kā arī papildināt projekta anotāciju ar skaidrojumu par tiesisko regulējumu, ko iecerēts noteikt ar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Ziemas navigācijas kārtību ledus apstākļos Latvijas ostās un ostu pievedceļos nosaka attiecīgo ostu pārvaldes saskaņā ar Likumu par ostām un attiecīgo ostu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2022. gada 27. aprīlī stājās spēkā grozījumi Likumā par ostām, ar kuriem, cita starpā, mainīts šā likuma nosaukums. Ievērojot minēto, lūdzam papildināt projektu ar grozījumu, kas paredz aizstāt Ministru kabineta 2010. gada 21. decembra noteikumu Nr. 1171 "Noteikumi par Latvijas ūdeņu izmantošanas kārtību un kuģošanas režīmu tajos" (turpmāk – Noteikumi Nr. 1171) 13. punktā vārdus "Likumu par ostām" ar vārdiem "Ostu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Ziemas navigācijas kārtību ledus apstākļos Latvijas ostās un ostu pievedceļos nosaka saskaņā ar Ostu likumu un attiecīgo ostu noteikumiem.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Ziemas navigācijas kārtību ledus apstākļos Latvijas ostās un ostu pievedceļos nosaka attiecīgo ostu pārvaldes saskaņā ar Likumu par ostām un attiecīgo ostu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ar grozījumu, kas paredz precizēt Noteikumu Nr. 1171 13. punktu atbilstoši Ostu likuma regulējumam par ziemas navigācijas kārtību ledus apstākļos.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Ziemas navigācijas kārtību ledus apstākļos Latvijas ostās un ostu pievedceļos nosaka saskaņā ar Ostu likumu un attiecīgo ostu noteikumiem.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5</w:t>
            </w:r>
            <w:r w:rsidR="00000000" w:rsidRPr="00000000" w:rsidDel="00000000">
              <w:rPr>
                <w:rtl w:val="0"/>
              </w:rPr>
              <w:t xml:space="preserve"> Kuģošanas līdzeklis, kuru izmanto valsts dienestu pienākumu izpildē, ir marķēts un, ciktāl tas neapgrūtina dienesta pienākumu izpildi, aprīkots ar stacionāri uzstādītām bākugunīm, kā arī paceltu valsts karogu.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2010. gada 21. decembra noteikumu Nr. 1171 „Noteikumi par Latvijas ūdeņu izmantošanas kārtību un kuģošanas režīmu tajos”” (turpmāk – Projekts) sākotnējās ietekmes novērtējuma ziņojuma (anotācija) sadaļas „Tiesību akta projekta izstrādes nepieciešamība” 1.2. apakšpunktā norādīts, ka Projekta mērķis ir regulējuma pilnveidošana attiecībā uz aprīkojuma un glābšanas līdzekļu esamību uz Ceļu satiksmes drošības direkcijā (turpmāk – CSDD) reģistrējamiem kuģošanas līdzekļiem, tostarp, brīvprātīgi reģistrējamiem kuģošanas līdzekļiem (airu laivām) kuģošanai jūras ūdeņos Latvijas piekrastē. Projekta 2. punkts, nosaka, ka noteikumus piemēro kuģiem, izņemot karakuģus, un citiem kuģošanas līdzekļiem, kas atrodas Latvijas ūdeņos.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esošo Ministru kabineta 2010. gada 21. decembra noteikumu Nr. 1171 „Noteikumi par Latvijas ūdeņu izmantošanas kārtību un kuģošanas režīmu tajos” 45.5 punkts nosaka, ka kuģis, kuru izmanto valsts dienestu pienākumu izpildē, ir marķēts un, ciktāl tas neapgrūtina dienesta pienākumu izpildi, aprīkots ar stacionāri uzstādītām bākugunīm, kā arī paceltu valsts karogu. Savukārt Projekta 1.4. apakšpunkts paredz izteikt 45.5 punktu šādā redakcijā: "45.5 Kuģošanas līdzeklis, kuru izmanto valsts dienestu pienākumu izpildē, ir marķēts un, ciktāl tas neapgrūtina dienesta pienākumu izpildi, aprīkots ar stacionāri uzstādītām bākugunīm, kā arī paceltu valsts karogu.". Tādējādi izriet, ka Projektā ietvertā 45.5 punkta jaunā redakcija, būtiski maina spēkā esošo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Valsts robežsardze savu funkciju un uzdevumu izpildei izmanto arī kuģus, kas reģistrēti Latvijas Kuģu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"45.5 Kuģis vai cits kuģošanas līdzeklis, kuru izmanto valsts dienestu pienākumu izpildē, ir marķēts un, ciktāl tas neapgrūtina dienesta pienākumu izpildi, aprīkots ar stacionāri uzstādītām bākugunīm, kā arī paceltu valsts karogu.";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5</w:t>
            </w:r>
            <w:r w:rsidR="00000000" w:rsidRPr="00000000" w:rsidDel="00000000">
              <w:rPr>
                <w:rtl w:val="0"/>
              </w:rPr>
              <w:t xml:space="preserve"> Kuģis vai cits kuģošanas līdzeklis, kuru izmanto valsts dienestu pienākumu izpildē, ir marķēts un, ciktāl tas neapgrūtina dienesta pienākumu izpildi, aprīkots ar stacionāri uzstādītām bākugunīm, kā arī paceltu valsts karogu.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7</w:t>
            </w:r>
            <w:r w:rsidR="00000000" w:rsidRPr="00000000" w:rsidDel="00000000">
              <w:rPr>
                <w:rtl w:val="0"/>
              </w:rPr>
              <w:t xml:space="preserve">4. izmantot atpūtas kuģi, kas nav tehniskā kārtībā vai nav apgādāts ar normatīvajos aktos par kuģošanas līdzekļu satiksmi iekšējos ūdeņos vai normatīvajos aktos par atpūtas kuģu drošību noteikto aprīkojumu un glābšanas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izsakot noteikumu projekta vienību (punktu) jaunā redakcijā, nav nepieciešams norādīt tādas noteikumu projekta vienības (apakšpunktus), kas jaunajā redakcijā nav ietvertas. Ievērojot minēto, lūdzam precizēt projekta 1.5. apakšpunktā paredzētā Ministru kabineta 2010. gada 21. decembra noteikumu Nr. 1171 "Noteikumi par Latvijas ūdeņu izmantošanas kārtību un kuģošanas režīmu tajos" 45.</w:t>
            </w:r>
            <w:r w:rsidR="00000000" w:rsidRPr="00000000" w:rsidDel="00000000">
              <w:rPr>
                <w:vertAlign w:val="superscript"/>
                <w:rtl w:val="0"/>
              </w:rPr>
              <w:t xml:space="preserve">7</w:t>
            </w:r>
            <w:r w:rsidR="00000000" w:rsidRPr="00000000" w:rsidDel="00000000">
              <w:rPr>
                <w:rtl w:val="0"/>
              </w:rPr>
              <w:t xml:space="preserve"> punkta apakšpunktu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9</w:t>
            </w:r>
            <w:r w:rsidR="00000000" w:rsidRPr="00000000" w:rsidDel="00000000">
              <w:rPr>
                <w:rtl w:val="0"/>
              </w:rPr>
              <w:t xml:space="preserve"> Kuģošanas līdzekļa vadītājam aizliegts izmantot kuģošanas līdzekli, kas nav tehniskā kārtībā vai nav apgādāts ar aprīkojumu un glābšanas līdzekļiem atbilstoši šādam normatīvajam regulējumam: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2010. gada 21. decembra noteikumi Nr. 1171 "Noteikumi par Latvijas ūdeņu izmantošanas kārtību un kuģošanas režīmu tajos" (turpmāk – Noteikumi Nr. 1171) cita starpā izdoti, pamatojoties uz Jūrlietu pārvaldes un jūras drošības likuma 7. panta otrajā daļā doto pilnvarojumu, proti, noteikt Latvijas ūdeņu izmantošanas kārtību un kuģošanas režīmu tajos. Attiecīgi Noteikumu Nr. 1171 2. punkts noteic, ka šos noteikumus piemēro </w:t>
            </w:r>
            <w:r w:rsidR="00000000" w:rsidRPr="00000000" w:rsidDel="00000000">
              <w:rPr>
                <w:u w:val="single"/>
                <w:rtl w:val="0"/>
              </w:rPr>
              <w:t xml:space="preserve">kuģiem, izņemot karakuģiem, kas atrodas Latvijas ūdeņos</w:t>
            </w:r>
            <w:r w:rsidR="00000000" w:rsidRPr="00000000" w:rsidDel="00000000">
              <w:rPr>
                <w:rtl w:val="0"/>
              </w:rPr>
              <w:t xml:space="preserve">. Saskaņā ar Jūras kodeksa 1.</w:t>
            </w:r>
            <w:r w:rsidR="00000000" w:rsidRPr="00000000" w:rsidDel="00000000">
              <w:rPr>
                <w:vertAlign w:val="superscript"/>
                <w:rtl w:val="0"/>
              </w:rPr>
              <w:t xml:space="preserve">1</w:t>
            </w:r>
            <w:r w:rsidR="00000000" w:rsidRPr="00000000" w:rsidDel="00000000">
              <w:rPr>
                <w:rtl w:val="0"/>
              </w:rPr>
              <w:t xml:space="preserve"> panta pirmo teikumu kuģis, ja šajā kodeksā nav noteikts citādi, ir kuģošanas līdzeklis – inženiertehniska ierīce, kas konstruktīvi paredzēta kuģošanai. Tādējādi secināms, ka termins "kuģošanas līdzeklis" ir plašāks nekā termins "kuģis".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aizstāt visā projektā un projekta anotācijā vārdus "kuģošanas līdzeklis" attiecīgā skaitā un locījumā ar vārdu "kuģis" attiecīgā skaitlī un locījumā vai vērtēt nepieciešamību papildināt projektu ar grozījumiem, kas precizē Noteikumu Nr. 1171 2. punktā norādīto subjektu loku, uz kuriem attiecināms Noteikumos Nr. 1171 noteiktais tiesiskais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papildināts ar grozījumu Noteikumu Nr.1171 2. punktā, paplašinot tajā norādīto subjektu loku (Noteikumus attiecinot arī uz kuģošanas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9</w:t>
            </w:r>
            <w:r w:rsidR="00000000" w:rsidRPr="00000000" w:rsidDel="00000000">
              <w:rPr>
                <w:rtl w:val="0"/>
              </w:rPr>
              <w:t xml:space="preserve"> Kuģošanas līdzekļa vadītājam aizliegts izmantot kuģošanas līdzekli, kas nav tehniskā kārtībā vai nav apgādāts ar aprīkojumu un glābšanas līdzekļiem atbilstoši šādam normatīvajam regulējumam: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9</w:t>
            </w:r>
            <w:r w:rsidR="00000000" w:rsidRPr="00000000" w:rsidDel="00000000">
              <w:rPr>
                <w:rtl w:val="0"/>
              </w:rPr>
              <w:t xml:space="preserve">2.2. kuģošanai aiz šo noteikumu </w:t>
            </w:r>
            <w:r w:rsidR="00000000" w:rsidRPr="00000000" w:rsidDel="00000000">
              <w:rPr>
                <w:rtl w:val="0"/>
              </w:rPr>
              <w:t xml:space="preserve">45.</w:t>
            </w:r>
            <w:r w:rsidR="00000000" w:rsidRPr="00000000" w:rsidDel="00000000">
              <w:rPr>
                <w:vertAlign w:val="superscript"/>
                <w:rtl w:val="0"/>
              </w:rPr>
              <w:t xml:space="preserve">9</w:t>
            </w:r>
            <w:r w:rsidR="00000000" w:rsidRPr="00000000" w:rsidDel="00000000">
              <w:rPr>
                <w:rtl w:val="0"/>
              </w:rPr>
              <w:t xml:space="preserve">1.</w:t>
            </w:r>
            <w:r w:rsidR="00000000" w:rsidRPr="00000000" w:rsidDel="00000000">
              <w:rPr>
                <w:rtl w:val="0"/>
              </w:rPr>
              <w:t xml:space="preserve"> minētā kuģošanas rajona – atbilstoši šo noteikumu </w:t>
            </w:r>
            <w:r w:rsidR="00000000" w:rsidRPr="00000000" w:rsidDel="00000000">
              <w:rPr>
                <w:rtl w:val="0"/>
              </w:rPr>
              <w:t xml:space="preserve">6.</w:t>
            </w:r>
            <w:r w:rsidR="00000000" w:rsidRPr="00000000" w:rsidDel="00000000">
              <w:rPr>
                <w:rtl w:val="0"/>
              </w:rPr>
              <w:t xml:space="preserve"> pielikumam.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apakšpunktā ietverto atsauci, jo 45.</w:t>
            </w:r>
            <w:r w:rsidR="00000000" w:rsidRPr="00000000" w:rsidDel="00000000">
              <w:rPr>
                <w:vertAlign w:val="superscript"/>
                <w:rtl w:val="0"/>
              </w:rPr>
              <w:t xml:space="preserve">9</w:t>
            </w:r>
            <w:r w:rsidR="00000000" w:rsidRPr="00000000" w:rsidDel="00000000">
              <w:rPr>
                <w:rtl w:val="0"/>
              </w:rPr>
              <w:t xml:space="preserve">1. apakšpunkts nenosaka kuģošanas rajonu.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9</w:t>
            </w:r>
            <w:r w:rsidR="00000000" w:rsidRPr="00000000" w:rsidDel="00000000">
              <w:rPr>
                <w:rtl w:val="0"/>
              </w:rPr>
              <w:t xml:space="preserve">2.2. kuģošanai aiz šo noteikumu  </w:t>
            </w:r>
            <w:r w:rsidR="00000000" w:rsidRPr="00000000" w:rsidDel="00000000">
              <w:rPr>
                <w:rtl w:val="0"/>
              </w:rPr>
              <w:t xml:space="preserve">45.</w:t>
            </w:r>
            <w:r w:rsidR="00000000" w:rsidRPr="00000000" w:rsidDel="00000000">
              <w:rPr>
                <w:vertAlign w:val="superscript"/>
                <w:rtl w:val="0"/>
              </w:rPr>
              <w:t xml:space="preserve">9</w:t>
            </w:r>
            <w:r w:rsidR="00000000" w:rsidRPr="00000000" w:rsidDel="00000000">
              <w:rPr>
                <w:rtl w:val="0"/>
              </w:rPr>
              <w:t xml:space="preserve">2.1.</w:t>
            </w:r>
            <w:r w:rsidR="00000000" w:rsidRPr="00000000" w:rsidDel="00000000">
              <w:rPr>
                <w:rtl w:val="0"/>
              </w:rPr>
              <w:t xml:space="preserve"> apakšpuntā minētā kuģošanas rajona – atbilstoši šo noteikumu </w:t>
            </w:r>
            <w:r w:rsidR="00000000" w:rsidRPr="00000000" w:rsidDel="00000000">
              <w:rPr>
                <w:rtl w:val="0"/>
              </w:rPr>
              <w:t xml:space="preserve">6.</w:t>
            </w:r>
            <w:r w:rsidR="00000000" w:rsidRPr="00000000" w:rsidDel="00000000">
              <w:rPr>
                <w:rtl w:val="0"/>
              </w:rPr>
              <w:t xml:space="preserve"> pielikumam.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9</w:t>
            </w:r>
            <w:r w:rsidR="00000000" w:rsidRPr="00000000" w:rsidDel="00000000">
              <w:rPr>
                <w:rtl w:val="0"/>
              </w:rPr>
              <w:t xml:space="preserve">2.2. kuģošanai aiz šo noteikumu </w:t>
            </w:r>
            <w:r w:rsidR="00000000" w:rsidRPr="00000000" w:rsidDel="00000000">
              <w:rPr>
                <w:rtl w:val="0"/>
              </w:rPr>
              <w:t xml:space="preserve">45.</w:t>
            </w:r>
            <w:r w:rsidR="00000000" w:rsidRPr="00000000" w:rsidDel="00000000">
              <w:rPr>
                <w:vertAlign w:val="superscript"/>
                <w:rtl w:val="0"/>
              </w:rPr>
              <w:t xml:space="preserve">9</w:t>
            </w:r>
            <w:r w:rsidR="00000000" w:rsidRPr="00000000" w:rsidDel="00000000">
              <w:rPr>
                <w:rtl w:val="0"/>
              </w:rPr>
              <w:t xml:space="preserve">1.</w:t>
            </w:r>
            <w:r w:rsidR="00000000" w:rsidRPr="00000000" w:rsidDel="00000000">
              <w:rPr>
                <w:rtl w:val="0"/>
              </w:rPr>
              <w:t xml:space="preserve"> minētā kuģošanas rajona – atbilstoši šo noteikumu </w:t>
            </w:r>
            <w:r w:rsidR="00000000" w:rsidRPr="00000000" w:rsidDel="00000000">
              <w:rPr>
                <w:rtl w:val="0"/>
              </w:rPr>
              <w:t xml:space="preserve">6.</w:t>
            </w:r>
            <w:r w:rsidR="00000000" w:rsidRPr="00000000" w:rsidDel="00000000">
              <w:rPr>
                <w:rtl w:val="0"/>
              </w:rPr>
              <w:t xml:space="preserve"> pielikumam.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projekta 1.2. apakšpunktā paredzētais Noteikumu Nr. 1171 45.</w:t>
            </w:r>
            <w:r w:rsidR="00000000" w:rsidRPr="00000000" w:rsidDel="00000000">
              <w:rPr>
                <w:vertAlign w:val="superscript"/>
                <w:rtl w:val="0"/>
              </w:rPr>
              <w:t xml:space="preserve">9</w:t>
            </w:r>
            <w:r w:rsidR="00000000" w:rsidRPr="00000000" w:rsidDel="00000000">
              <w:rPr>
                <w:rtl w:val="0"/>
              </w:rPr>
              <w:t xml:space="preserve">1. apakšpunkts noteic, ka atpūtas kuģu vadītājam aizliegts izmantot kuģošanas līdzekli, kas nav tehniskā kārtībā vai nav apgādāts ar aprīkojumu un glābšanas līdzekļiem atbilstoši normatīvajiem aktiem par atpūtas kuģu drošību (ja uz atpūtas kuģi attiecas šo normatīvo aktu prasības). Ievērojot minēto, lūdzam precizēt projekta 1.2. apakšpunktā paredzētajā Noteikumu Nr. 1171 45.</w:t>
            </w:r>
            <w:r w:rsidR="00000000" w:rsidRPr="00000000" w:rsidDel="00000000">
              <w:rPr>
                <w:vertAlign w:val="superscript"/>
                <w:rtl w:val="0"/>
              </w:rPr>
              <w:t xml:space="preserve">9</w:t>
            </w:r>
            <w:r w:rsidR="00000000" w:rsidRPr="00000000" w:rsidDel="00000000">
              <w:rPr>
                <w:rtl w:val="0"/>
              </w:rPr>
              <w:t xml:space="preserve">2.2. apakšpunktā ietverto atsauci uz attiecīgu Noteikumu Nr. 1171 vienību atbilstoši iecerētajam tiesiskajam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9</w:t>
            </w:r>
            <w:r w:rsidR="00000000" w:rsidRPr="00000000" w:rsidDel="00000000">
              <w:rPr>
                <w:rtl w:val="0"/>
              </w:rPr>
              <w:t xml:space="preserve">2.2. kuģošanai aiz šo noteikumu  </w:t>
            </w:r>
            <w:r w:rsidR="00000000" w:rsidRPr="00000000" w:rsidDel="00000000">
              <w:rPr>
                <w:rtl w:val="0"/>
              </w:rPr>
              <w:t xml:space="preserve">45.</w:t>
            </w:r>
            <w:r w:rsidR="00000000" w:rsidRPr="00000000" w:rsidDel="00000000">
              <w:rPr>
                <w:vertAlign w:val="superscript"/>
                <w:rtl w:val="0"/>
              </w:rPr>
              <w:t xml:space="preserve">9</w:t>
            </w:r>
            <w:r w:rsidR="00000000" w:rsidRPr="00000000" w:rsidDel="00000000">
              <w:rPr>
                <w:rtl w:val="0"/>
              </w:rPr>
              <w:t xml:space="preserve">2.1.</w:t>
            </w:r>
            <w:r w:rsidR="00000000" w:rsidRPr="00000000" w:rsidDel="00000000">
              <w:rPr>
                <w:rtl w:val="0"/>
              </w:rPr>
              <w:t xml:space="preserve"> apakšpuntā minētā kuģošanas rajona – atbilstoši šo noteikumu </w:t>
            </w:r>
            <w:r w:rsidR="00000000" w:rsidRPr="00000000" w:rsidDel="00000000">
              <w:rPr>
                <w:rtl w:val="0"/>
              </w:rPr>
              <w:t xml:space="preserve">6.</w:t>
            </w:r>
            <w:r w:rsidR="00000000" w:rsidRPr="00000000" w:rsidDel="00000000">
              <w:rPr>
                <w:rtl w:val="0"/>
              </w:rPr>
              <w:t xml:space="preserve"> pielikumam.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Noteikumi Nr. 1171 cita starpā izdoti, pamatojoties uz Jūrlietu pārvaldes un jūras drošības likuma 7. panta otrajā daļā doto pilnvarojumu, proti, noteikt Latvijas ūdeņu izmantošanas kārtību un kuģošanas režīmu tajos. Attiecīgi Noteikumu Nr. 1171 2. punkts noteic, ka šos noteikumus piemēro </w:t>
            </w:r>
            <w:r w:rsidR="00000000" w:rsidRPr="00000000" w:rsidDel="00000000">
              <w:rPr>
                <w:u w:val="single"/>
                <w:rtl w:val="0"/>
              </w:rPr>
              <w:t xml:space="preserve">kuģiem, izņemot karakuģiem, kas atrodas Latvijas ūdeņo</w:t>
            </w:r>
            <w:r w:rsidR="00000000" w:rsidRPr="00000000" w:rsidDel="00000000">
              <w:rPr>
                <w:rtl w:val="0"/>
              </w:rPr>
              <w:t xml:space="preserve">s. Saskaņā ar Jūras kodeksa 1.</w:t>
            </w:r>
            <w:r w:rsidR="00000000" w:rsidRPr="00000000" w:rsidDel="00000000">
              <w:rPr>
                <w:vertAlign w:val="superscript"/>
                <w:rtl w:val="0"/>
              </w:rPr>
              <w:t xml:space="preserve">1</w:t>
            </w:r>
            <w:r w:rsidR="00000000" w:rsidRPr="00000000" w:rsidDel="00000000">
              <w:rPr>
                <w:rtl w:val="0"/>
              </w:rPr>
              <w:t xml:space="preserve"> panta pirmo teikumu kuģis, ja šajā kodeksā nav noteikts citādi, ir kuģošanas līdzeklis – inženiertehniska ierīce, kas konstruktīvi paredzēta kuģošanai. Savukārt airu laiva atbilstoši Jūrlietu pārvaldes un jūras drošības likuma 69. panta pirmajai daļai ir kuģošanas līdzeklis, kura vadīšanai izmanto airi (airus) vai dzinēju, kura jauda nepārsniedz 3,7 kilovatus.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2. punktā paredzētajā Noteikumu Nr. 1171 6. pielikumā ietverto piebildi, ka šis pielikums (izņemot 1.2. un 6.1. apakšpunktā minēto prasību) neattiecas uz noteiktiem airu laivu veidiem, nepieciešamības gadījumā precizējot šajā pielikumā ietvertās prasības, vai vērtēt nepieciešamību papildināt projektu ar grozījumiem, kas precizē Noteikumu Nr. 1171 2. punktā norādīto subjektu loku, uz kuriem attiecināms Noteikumos Nr. 1171 noteiktais tiesiskais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Nr.1171 2.punktā norādītais subjektu loks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normatīvā akta tekstam jābūt skaidram, nepārprotamam un viennozīmīgam. Veidojot normatīvā akta tekstu, ne tikai jācenšas skaidri un precīzi identificēt subjektu un darbību, bet arī jāizvērtē, vai tiesību normu adresāts, lasot un interpretējot normatīvā akta tekstu, sapratīs tā mērķi (</w:t>
            </w:r>
            <w:r w:rsidR="00000000" w:rsidRPr="00000000" w:rsidDel="00000000">
              <w:rPr>
                <w:i w:val="1"/>
                <w:rtl w:val="0"/>
              </w:rPr>
              <w:t xml:space="preserve">sk. Valsts kanceleja. Normatīvo aktu projektu izstrādes rokasgrāmata, 2016. 17. lpp.</w:t>
            </w:r>
            <w:r w:rsidR="00000000" w:rsidRPr="00000000" w:rsidDel="00000000">
              <w:rPr>
                <w:rtl w:val="0"/>
              </w:rPr>
              <w:t xml:space="preserve">). Norādām, ka projekta 2. punktā paredzētajā Noteikumu Nr. 1171 6. pielikumā lietotais apzīmējums "*" šajā pielikumā ietvertās tabulas ceturtās kolonnas nosaukumā ir neskaidrs, tādējādi nav saprotama nepieciešamība to izmantot.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apzīmējumu "*" projekta 2. punktā paredzētajā Noteikumu Nr. 1171 6. pielikumā ietvertās tabulas ceturtās kolonnas nosaukumā vai papildināt šo pielikumu ar minētā apzīmējuma paskaidrojumu.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6.Pielikumā lietotais apzīmējuma "*" paskaidrojums ir teksts virs tabulas.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2.2. un 4.2. apakšpunktus, jo pirmšķietami tajos noteiktās aprīkojuma prasības dublējas.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aprīkojuma prasības nedublējas. Ir vajadzīgi divi spaiņi – viens spainis (aprīkots ar līni) ugunsdzēšanai un otrs spainis (tā vietā var būt arī liekšķere vai rokas ūdenssūknis) atsūknēšanai.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ugunsdrošības jomas normatīvajos aktos lietoto terminoloģiju, atkārtoti lūdzam precizētā noteikumu projekta 6. pielikuma piezīmēs lietotos terminus “klases ugunsdzēsības spēja” un "ugunsdzēsības aparāta dzēstspējības klase" aizstāt ar terminu "ugunsdzēsības aparāta dzēstspējas klase".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 apakšsadaļas "Problēmas apraksts" otro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kuģis, kuram vajadzīga palīdzība, ir kuģis situācijā, kad pastāv kuģa bojāejas draudi vai tas rada apdraudējumu videi un navigācijai, neietekmējot 1979.gada Starptautiskās konvencijas par meklēšanu un glābšanu uz jūras prasības attiecībā uz cilvēku glābšanu.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parādās divi dažādi termini - "kuģis"un "kuģošanas līdzeklis", taču nav skaidrojuma, kad "kuģis" ir kuģis un kad "kuģis" ir "kuģošanas līdzeklis". Piemēram, Jūras kodeksā ir skaidrojums, ka: "Kuģis, ja šajā kodeksā nav noteikts citādi, ir kuģošanas līdzeklis — inženiertehniska ierīce, kas konstruktīvi paredzēta kuģošanai". Ministru kabineta 2016.gada 9.februāra noteikumos ir skaidrojums, ko nozīmē kuģošanas līdzeklis: "3. Šo noteikumu izpratnē: 3.1. kuģošanas līdzeklis – inženiertehniska ierīce, kas konstruktīvi paredzēta kuģošanai, tai skaitā: 3.1.1. valsts sabiedrības ar ierobežotu atbildību "Latvijas Jūras administrācija" (turpmāk – Jūras administrācija) Latvijas Kuģu reģistrā (turpmāk – Latvijas Kuģu reģistrs) un valsts akciju sabiedrības "Ceļu satiksmes drošības direkcija" (turpmāk – CSDD) reģistrā reģistrēts kuģis; 3.1.2. kuģošanas līdzeklis, kurš saskaņā ar Latvijas Republikas normatī­vajiem aktiem netiek reģistrēts vai ir paredzēta brīvprātīga tā reģistrācija; 3.1.3. citas valsts karoga kuģis;" Priekšlikums ir apdomāt iespēju noteikumos atrunāt, kas ir "kuģis" noteikumu izpratnē un kas ir "kuģošanas līdzeklis".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Secināts, ka minēto jēdzienu skaidrojums noteikumos Nr.1171 nav jāievieš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Jūrniecības jomu regulējošajos normatīvajos aktos abi minētie jēdzieni tiek skaidroti:  Jūras kodeksā tiek skaidrots jēdziens “kuģis” un Ministru kabineta 2016.gada 9.februāra noteikumos Nr. 92 “Noteikumi par kuģošanas līdzekļu satiksmi iekšējos ūdeņos” tiek skaidrots jēdziens “kuģošanas līdzeklis”. Projektā attiecībā uz prasībām aprīkojumam un glābšanas līdzekļiem ir ietverta atsauce uz noteikumu Nr.92 regulējumu. Projektā šie jēdzieni tiek lietoti tādā pat nozīmē.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Regulējums attiecībā uz atpūtas kuģiem pēc būtības nemainās, jo projekts paredz, ka attiecīgajiem atpūtas kuģiem, tāpat kā līdz šim, būs jāpiemēro noteikumu Nr.201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pārējiem kuģošanas līdzekļiem, tai skaitā atpūtas kuģiem, uz kuriem neattiecas normatīvajos aktos par atpūtas kuģu drošību noteiktās prasības, projekts paredz saglabāt noteikumos Nr.92 noteiktās prasības kuģošanai 3000 metru platā joslā no krasta līnijas uz jūras pusi Rīgas jūras līča un Baltijas jūras Latvijas Republikas piekrastes daļā, un ieviest jaunas (līdz šim nenoregulētas) prasības aprīkojuma un glābšanas līdzekļu esamībai kuģošanai aiz 3000 metru platas joslas no krasta līnijas uz jūras pusi Rīgas jūras līča un Baltijas jūras Latvijas Republikas piekrastes daļā.). Kuģošanas līdzekļa jēdziens atbilst noteikumos  Nr.92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 projektu netiek skartas prasības, kas attiecas uz pārējiem Latvijas Kuģu reģistrā reģistrētajiem kuģiem.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kuģis, kuram vajadzīga palīdzība, ir kuģis situācijā, kad pastāv kuģa bojāejas draudi vai tas rada apdraudējumu videi un navigācijai, neietekmējot 1979.gada Starptautiskās konvencijas par meklēšanu un glābšanu uz jūras prasības attiecībā uz cilvēku glābšanu.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6</w:t>
            </w:r>
            <w:r w:rsidR="00000000" w:rsidRPr="00000000" w:rsidDel="00000000">
              <w:rPr>
                <w:rtl w:val="0"/>
              </w:rPr>
              <w:t xml:space="preserve"> Kuģošanas līdzekļa vadītājam ir pienākums: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esošo Ministru kabineta 2010. gada 21. decembra noteikumu Nr. 1171 „Noteikumi par Latvijas ūdeņu izmantošanas kārtību un kuģošanas režīmu tajos” 45.6 punkts paredz pienākumus atpūtas kuģu vadītājam. Jūras kodeksa 8. panta otrās daļa nosaka Kuģa reģistrējamos kuģus, tostarp motorizētus atpūtas kuģus, kuru maksimālais garums ir 12 metru un vairāk. Vienlaikus Jūras kodeksa 8. panta trešā daļa nosaka CSDD reģistrējamos kuģošanas līdzekļus, kuru maksimālais garums ir mazāks par 12 metriem un kuri nav jāreģistrē Kuģu reģistrā, tostarp motorizētus atpūtas kuģus, kuru maksimālais garums ir lielāks par 2,5 metriem. Ievērojot iepriekš minēto, secināms, ka spēkā esošā Ministru kabineta 2010. gada 21. decembra noteikumu Nr. 1171 „Noteikumi par Latvijas ūdeņu izmantošanas kārtību un kuģošanas režīmu tajos” 45.6 punkta redakcija aptver atpūtas kuģus, kuri minēti Jūras kodeksa 8. panta otrajā un trešajā daļā. Ministru kabineta noteikumu projekta „Grozījumi Ministru kabineta 2010. gada 21. decembra noteikumu Nr. 1171 „Noteikumi par Latvijas ūdeņu izmantošanas kārtību un kuģošanas režīmu tajos”” (turpmāk – Projekts) sākotnējās ietekmes novērtējuma ziņojuma (anotācija) (turpmāk - anotācija) sadaļas „Tiesību akta projekta izstrādes nepieciešamība” 1.2. apakšpunktā norādīts, ka Projekta mērķis ir regulējuma pilnveidošana attiecībā uz aprīkojuma un glābšanas līdzekļu esamību uz Ceļu satiksmes drošības direkcijā (turpmāk – CSDD) reģistrējamiem kuģošanas līdzekļiem, tostarp, brīvprātīgi reģistrējamiem kuģošanas līdzekļiem (airu laivām) kuģošanai jūras ūdeņos Latvijas piekrastē. Ievērojot iepriekš minēto, lūgums skaidrot vai Projekta 1.5., 1.6., 1.7. apakšpunkta un 6. pielikuma tiesiskais regulējums attiecināms arī, piemēram, uz atpūtas kuģiem, kuru maksimālais garums ir 12 metru un vairāk. Nepieciešamības gadījuma, lūgums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anotācijā minētajam sniedzam šādu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pēc būtības neparedz mainīt noteikumu 1171 IX</w:t>
            </w:r>
            <w:r w:rsidR="00000000" w:rsidRPr="00000000" w:rsidDel="00000000">
              <w:rPr>
                <w:vertAlign w:val="superscript"/>
                <w:rtl w:val="0"/>
              </w:rPr>
              <w:t xml:space="preserve">2</w:t>
            </w:r>
            <w:r w:rsidR="00000000" w:rsidRPr="00000000" w:rsidDel="00000000">
              <w:rPr>
                <w:rtl w:val="0"/>
              </w:rPr>
              <w:t xml:space="preserve"> nodaļas prasības, kas atpūtas kuģu vadītājiem jāievēro, piedaloties satiksmē jūras ūdeņos. Noteikumu Nr.1171 pašreiz spēkā esošās prasības (45.</w:t>
            </w:r>
            <w:r w:rsidR="00000000" w:rsidRPr="00000000" w:rsidDel="00000000">
              <w:rPr>
                <w:vertAlign w:val="superscript"/>
                <w:rtl w:val="0"/>
              </w:rPr>
              <w:t xml:space="preserve">6</w:t>
            </w:r>
            <w:r w:rsidR="00000000" w:rsidRPr="00000000" w:rsidDel="00000000">
              <w:rPr>
                <w:rtl w:val="0"/>
              </w:rPr>
              <w:t xml:space="preserve"> un 45.</w:t>
            </w:r>
            <w:r w:rsidR="00000000" w:rsidRPr="00000000" w:rsidDel="00000000">
              <w:rPr>
                <w:vertAlign w:val="superscript"/>
                <w:rtl w:val="0"/>
              </w:rPr>
              <w:t xml:space="preserve">7</w:t>
            </w:r>
            <w:r w:rsidR="00000000" w:rsidRPr="00000000" w:rsidDel="00000000">
              <w:rPr>
                <w:rtl w:val="0"/>
              </w:rPr>
              <w:t xml:space="preserve"> punkts) piemēro tikai atpūtas kuģu vadītājiem, bet pēc projekta pieņemšanas tās būs jāpiemēro visu veidu kuģošanas līdzekļu vadītājiem (gan atpūtas, gan citiem kuģošanas līdzekļiem).  Attiecībā uz aprīkojumu pēc projekta pieņemšanas nekas nemainīsies Latvijas Kuģu reģistrā reģistrētajiem atpūtas kuģiem (piemēros MK noteikumus Nr. 201) un tiem CSDD reģistrētajiem kuģošanas līdzekļiem, kas kuģos līdz 3000m no krasta (piemēros MK noteikumus Nr. 92). Projekts nosaka 6. pielikumā ietvertās papildus prasības tiem CSDD reģistrētajiem kuģošanas līdzekļiem, kas kuģos tālāk kā 3000m no krasta. Kritēriji atpūtas kuģa reģistrācijai Latvijas Kuģu reģistrā vai CSDD reģistrā ir noteikti Jūras kodeksā.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6</w:t>
            </w:r>
            <w:r w:rsidR="00000000" w:rsidRPr="00000000" w:rsidDel="00000000">
              <w:rPr>
                <w:rtl w:val="0"/>
              </w:rPr>
              <w:t xml:space="preserve"> Kuģošanas līdzekļa vadītājam ir pienākums: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iespēju apvienot 1.1. apakšpunktu ar tam pakārtotajiem apakšpunktiem, ievērojot to, ka tajos noteiktās glābšanas līdzekļu aprīkojuma prasības ir vienādas visiem kuģošanas līdzekļiem neatkarīgi no to garuma.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Apvienots 1.1.1. un 1.1.2.apakšpunkts (tagad 1.1.apakšpunkts).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iespēju apvienot 2.1. apakšpunktu ar tam pakārtotajiem apakšpunktiem, ievērojot to, ka tajos noteiktās ugunsdzēsības līdzekļu aprīkojuma prasības ir vienādas motorlaivām, specializētajiem kuģošanas līdzekļiem neatkarīgi no to garuma, kā arī kuteriem, neatkarīgi no to garuma.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ierosinām precizēt ugunsdzēsības līdzekļu aprīkojuma prasības, kas noteiktas kuteriem, jo atbilstoši pievienotajām atsaucēm kuģošanas līdzekļi var būt aprīkoti kā ar lielākas, tā arī ar mazākas ietilpības ugunsdzēsības aparātiem. Līdz ar to piedāvātajā redakcijā nav skaidra attiecīgo prasību praktiskā piemērošana.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ierosinājumu precizēt ugunsdzēsības līdzekļu aprīkojuma prasības, kas noteiktas kuteriem, vēršam uzmanību, ka projekts neparedz iespēju izvēlēties mazākas vai lielākas ietilpības ugunsdzēsības aparātus, kā to ir sapratis atzinuma sniedzējs. Saskaņā ar projektu kuteriem ir jābūt aprīkotiem ar diviem lielākas un mazākas ietilpības ugunsdzēsības aparātiem atbilstoši pievienotajām atsaucēm.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2.2. un 4.2. apakšpunktus, jo pirmšķietami tajos noteiktās aprīkojuma prasības dublējas.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identisks Iekšlietu ministrijas atzinuma 2.punktam.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ugunsdrošības jomas normatīvajos aktos lietoto terminoloģiju, noteikumu projekta 6.pielikuma 2.1.punktā lietoto terminu “ugunsdzēšanas aparāts” aizstāt ar terminu “ugunsdzēsības aparāts”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ugunsdrošības jomas normatīvajos aktos lietoto terminoloģiju, lūdzam noteikumu projekta 6.pielikuma piezīmēs lietoto terminu “klases ugunsdzēsības spēja” aizstāt ar terminu “ugunsdzēsības aparāta dzēstspējas klase”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Tieslietu ministrijas 4.aprīļa atzinumā norādīto, ka normatīvā akta tekstam jābūt skaidram, nepārprotamam un viennozīmīgam. Veidojot normatīvā akta tekstu, ne tikai jācenšas skaidri un precīzi identificēt subjektu un darbību, bet arī jāizvērtē, vai tiesību normu adresāts, lasot un interpretējot normatīvā akta tekstu, sapratīs tā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sakarā atkārtoti norādām uz to, ka 6. pielikuma 2.1. apakšpunktā noteiktās ugunsdzēsības līdzekļu aprīkojuma prasības, kas noteiktas kuteriem, nav viennozīmīgi skaidri saprotamas tā, kā izziņā par atzinumos sniegtajiem iebildumiem ietvertajā skaidrojumā ir norādījis projekta autors.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lai novērstu attiecīgās prasības dažādas interpretācijas, ierosinām aizstāt attiecīgajā ailē skaitļus un zīmes "2 </w:t>
            </w:r>
            <w:r w:rsidR="00000000" w:rsidRPr="00000000" w:rsidDel="00000000">
              <w:rPr>
                <w:vertAlign w:val="superscript"/>
                <w:rtl w:val="0"/>
              </w:rPr>
              <w:t xml:space="preserve">3)4) </w:t>
            </w:r>
            <w:r w:rsidR="00000000" w:rsidRPr="00000000" w:rsidDel="00000000">
              <w:rPr>
                <w:rtl w:val="0"/>
              </w:rPr>
              <w:t xml:space="preserve">" ar skaitļiem un zīmēm "1</w:t>
            </w:r>
            <w:r w:rsidR="00000000" w:rsidRPr="00000000" w:rsidDel="00000000">
              <w:rPr>
                <w:vertAlign w:val="superscript"/>
                <w:rtl w:val="0"/>
              </w:rPr>
              <w:t xml:space="preserve">3)</w:t>
            </w:r>
            <w:r w:rsidR="00000000" w:rsidRPr="00000000" w:rsidDel="00000000">
              <w:rPr>
                <w:rtl w:val="0"/>
              </w:rPr>
              <w:t xml:space="preserve"> + 1</w:t>
            </w:r>
            <w:r w:rsidR="00000000" w:rsidRPr="00000000" w:rsidDel="00000000">
              <w:rPr>
                <w:vertAlign w:val="superscript"/>
                <w:rtl w:val="0"/>
              </w:rPr>
              <w:t xml:space="preserve">4)</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22-TA-573</w:t>
    </w:r>
    <w:r>
      <w:br/>
    </w:r>
    <w:r w:rsidR="00000000" w:rsidRPr="00000000" w:rsidDel="00000000">
      <w:rPr>
        <w:rtl w:val="0"/>
      </w:rPr>
      <w:t xml:space="preserve">22.07.2022. 14.19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22-TA-573</w:t>
    </w:r>
    <w:r>
      <w:br/>
    </w:r>
    <w:r w:rsidR="00000000" w:rsidRPr="00000000" w:rsidDel="00000000">
      <w:rPr>
        <w:rtl w:val="0"/>
      </w:rPr>
      <w:t xml:space="preserve">22.07.2022. 14.19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Izziņa_22-TA-573.docx</dc:title>
</cp:coreProperties>
</file>

<file path=docProps/custom.xml><?xml version="1.0" encoding="utf-8"?>
<Properties xmlns="http://schemas.openxmlformats.org/officeDocument/2006/custom-properties" xmlns:vt="http://schemas.openxmlformats.org/officeDocument/2006/docPropsVTypes"/>
</file>