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Nacionālās standartizācijas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Latvijas Pārtikas uzņēmumu federācijas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Latvijas Piensaimnieku Centrālo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Latvijas Piensaimnieku Centrālā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papildināts ar jaunu punktu par Latvijas Piensaimnieku Centrālās savienības pārstāvniecību.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Latvijas Pārtikas uzņēmumu federācijas pārstāvis;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8. sadaļu, jo tā nav aizpildīta. Ja attiecīgajā sadaļā esošie apakšpunkti uz noteikumu projektu neattiecas, jāizvēlas opcija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8.sadaļa aizpildīta norādot, ka attiecīgie apakšpunkti uz noteikumu projektu neattiecas, izvēloties opciju "nē".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7.4. apakšpunktu, jo tas nav aizpildīts.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7.4.apakšpunkts.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apakšpunktā ir sniegta informācija, ka noteikumu projekts ietekmēs valsts institūcijas. Vēršam uzmanību, ka no esošās informācijas nav saprotams, par kādām valsts institūcijām ir runa. Atbilstoši vadlīnijām tiesību akta projekta sākotnējās ietekmes novērtējuma ziņojuma sagatavošanai vienotajā tiesību aktu izstrādes un saskaņošanas portālā anotācijā ir jāsniedz informācija, kā projekts ietekmēs katru no mērķgrupām (gan fiziskās personas, gan juridiskās personas) – tieši vai netieši, kāds ir mērķgrupas lielums (ja to ir iespējams novērtēt), kā arī jebkādu citu skaidrojošu informāciju par mērķgrupu. Tāpat vēršam uzmanību, ka ietekmi uz publisko pārvaldi (valsts un pašvaldību institūcijām) aizpilda anotācijas 7. sadaļā.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2.1.apakšpunktā, norādot ietekmi uz noteikumu projektā minētajām valsts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1.4. 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 anotācijas 1.4.apakšpunkta aizpildīšanas nepieciešamību un ņemot vērā, ka pētījumi/izvērtējumi par TA nepieciešamību nav veikti, tad attiecīgi 1.4.apakšpunktu nav nepieciešams aizpildīt.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nav sniegts detalizēts pamatojums par visām projektā paredzētajām izmaiņām un to nepieciešamību, salīdzinot ar tiesisko regulējumu Ministru kabineta 2005. gada 25. janvāra noteikumos Nr. 56 “Nacionālās standartizācijas padomes nolikums”. Papildus anotācijā ir iekļauts tikai situācijas apraksts par projektā paredzēto regulējumu, bet nav sniegts skaidrojums šāda regulējuma nepieciešamībai (mērķis un būtība). Piemēram, nav sniegts skaidrojums, kāpēc ir svītrojamas padomes funkcijas,  kāpēc ir svītrojamas, papildināmas vai aizstājamas dažādas organizācijas padomes sastāvā (piemēram, kāpēc kādas nozares pārstāvniecība tiek samazināta vai palielināta). Tāpat problēmas apraksts neatbilst risinājuma aprakstam. Vēršam uzmanību, ka, piemēram, padomes sastāva izmaiņas neizriet no veiktajām izmaiņām Standartizācijas likuma 6. panta noteiktajām prasībām attiecībā uz padomes noteiktajiem uzdevumiem. Līdz ar to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gan attiecībā uz NSP uzdevumiem un funkcijām, gan NSP sastāva izmaiņām un nepieciešamajiem pamatojumiem šādām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 sadaļu, sniedzot informāciju, vai noteikumu projektā minētās valsts institūcijas un nevalstiskās organizācijas (padomes sastāva locekļi) atbalsta noteikumu projektā paredzēto, īpaši tās, kas ir svītrotas no padomes sastāva vai arī, kuras tiek iekļautas padomes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6.sadaļa, 6.4.apakšpunktā "Cita informācija" sniedzot informāciju par to, ka noteikumu projekts pirms sabiedrības līdzdalības procesa neformāli un formāli ir ticis saskaņots ar minētajām valsts institūcijām un nevalstiskajām organizācijām (padomes sastāva locekļi).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nodrošinās padomes sekretariāta funkciju izpildi, lūdzam sniegt ietekmes aprakstu, proti, kā noteikumu projekts ietekmēs Ekonomikas ministriju (vai administratīvais slogs palielināsies, samazināsies vai paliks nemainīgs).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attiecīgā sadaļa, 7.5.apakšpunktā "Cita informācija" norādot, ka administratīvais slogs Ekonomikas ministrijai paliks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pieprasīt un bez maksas saņemt no valsts un pašvaldību institūcijām nepieciešamo informāciju par standartizācijas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3.1. apakšpunkta nepieciešamību, ņemot vērā, ka sadarbības nosacījumi jau ir noteikti Valsts pārvaldes iekārtas likumā. Tai skaitā minētā likuma 54. panta trešā daļa paredz, ka iestāžu sadarbība notiek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izvērtēta minētā punkta nepieciešamību un attiecīgi no noteikumu projekta dzēsts punkts, kas padomei noteica tiesības pieprasīt un bez maksas saņemt no valsts un pašvaldību institūcijām nepieciešamo informāciju par standartizācijas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spēku zaudējušiem Ministru kabineta 2005. gada 25. janvāra noteikumus Nr. 56 “Nacionālās standartizācijas padomes nolikums” (Latvijas Vēstnesis, 2005, 16. nr.; 2009, 85. nr.; 2010, 139. nr.; 2011).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punktā minēto norādi uz Ministru kabineta 2005. gada 25. janvāra noteikumu Nr. 56 "Nacionālās standartizācijas padomes nolikums” grozījumu publikācijām oficiālajā izdevumā "Latvijas Vēstnesis". Vēršam uzmanību,  ka 2011. gada publikācijai nav minēts laikraksta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 papildinot 2011. gada publikāciju ar laikraksta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Atzīt par spēku zaudējušiem Ministru kabineta 2005. gada 25. janvāra noteikumus Nr. 56 “Nacionālās standartizācijas padomes nolikums” (Latvijas Vēstnesis, 2005, 16. nr.; 2009, 85. nr.; 2010, 139. nr.; 2011, 75.nr.).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minētajā sadaļā minēt, ka tiks izdots Ekonomikas ministrijas rīkojums "Par Nacionālas standartizācijas padomes personālsastāvu".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ir sniegta informācija, ka saistībā ar Standartizācijas likuma izmaiņām, ko paredzēja 2020. gada 3. decembrī pieņemtais likumprojekts "Grozījumi Standartizācijas likumā" ir nepieciešams aktualizēt jautājumus saistībā ar Nacionālās standartizācijas padomes darbību – pilnveidot padomes nolikumu, lai precizētu </w:t>
            </w:r>
            <w:r w:rsidR="00000000" w:rsidRPr="00000000" w:rsidDel="00000000">
              <w:rPr>
                <w:u w:val="single"/>
                <w:rtl w:val="0"/>
              </w:rPr>
              <w:t xml:space="preserve">tajā noteiktos uzdevumus</w:t>
            </w:r>
            <w:r w:rsidR="00000000" w:rsidRPr="00000000" w:rsidDel="00000000">
              <w:rPr>
                <w:rtl w:val="0"/>
              </w:rPr>
              <w:t xml:space="preserve">. Ierosinām precizēt minēto informāciju, jo padomes uzdevumi ir noteikti Standartizācijas likumā un līdz šim arī Ministru kabineta 2005. gada 25. janvāra noteikumos Nr. 56 "Nacionālās standartizācijas padomes nolikums" uzdevumi nav bijuši noteikti, bet gan noteiktas funkcijas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Vienlaikus vēršam uzmanību, ka lai gan Ministru kabineta 2005. gada 25. janvāra noteikumos Nr. 56 "Nacionālās standartizācijas padomes nolikums" uzdevumi nav bijuši noteikti un bija noteiktas funkcijas, tomēr Standartizācijas likums nosaka NSP uzdevumus, kas bija noformulēti līdzšinējā nolikumā bija definētas kā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attiecīgās sadaļas svītrot informāciju par valsts institūcijām, jo tās ir jānorāda 7.sadaļā (minētais tika norādīts Tieslietu ministrijas iepriekšējā atzinumā). Tāpat joprojām nav saprotams, par kādām valsts institūcijām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un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21-TA-1738</w:t>
    </w:r>
    <w:r>
      <w:br/>
    </w:r>
    <w:r w:rsidR="00000000" w:rsidRPr="00000000" w:rsidDel="00000000">
      <w:rPr>
        <w:rtl w:val="0"/>
      </w:rPr>
      <w:t xml:space="preserve">07.03.2022. 21.32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21-TA-1738</w:t>
    </w:r>
    <w:r>
      <w:br/>
    </w:r>
    <w:r w:rsidR="00000000" w:rsidRPr="00000000" w:rsidDel="00000000">
      <w:rPr>
        <w:rtl w:val="0"/>
      </w:rPr>
      <w:t xml:space="preserve">07.03.2022. 21.32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Izziņa_21-TA-1738.docx</dc:title>
</cp:coreProperties>
</file>

<file path=docProps/custom.xml><?xml version="1.0" encoding="utf-8"?>
<Properties xmlns="http://schemas.openxmlformats.org/officeDocument/2006/custom-properties" xmlns:vt="http://schemas.openxmlformats.org/officeDocument/2006/docPropsVTypes"/>
</file>